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0" w:lineRule="exact"/>
        <w:rPr>
          <w:rFonts w:eastAsia="黑体"/>
          <w:b/>
          <w:sz w:val="28"/>
          <w:szCs w:val="28"/>
        </w:rPr>
      </w:pPr>
      <w:r>
        <w:rPr>
          <w:rFonts w:eastAsia="黑体"/>
          <w:b/>
          <w:sz w:val="52"/>
          <w:szCs w:val="22"/>
        </w:rPr>
        <w:drawing>
          <wp:anchor distT="0" distB="0" distL="114300" distR="114300" simplePos="0" relativeHeight="251665408" behindDoc="1" locked="0" layoutInCell="1" allowOverlap="1">
            <wp:simplePos x="0" y="0"/>
            <wp:positionH relativeFrom="column">
              <wp:posOffset>-1139825</wp:posOffset>
            </wp:positionH>
            <wp:positionV relativeFrom="paragraph">
              <wp:posOffset>-925195</wp:posOffset>
            </wp:positionV>
            <wp:extent cx="8915400" cy="2736850"/>
            <wp:effectExtent l="0" t="0" r="0" b="6350"/>
            <wp:wrapTight wrapText="bothSides">
              <wp:wrapPolygon>
                <wp:start x="-23" y="0"/>
                <wp:lineTo x="-23" y="21525"/>
                <wp:lineTo x="21600" y="21525"/>
                <wp:lineTo x="21600" y="0"/>
                <wp:lineTo x="-23" y="0"/>
              </wp:wrapPolygon>
            </wp:wrapTight>
            <wp:docPr id="6" name="Picture 7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8" descr="模板-3"/>
                    <pic:cNvPicPr>
                      <a:picLocks noChangeAspect="1"/>
                    </pic:cNvPicPr>
                  </pic:nvPicPr>
                  <pic:blipFill>
                    <a:blip r:embed="rId12"/>
                    <a:stretch>
                      <a:fillRect/>
                    </a:stretch>
                  </pic:blipFill>
                  <pic:spPr>
                    <a:xfrm>
                      <a:off x="0" y="0"/>
                      <a:ext cx="8915400" cy="2736850"/>
                    </a:xfrm>
                    <a:prstGeom prst="rect">
                      <a:avLst/>
                    </a:prstGeom>
                    <a:noFill/>
                    <a:ln>
                      <a:noFill/>
                    </a:ln>
                  </pic:spPr>
                </pic:pic>
              </a:graphicData>
            </a:graphic>
          </wp:anchor>
        </w:drawing>
      </w:r>
      <w:r>
        <w:rPr>
          <w:b/>
          <w:spacing w:val="-20"/>
          <w:sz w:val="24"/>
        </w:rPr>
        <w:t xml:space="preserve">     </w:t>
      </w:r>
      <w:r>
        <w:rPr>
          <w:sz w:val="28"/>
          <w:szCs w:val="28"/>
        </w:rPr>
        <w:t xml:space="preserve">                  </w:t>
      </w:r>
    </w:p>
    <w:p>
      <w:pPr>
        <w:spacing w:line="20" w:lineRule="exact"/>
        <w:rPr>
          <w:rFonts w:eastAsia="黑体"/>
          <w:sz w:val="52"/>
        </w:rPr>
      </w:pPr>
      <w:r>
        <w:rPr>
          <w:b/>
          <w:spacing w:val="-20"/>
          <w:sz w:val="24"/>
        </w:rPr>
        <w:t xml:space="preserve">   </w:t>
      </w:r>
    </w:p>
    <w:p>
      <w:pPr>
        <w:jc w:val="center"/>
        <w:rPr>
          <w:rFonts w:eastAsia="黑体"/>
          <w:b/>
          <w:sz w:val="52"/>
        </w:rPr>
      </w:pPr>
      <w:bookmarkStart w:id="0" w:name="FLDZDTM"/>
      <w:bookmarkEnd w:id="0"/>
      <w:r>
        <w:rPr>
          <w:rFonts w:hint="eastAsia" w:eastAsia="黑体"/>
          <w:b/>
          <w:sz w:val="52"/>
        </w:rPr>
        <w:t>超高压输电公司电力监控系统网络安全运维服务</w:t>
      </w:r>
    </w:p>
    <w:p>
      <w:pPr>
        <w:spacing w:before="634" w:beforeLines="200"/>
        <w:jc w:val="center"/>
        <w:rPr>
          <w:rFonts w:eastAsia="黑体"/>
          <w:b/>
          <w:sz w:val="52"/>
          <w:szCs w:val="22"/>
        </w:rPr>
      </w:pPr>
      <w:r>
        <w:rPr>
          <w:rFonts w:eastAsia="黑体"/>
          <w:b/>
          <w:sz w:val="52"/>
          <w:szCs w:val="22"/>
        </w:rPr>
        <w:t>技术规范书</w:t>
      </w:r>
    </w:p>
    <w:p>
      <w:pPr>
        <w:spacing w:before="634" w:beforeLines="200"/>
        <w:jc w:val="center"/>
        <w:rPr>
          <w:rFonts w:eastAsia="黑体"/>
          <w:b/>
          <w:sz w:val="52"/>
          <w:szCs w:val="22"/>
        </w:rPr>
      </w:pPr>
      <w:r>
        <w:rPr>
          <w:rFonts w:eastAsia="黑体"/>
          <w:b/>
          <w:sz w:val="52"/>
          <w:szCs w:val="22"/>
        </w:rPr>
        <w:t>（通用部分）</w:t>
      </w:r>
    </w:p>
    <w:p>
      <w:pPr>
        <w:spacing w:before="634" w:beforeLines="200"/>
        <w:ind w:firstLine="2327" w:firstLineChars="644"/>
        <w:jc w:val="left"/>
        <w:rPr>
          <w:rFonts w:eastAsia="黑体"/>
          <w:b/>
          <w:sz w:val="36"/>
        </w:rPr>
      </w:pPr>
      <w:r>
        <w:rPr>
          <w:rFonts w:eastAsia="黑体"/>
          <w:b/>
          <w:sz w:val="36"/>
        </w:rPr>
        <w:t>版本号：</w:t>
      </w:r>
      <w:r>
        <w:rPr>
          <w:rFonts w:hint="eastAsia" w:eastAsia="黑体"/>
          <w:b/>
          <w:sz w:val="36"/>
        </w:rPr>
        <w:t>2023版V</w:t>
      </w:r>
      <w:r>
        <w:rPr>
          <w:rFonts w:hint="eastAsia" w:eastAsia="黑体"/>
          <w:b/>
          <w:sz w:val="36"/>
          <w:lang w:val="en-US" w:eastAsia="zh-CN"/>
        </w:rPr>
        <w:t>2</w:t>
      </w:r>
      <w:r>
        <w:rPr>
          <w:rFonts w:hint="eastAsia" w:eastAsia="黑体"/>
          <w:b/>
          <w:sz w:val="36"/>
        </w:rPr>
        <w:t>.0</w:t>
      </w:r>
    </w:p>
    <w:p>
      <w:pPr>
        <w:spacing w:line="360" w:lineRule="auto"/>
        <w:rPr>
          <w:rFonts w:eastAsia="黑体"/>
          <w:b/>
          <w:spacing w:val="20"/>
          <w:w w:val="135"/>
          <w:sz w:val="30"/>
          <w:szCs w:val="20"/>
        </w:rPr>
      </w:pPr>
    </w:p>
    <w:p>
      <w:pPr>
        <w:pStyle w:val="11"/>
        <w:rPr>
          <w:rFonts w:eastAsia="黑体"/>
          <w:spacing w:val="20"/>
          <w:w w:val="135"/>
          <w:sz w:val="30"/>
          <w:szCs w:val="20"/>
        </w:rPr>
      </w:pPr>
    </w:p>
    <w:p>
      <w:pPr>
        <w:pStyle w:val="12"/>
        <w:rPr>
          <w:rFonts w:eastAsia="黑体"/>
          <w:spacing w:val="20"/>
          <w:w w:val="135"/>
          <w:sz w:val="30"/>
          <w:szCs w:val="20"/>
        </w:rPr>
      </w:pPr>
    </w:p>
    <w:p/>
    <w:p>
      <w:pPr>
        <w:jc w:val="center"/>
        <w:rPr>
          <w:rFonts w:ascii="黑体" w:hAnsi="黑体" w:eastAsia="黑体" w:cs="黑体"/>
          <w:bCs/>
          <w:sz w:val="36"/>
          <w:szCs w:val="36"/>
        </w:rPr>
      </w:pPr>
      <w:bookmarkStart w:id="1" w:name="_Toc209342124"/>
      <w:bookmarkStart w:id="2" w:name="_Toc224794098"/>
      <w:bookmarkStart w:id="3" w:name="_Toc208823249"/>
      <w:bookmarkStart w:id="4" w:name="_Toc208823333"/>
      <w:bookmarkStart w:id="5" w:name="_Toc239218200"/>
      <w:bookmarkStart w:id="6" w:name="_Toc208823419"/>
      <w:r>
        <w:rPr>
          <w:rFonts w:hint="eastAsia" w:ascii="黑体" w:hAnsi="黑体" w:eastAsia="黑体" w:cs="黑体"/>
          <w:bCs/>
          <w:sz w:val="36"/>
          <w:szCs w:val="36"/>
        </w:rPr>
        <w:t>超高压输电公司</w:t>
      </w:r>
    </w:p>
    <w:p>
      <w:pPr>
        <w:jc w:val="center"/>
        <w:rPr>
          <w:rFonts w:ascii="黑体" w:hAnsi="黑体" w:eastAsia="黑体" w:cs="黑体"/>
          <w:bCs/>
          <w:sz w:val="36"/>
          <w:szCs w:val="36"/>
        </w:rPr>
      </w:pPr>
      <w:r>
        <w:rPr>
          <w:rFonts w:hint="eastAsia" w:ascii="黑体" w:hAnsi="黑体" w:eastAsia="黑体" w:cs="黑体"/>
          <w:bCs/>
          <w:sz w:val="36"/>
          <w:szCs w:val="36"/>
        </w:rPr>
        <w:t>2023年</w:t>
      </w:r>
      <w:r>
        <w:rPr>
          <w:rFonts w:hint="eastAsia" w:ascii="黑体" w:hAnsi="黑体" w:eastAsia="黑体" w:cs="黑体"/>
          <w:bCs/>
          <w:sz w:val="36"/>
          <w:szCs w:val="36"/>
          <w:lang w:val="en-US" w:eastAsia="zh-CN"/>
        </w:rPr>
        <w:t>11</w:t>
      </w:r>
      <w:bookmarkStart w:id="106" w:name="_GoBack"/>
      <w:bookmarkEnd w:id="106"/>
      <w:r>
        <w:rPr>
          <w:rFonts w:hint="eastAsia" w:ascii="黑体" w:hAnsi="黑体" w:eastAsia="黑体" w:cs="黑体"/>
          <w:bCs/>
          <w:sz w:val="36"/>
          <w:szCs w:val="36"/>
        </w:rPr>
        <w:t>月</w:t>
      </w:r>
    </w:p>
    <w:p>
      <w:pPr>
        <w:spacing w:before="634" w:beforeLines="200"/>
        <w:jc w:val="center"/>
        <w:rPr>
          <w:rFonts w:ascii="Calibri" w:hAnsi="Calibri" w:eastAsia="等线"/>
          <w:bCs/>
          <w:sz w:val="44"/>
          <w:szCs w:val="44"/>
        </w:rPr>
      </w:pPr>
      <w:r>
        <w:rPr>
          <w:rFonts w:eastAsia="黑体"/>
          <w:b/>
          <w:spacing w:val="20"/>
          <w:w w:val="135"/>
          <w:sz w:val="30"/>
        </w:rPr>
        <w:br w:type="page"/>
      </w:r>
      <w:r>
        <w:rPr>
          <w:rFonts w:ascii="Calibri" w:hAnsi="Calibri" w:eastAsia="方正小标宋_GBK"/>
          <w:bCs/>
          <w:sz w:val="44"/>
          <w:szCs w:val="44"/>
        </w:rPr>
        <w:t>知识产权声明</w:t>
      </w:r>
    </w:p>
    <w:p>
      <w:pPr>
        <w:spacing w:line="560" w:lineRule="exact"/>
        <w:ind w:left="851"/>
        <w:jc w:val="center"/>
        <w:rPr>
          <w:rFonts w:ascii="Calibri" w:hAnsi="Calibri" w:eastAsia="等线"/>
          <w:b/>
          <w:sz w:val="32"/>
          <w:szCs w:val="32"/>
        </w:rPr>
      </w:pPr>
    </w:p>
    <w:p>
      <w:pPr>
        <w:spacing w:line="560" w:lineRule="exact"/>
        <w:ind w:firstLine="640" w:firstLineChars="200"/>
        <w:rPr>
          <w:rFonts w:ascii="Calibri" w:hAnsi="Calibri" w:eastAsia="仿宋_GB2312"/>
          <w:sz w:val="32"/>
          <w:szCs w:val="32"/>
        </w:rPr>
      </w:pPr>
      <w:r>
        <w:rPr>
          <w:rFonts w:ascii="Calibri" w:hAnsi="Calibri" w:eastAsia="仿宋_GB2312"/>
          <w:sz w:val="32"/>
          <w:szCs w:val="32"/>
        </w:rPr>
        <w:t>南方电网公司拥有本作品的知识产权，未经南方电网公司书面许可，任何单位和个人不得擅自</w:t>
      </w:r>
      <w:r>
        <w:rPr>
          <w:rFonts w:ascii="Calibri" w:hAnsi="Calibri" w:eastAsia="仿宋_GB2312"/>
          <w:color w:val="333333"/>
          <w:sz w:val="32"/>
          <w:szCs w:val="32"/>
        </w:rPr>
        <w:t>使用（包括但不限于复制、发行、转载、通过信息网络传播等）</w:t>
      </w:r>
      <w:r>
        <w:rPr>
          <w:rFonts w:ascii="Calibri" w:hAnsi="Calibri" w:eastAsia="仿宋_GB2312"/>
          <w:sz w:val="32"/>
          <w:szCs w:val="32"/>
        </w:rPr>
        <w:t>，否则，南方电网公司将依法追究法律责任。</w:t>
      </w:r>
    </w:p>
    <w:p>
      <w:pPr>
        <w:spacing w:line="560" w:lineRule="exact"/>
        <w:ind w:left="850"/>
        <w:rPr>
          <w:rFonts w:ascii="Calibri" w:hAnsi="Calibri" w:eastAsia="等线"/>
          <w:sz w:val="28"/>
          <w:szCs w:val="28"/>
        </w:rPr>
      </w:pPr>
    </w:p>
    <w:p>
      <w:pPr>
        <w:spacing w:line="560" w:lineRule="exact"/>
        <w:ind w:left="851" w:firstLine="560"/>
        <w:rPr>
          <w:rFonts w:ascii="Calibri" w:hAnsi="Calibri" w:eastAsia="等线"/>
          <w:sz w:val="28"/>
          <w:szCs w:val="28"/>
        </w:rPr>
      </w:pPr>
    </w:p>
    <w:p>
      <w:pPr>
        <w:spacing w:line="560" w:lineRule="exact"/>
        <w:jc w:val="center"/>
        <w:rPr>
          <w:rFonts w:ascii="Calibri" w:hAnsi="Calibri" w:eastAsia="等线"/>
          <w:sz w:val="44"/>
          <w:szCs w:val="44"/>
        </w:rPr>
      </w:pPr>
      <w:r>
        <w:rPr>
          <w:rFonts w:ascii="Calibri" w:hAnsi="Calibri" w:eastAsia="等线"/>
          <w:sz w:val="44"/>
          <w:szCs w:val="44"/>
        </w:rPr>
        <w:t>Intellectual Property Rights Statement</w:t>
      </w:r>
    </w:p>
    <w:p>
      <w:pPr>
        <w:spacing w:line="560" w:lineRule="exact"/>
        <w:ind w:left="851" w:firstLine="640"/>
        <w:rPr>
          <w:rFonts w:ascii="Calibri" w:hAnsi="Calibri" w:eastAsia="等线"/>
          <w:sz w:val="32"/>
          <w:szCs w:val="32"/>
        </w:rPr>
      </w:pPr>
    </w:p>
    <w:p>
      <w:pPr>
        <w:spacing w:line="560" w:lineRule="exact"/>
        <w:ind w:firstLine="640" w:firstLineChars="200"/>
        <w:rPr>
          <w:rFonts w:ascii="Calibri" w:hAnsi="Calibri" w:eastAsia="等线"/>
          <w:sz w:val="32"/>
          <w:szCs w:val="32"/>
        </w:rPr>
      </w:pPr>
      <w:r>
        <w:rPr>
          <w:rFonts w:ascii="Calibri" w:hAnsi="Calibri" w:eastAsia="等线"/>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34" w:beforeLines="200"/>
        <w:jc w:val="center"/>
        <w:rPr>
          <w:rFonts w:eastAsia="黑体"/>
          <w:b/>
          <w:szCs w:val="28"/>
        </w:rPr>
        <w:sectPr>
          <w:headerReference r:id="rId5" w:type="first"/>
          <w:headerReference r:id="rId3" w:type="default"/>
          <w:headerReference r:id="rId4" w:type="even"/>
          <w:footerReference r:id="rId6" w:type="even"/>
          <w:pgSz w:w="11907" w:h="16840"/>
          <w:pgMar w:top="1440" w:right="1800" w:bottom="1440" w:left="1800" w:header="720" w:footer="720" w:gutter="0"/>
          <w:pgNumType w:fmt="decimalFullWidth" w:start="0"/>
          <w:cols w:space="720" w:num="1"/>
          <w:titlePg/>
          <w:docGrid w:type="lines" w:linePitch="317" w:charSpace="0"/>
        </w:sectPr>
      </w:pPr>
      <w:r>
        <w:rPr>
          <w:rFonts w:eastAsia="黑体"/>
          <w:b/>
          <w:sz w:val="20"/>
          <w:szCs w:val="28"/>
        </w:rPr>
        <mc:AlternateContent>
          <mc:Choice Requires="wps">
            <w:drawing>
              <wp:anchor distT="0" distB="0" distL="114300" distR="114300" simplePos="0" relativeHeight="251664384" behindDoc="0" locked="0" layoutInCell="1" allowOverlap="1">
                <wp:simplePos x="0" y="0"/>
                <wp:positionH relativeFrom="column">
                  <wp:posOffset>4679315</wp:posOffset>
                </wp:positionH>
                <wp:positionV relativeFrom="paragraph">
                  <wp:posOffset>7815580</wp:posOffset>
                </wp:positionV>
                <wp:extent cx="1333500" cy="238125"/>
                <wp:effectExtent l="0" t="0" r="0" b="0"/>
                <wp:wrapNone/>
                <wp:docPr id="5" name="文本框 39"/>
                <wp:cNvGraphicFramePr/>
                <a:graphic xmlns:a="http://schemas.openxmlformats.org/drawingml/2006/main">
                  <a:graphicData uri="http://schemas.microsoft.com/office/word/2010/wordprocessingShape">
                    <wps:wsp>
                      <wps:cNvSpPr txBox="1"/>
                      <wps:spPr>
                        <a:xfrm>
                          <a:off x="0" y="0"/>
                          <a:ext cx="1333500" cy="238125"/>
                        </a:xfrm>
                        <a:prstGeom prst="rect">
                          <a:avLst/>
                        </a:prstGeom>
                        <a:noFill/>
                        <a:ln>
                          <a:noFill/>
                        </a:ln>
                      </wps:spPr>
                      <wps:txbx>
                        <w:txbxContent>
                          <w:p>
                            <w:pPr>
                              <w:rPr>
                                <w:sz w:val="28"/>
                                <w:szCs w:val="28"/>
                              </w:rPr>
                            </w:pPr>
                            <w:r>
                              <w:rPr>
                                <w:rFonts w:hint="eastAsia" w:ascii="黑体" w:eastAsia="黑体"/>
                                <w:sz w:val="28"/>
                                <w:szCs w:val="28"/>
                              </w:rPr>
                              <w:t>2015-**-** 实施</w:t>
                            </w:r>
                          </w:p>
                        </w:txbxContent>
                      </wps:txbx>
                      <wps:bodyPr lIns="0" tIns="0" rIns="0" bIns="0" upright="1"/>
                    </wps:wsp>
                  </a:graphicData>
                </a:graphic>
              </wp:anchor>
            </w:drawing>
          </mc:Choice>
          <mc:Fallback>
            <w:pict>
              <v:shape id="文本框 39" o:spid="_x0000_s1026" o:spt="202" type="#_x0000_t202" style="position:absolute;left:0pt;margin-left:368.45pt;margin-top:615.4pt;height:18.75pt;width:105pt;z-index:251664384;mso-width-relative:page;mso-height-relative:page;" filled="f" stroked="f" coordsize="21600,21600" o:gfxdata="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7FYq0NkAAAANAQAADwAAAAAAAAABACAAAAAiAAAAZHJzL2Rvd25yZXYueG1sUEsB&#10;AhQAFAAAAAgAh07iQBDviii7AQAAcwMAAA4AAAAAAAAAAQAgAAAAKAEAAGRycy9lMm9Eb2MueG1s&#10;UEsFBgAAAAAGAAYAWQEAAFUFAAAAAA==&#10;">
                <v:fill on="f" focussize="0,0"/>
                <v:stroke on="f"/>
                <v:imagedata o:title=""/>
                <o:lock v:ext="edit" aspectratio="f"/>
                <v:textbox inset="0mm,0mm,0mm,0mm">
                  <w:txbxContent>
                    <w:p>
                      <w:pPr>
                        <w:rPr>
                          <w:sz w:val="28"/>
                          <w:szCs w:val="28"/>
                        </w:rPr>
                      </w:pPr>
                      <w:r>
                        <w:rPr>
                          <w:rFonts w:hint="eastAsia" w:ascii="黑体" w:eastAsia="黑体"/>
                          <w:sz w:val="28"/>
                          <w:szCs w:val="28"/>
                        </w:rPr>
                        <w:t>2015-**-** 实施</w:t>
                      </w:r>
                    </w:p>
                  </w:txbxContent>
                </v:textbox>
              </v:shape>
            </w:pict>
          </mc:Fallback>
        </mc:AlternateContent>
      </w:r>
      <w:r>
        <w:rPr>
          <w:rFonts w:eastAsia="黑体"/>
          <w:b/>
          <w:sz w:val="20"/>
          <w:szCs w:val="28"/>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7815580</wp:posOffset>
                </wp:positionV>
                <wp:extent cx="1333500" cy="238125"/>
                <wp:effectExtent l="0" t="0" r="0" b="0"/>
                <wp:wrapNone/>
                <wp:docPr id="4" name="文本框 38"/>
                <wp:cNvGraphicFramePr/>
                <a:graphic xmlns:a="http://schemas.openxmlformats.org/drawingml/2006/main">
                  <a:graphicData uri="http://schemas.microsoft.com/office/word/2010/wordprocessingShape">
                    <wps:wsp>
                      <wps:cNvSpPr txBox="1"/>
                      <wps:spPr>
                        <a:xfrm>
                          <a:off x="0" y="0"/>
                          <a:ext cx="1333500" cy="238125"/>
                        </a:xfrm>
                        <a:prstGeom prst="rect">
                          <a:avLst/>
                        </a:prstGeom>
                        <a:noFill/>
                        <a:ln>
                          <a:noFill/>
                        </a:ln>
                      </wps:spPr>
                      <wps:txbx>
                        <w:txbxContent>
                          <w:p>
                            <w:pPr>
                              <w:rPr>
                                <w:sz w:val="28"/>
                                <w:szCs w:val="28"/>
                              </w:rPr>
                            </w:pPr>
                            <w:r>
                              <w:rPr>
                                <w:rFonts w:hint="eastAsia" w:ascii="黑体" w:eastAsia="黑体"/>
                                <w:sz w:val="28"/>
                                <w:szCs w:val="28"/>
                              </w:rPr>
                              <w:t>2015-**-**发布</w:t>
                            </w:r>
                          </w:p>
                        </w:txbxContent>
                      </wps:txbx>
                      <wps:bodyPr lIns="0" tIns="0" rIns="0" bIns="0" upright="1"/>
                    </wps:wsp>
                  </a:graphicData>
                </a:graphic>
              </wp:anchor>
            </w:drawing>
          </mc:Choice>
          <mc:Fallback>
            <w:pict>
              <v:shape id="文本框 38" o:spid="_x0000_s1026" o:spt="202" type="#_x0000_t202" style="position:absolute;left:0pt;margin-left:1.5pt;margin-top:615.4pt;height:18.75pt;width:105pt;z-index:251663360;mso-width-relative:page;mso-height-relative:page;" filled="f" stroked="f" coordsize="21600,21600" o:gfxdata="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Dh2zxDXAAAACwEAAA8AAAAAAAAAAQAgAAAAIgAAAGRycy9kb3ducmV2LnhtbFBLAQIU&#10;ABQAAAAIAIdO4kBT51zDuwEAAHMDAAAOAAAAAAAAAAEAIAAAACYBAABkcnMvZTJvRG9jLnhtbFBL&#10;BQYAAAAABgAGAFkBAABTBQAAAAA=&#10;">
                <v:fill on="f" focussize="0,0"/>
                <v:stroke on="f"/>
                <v:imagedata o:title=""/>
                <o:lock v:ext="edit" aspectratio="f"/>
                <v:textbox inset="0mm,0mm,0mm,0mm">
                  <w:txbxContent>
                    <w:p>
                      <w:pPr>
                        <w:rPr>
                          <w:sz w:val="28"/>
                          <w:szCs w:val="28"/>
                        </w:rPr>
                      </w:pPr>
                      <w:r>
                        <w:rPr>
                          <w:rFonts w:hint="eastAsia" w:ascii="黑体" w:eastAsia="黑体"/>
                          <w:sz w:val="28"/>
                          <w:szCs w:val="28"/>
                        </w:rPr>
                        <w:t>2015-**-**发布</w:t>
                      </w:r>
                    </w:p>
                  </w:txbxContent>
                </v:textbox>
              </v:shape>
            </w:pict>
          </mc:Fallback>
        </mc:AlternateContent>
      </w:r>
      <w:r>
        <w:rPr>
          <w:rFonts w:eastAsia="黑体"/>
          <w:b/>
          <w:sz w:val="20"/>
          <w:szCs w:val="28"/>
        </w:rPr>
        <mc:AlternateContent>
          <mc:Choice Requires="wps">
            <w:drawing>
              <wp:anchor distT="0" distB="0" distL="114300" distR="114300" simplePos="0" relativeHeight="251662336" behindDoc="0" locked="0" layoutInCell="1" allowOverlap="1">
                <wp:simplePos x="0" y="0"/>
                <wp:positionH relativeFrom="column">
                  <wp:posOffset>1640840</wp:posOffset>
                </wp:positionH>
                <wp:positionV relativeFrom="paragraph">
                  <wp:posOffset>8316595</wp:posOffset>
                </wp:positionV>
                <wp:extent cx="3075940" cy="314325"/>
                <wp:effectExtent l="0" t="0" r="0" b="0"/>
                <wp:wrapNone/>
                <wp:docPr id="3" name="文本框 37"/>
                <wp:cNvGraphicFramePr/>
                <a:graphic xmlns:a="http://schemas.openxmlformats.org/drawingml/2006/main">
                  <a:graphicData uri="http://schemas.microsoft.com/office/word/2010/wordprocessingShape">
                    <wps:wsp>
                      <wps:cNvSpPr txBox="1"/>
                      <wps:spPr>
                        <a:xfrm>
                          <a:off x="0" y="0"/>
                          <a:ext cx="3075940" cy="314325"/>
                        </a:xfrm>
                        <a:prstGeom prst="rect">
                          <a:avLst/>
                        </a:prstGeom>
                        <a:noFill/>
                        <a:ln>
                          <a:noFill/>
                        </a:ln>
                      </wps:spPr>
                      <wps:txbx>
                        <w:txbxContent>
                          <w:p>
                            <w:pPr>
                              <w:jc w:val="center"/>
                            </w:pPr>
                            <w:r>
                              <w:rPr>
                                <w:rFonts w:hint="eastAsia" w:ascii="黑体" w:eastAsia="黑体" w:cs="黑体"/>
                                <w:kern w:val="0"/>
                                <w:sz w:val="30"/>
                                <w:szCs w:val="30"/>
                              </w:rPr>
                              <w:t>中国南方电网有限责任公司</w:t>
                            </w:r>
                            <w:r>
                              <w:rPr>
                                <w:rFonts w:hint="eastAsia" w:eastAsia="华文中宋"/>
                                <w:b/>
                                <w:spacing w:val="20"/>
                                <w:w w:val="150"/>
                                <w:sz w:val="30"/>
                              </w:rPr>
                              <w:t xml:space="preserve">  </w:t>
                            </w:r>
                            <w:r>
                              <w:rPr>
                                <w:rFonts w:hint="eastAsia" w:eastAsia="黑体"/>
                                <w:sz w:val="28"/>
                                <w:szCs w:val="28"/>
                              </w:rPr>
                              <w:t>发 布</w:t>
                            </w:r>
                          </w:p>
                        </w:txbxContent>
                      </wps:txbx>
                      <wps:bodyPr lIns="0" tIns="0" rIns="0" bIns="0" upright="1"/>
                    </wps:wsp>
                  </a:graphicData>
                </a:graphic>
              </wp:anchor>
            </w:drawing>
          </mc:Choice>
          <mc:Fallback>
            <w:pict>
              <v:shape id="文本框 37" o:spid="_x0000_s1026" o:spt="202" type="#_x0000_t202" style="position:absolute;left:0pt;margin-left:129.2pt;margin-top:654.85pt;height:24.75pt;width:242.2pt;z-index:251662336;mso-width-relative:page;mso-height-relative:page;" filled="f" stroked="f" coordsize="21600,21600" o:gfxdata="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dO4MdsAAAANAQAADwAAAAAAAAABACAAAAAiAAAAZHJzL2Rvd25yZXYueG1s&#10;UEsBAhQAFAAAAAgAh07iQERJ9cS8AQAAcwMAAA4AAAAAAAAAAQAgAAAAKgEAAGRycy9lMm9Eb2Mu&#10;eG1sUEsFBgAAAAAGAAYAWQEAAFgFAAAAAA==&#10;">
                <v:fill on="f" focussize="0,0"/>
                <v:stroke on="f"/>
                <v:imagedata o:title=""/>
                <o:lock v:ext="edit" aspectratio="f"/>
                <v:textbox inset="0mm,0mm,0mm,0mm">
                  <w:txbxContent>
                    <w:p>
                      <w:pPr>
                        <w:jc w:val="center"/>
                      </w:pPr>
                      <w:r>
                        <w:rPr>
                          <w:rFonts w:hint="eastAsia" w:ascii="黑体" w:eastAsia="黑体" w:cs="黑体"/>
                          <w:kern w:val="0"/>
                          <w:sz w:val="30"/>
                          <w:szCs w:val="30"/>
                        </w:rPr>
                        <w:t>中国南方电网有限责任公司</w:t>
                      </w:r>
                      <w:r>
                        <w:rPr>
                          <w:rFonts w:hint="eastAsia" w:eastAsia="华文中宋"/>
                          <w:b/>
                          <w:spacing w:val="20"/>
                          <w:w w:val="150"/>
                          <w:sz w:val="30"/>
                        </w:rPr>
                        <w:t xml:space="preserve">  </w:t>
                      </w:r>
                      <w:r>
                        <w:rPr>
                          <w:rFonts w:hint="eastAsia" w:eastAsia="黑体"/>
                          <w:sz w:val="28"/>
                          <w:szCs w:val="28"/>
                        </w:rPr>
                        <w:t>发 布</w:t>
                      </w:r>
                    </w:p>
                  </w:txbxContent>
                </v:textbox>
              </v:shape>
            </w:pict>
          </mc:Fallback>
        </mc:AlternateContent>
      </w:r>
      <w:r>
        <w:rPr>
          <w:rFonts w:eastAsia="黑体"/>
          <w:b/>
          <w:sz w:val="20"/>
          <w:szCs w:val="28"/>
        </w:rPr>
        <mc:AlternateContent>
          <mc:Choice Requires="wps">
            <w:drawing>
              <wp:anchor distT="0" distB="0" distL="114300" distR="114300" simplePos="0" relativeHeight="251661312" behindDoc="0" locked="0" layoutInCell="1" allowOverlap="1">
                <wp:simplePos x="0" y="0"/>
                <wp:positionH relativeFrom="column">
                  <wp:posOffset>1488440</wp:posOffset>
                </wp:positionH>
                <wp:positionV relativeFrom="paragraph">
                  <wp:posOffset>8164195</wp:posOffset>
                </wp:positionV>
                <wp:extent cx="3075940" cy="314325"/>
                <wp:effectExtent l="0" t="0" r="0" b="0"/>
                <wp:wrapNone/>
                <wp:docPr id="2" name="文本框 36"/>
                <wp:cNvGraphicFramePr/>
                <a:graphic xmlns:a="http://schemas.openxmlformats.org/drawingml/2006/main">
                  <a:graphicData uri="http://schemas.microsoft.com/office/word/2010/wordprocessingShape">
                    <wps:wsp>
                      <wps:cNvSpPr txBox="1"/>
                      <wps:spPr>
                        <a:xfrm>
                          <a:off x="0" y="0"/>
                          <a:ext cx="3075940" cy="314325"/>
                        </a:xfrm>
                        <a:prstGeom prst="rect">
                          <a:avLst/>
                        </a:prstGeom>
                        <a:noFill/>
                        <a:ln>
                          <a:noFill/>
                        </a:ln>
                      </wps:spPr>
                      <wps:txbx>
                        <w:txbxContent>
                          <w:p>
                            <w:pPr>
                              <w:jc w:val="center"/>
                            </w:pPr>
                          </w:p>
                        </w:txbxContent>
                      </wps:txbx>
                      <wps:bodyPr lIns="0" tIns="0" rIns="0" bIns="0" upright="1"/>
                    </wps:wsp>
                  </a:graphicData>
                </a:graphic>
              </wp:anchor>
            </w:drawing>
          </mc:Choice>
          <mc:Fallback>
            <w:pict>
              <v:shape id="文本框 36" o:spid="_x0000_s1026" o:spt="202" type="#_x0000_t202" style="position:absolute;left:0pt;margin-left:117.2pt;margin-top:642.85pt;height:24.75pt;width:242.2pt;z-index:251661312;mso-width-relative:page;mso-height-relative:page;" filled="f" stroked="f" coordsize="21600,21600" o:gfxdata="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hlcZU2wAAAA0BAAAPAAAAAAAAAAEAIAAAACIAAABkcnMvZG93bnJldi54bWxQ&#10;SwECFAAUAAAACACHTuJAB0EjL7sBAABzAwAADgAAAAAAAAABACAAAAAqAQAAZHJzL2Uyb0RvYy54&#10;bWxQSwUGAAAAAAYABgBZAQAAVwUAAAAA&#10;">
                <v:fill on="f" focussize="0,0"/>
                <v:stroke on="f"/>
                <v:imagedata o:title=""/>
                <o:lock v:ext="edit" aspectratio="f"/>
                <v:textbox inset="0mm,0mm,0mm,0mm">
                  <w:txbxContent>
                    <w:p>
                      <w:pPr>
                        <w:jc w:val="center"/>
                      </w:pPr>
                    </w:p>
                  </w:txbxContent>
                </v:textbox>
              </v:shape>
            </w:pict>
          </mc:Fallback>
        </mc:AlternateContent>
      </w:r>
      <w:r>
        <w:rPr>
          <w:rFonts w:eastAsia="黑体"/>
          <w:b/>
          <w:sz w:val="20"/>
          <w:szCs w:val="28"/>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8102600</wp:posOffset>
                </wp:positionV>
                <wp:extent cx="5905500" cy="0"/>
                <wp:effectExtent l="0" t="9525" r="0" b="9525"/>
                <wp:wrapNone/>
                <wp:docPr id="1" name="直线 35"/>
                <wp:cNvGraphicFramePr/>
                <a:graphic xmlns:a="http://schemas.openxmlformats.org/drawingml/2006/main">
                  <a:graphicData uri="http://schemas.microsoft.com/office/word/2010/wordprocessingShape">
                    <wps:wsp>
                      <wps:cNvCnPr/>
                      <wps:spPr>
                        <a:xfrm>
                          <a:off x="0" y="0"/>
                          <a:ext cx="59055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线 35" o:spid="_x0000_s1026" o:spt="20" style="position:absolute;left:0pt;margin-left:-5.25pt;margin-top:638pt;height:0pt;width:465pt;z-index:251660288;mso-width-relative:page;mso-height-relative:page;" filled="f" stroked="t" coordsize="21600,21600" o:gfxdata="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fTkXWAAAADQEAAA8AAAAA&#10;AAAAAQAgAAAAIgAAAGRycy9kb3ducmV2LnhtbFBLAQIUABQAAAAIAIdO4kD4En//3QEAANEDAAAO&#10;AAAAAAAAAAEAIAAAACUBAABkcnMvZTJvRG9jLnhtbFBLBQYAAAAABgAGAFkBAAB0BQAAAAA=&#10;">
                <v:fill on="f" focussize="0,0"/>
                <v:stroke weight="1.5pt" color="#000000" joinstyle="round"/>
                <v:imagedata o:title=""/>
                <o:lock v:ext="edit" aspectratio="f"/>
              </v:line>
            </w:pict>
          </mc:Fallback>
        </mc:AlternateContent>
      </w:r>
    </w:p>
    <w:bookmarkEnd w:id="1"/>
    <w:bookmarkEnd w:id="2"/>
    <w:bookmarkEnd w:id="3"/>
    <w:bookmarkEnd w:id="4"/>
    <w:bookmarkEnd w:id="5"/>
    <w:bookmarkEnd w:id="6"/>
    <w:p>
      <w:pPr>
        <w:spacing w:line="360" w:lineRule="auto"/>
        <w:jc w:val="center"/>
        <w:rPr>
          <w:rFonts w:eastAsia="黑体"/>
          <w:sz w:val="32"/>
          <w:szCs w:val="28"/>
        </w:rPr>
      </w:pPr>
      <w:r>
        <w:rPr>
          <w:rFonts w:eastAsia="黑体"/>
          <w:sz w:val="32"/>
          <w:szCs w:val="28"/>
        </w:rPr>
        <w:t>本技术规范书对应的专用部分目录</w:t>
      </w:r>
    </w:p>
    <w:tbl>
      <w:tblPr>
        <w:tblStyle w:val="26"/>
        <w:tblW w:w="85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22"/>
        <w:gridCol w:w="4229"/>
        <w:gridCol w:w="3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22" w:type="dxa"/>
            <w:vAlign w:val="center"/>
          </w:tcPr>
          <w:p>
            <w:pPr>
              <w:jc w:val="center"/>
              <w:rPr>
                <w:sz w:val="24"/>
              </w:rPr>
            </w:pPr>
            <w:r>
              <w:rPr>
                <w:sz w:val="24"/>
              </w:rPr>
              <w:t>序号</w:t>
            </w:r>
          </w:p>
        </w:tc>
        <w:tc>
          <w:tcPr>
            <w:tcW w:w="4229" w:type="dxa"/>
            <w:vAlign w:val="center"/>
          </w:tcPr>
          <w:p>
            <w:pPr>
              <w:jc w:val="center"/>
              <w:rPr>
                <w:sz w:val="24"/>
              </w:rPr>
            </w:pPr>
            <w:r>
              <w:rPr>
                <w:sz w:val="24"/>
              </w:rPr>
              <w:t>名称</w:t>
            </w:r>
          </w:p>
        </w:tc>
        <w:tc>
          <w:tcPr>
            <w:tcW w:w="3111" w:type="dxa"/>
            <w:vAlign w:val="center"/>
          </w:tcPr>
          <w:p>
            <w:pPr>
              <w:jc w:val="center"/>
              <w:rPr>
                <w:sz w:val="24"/>
              </w:rPr>
            </w:pPr>
            <w:r>
              <w:rPr>
                <w:sz w:val="24"/>
              </w:rPr>
              <w:t>品类优化清单对应型号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22" w:type="dxa"/>
            <w:vAlign w:val="center"/>
          </w:tcPr>
          <w:p>
            <w:pPr>
              <w:jc w:val="center"/>
              <w:rPr>
                <w:sz w:val="24"/>
              </w:rPr>
            </w:pPr>
            <w:r>
              <w:rPr>
                <w:sz w:val="24"/>
              </w:rPr>
              <w:t>1</w:t>
            </w:r>
          </w:p>
        </w:tc>
        <w:tc>
          <w:tcPr>
            <w:tcW w:w="4229" w:type="dxa"/>
            <w:vAlign w:val="center"/>
          </w:tcPr>
          <w:p>
            <w:pPr>
              <w:rPr>
                <w:sz w:val="24"/>
              </w:rPr>
            </w:pPr>
            <w:r>
              <w:rPr>
                <w:rFonts w:hint="eastAsia"/>
                <w:sz w:val="24"/>
              </w:rPr>
              <w:t>超高压输电公司电力监控系统网络安全运维服务技术规范书（</w:t>
            </w:r>
            <w:r>
              <w:rPr>
                <w:sz w:val="24"/>
              </w:rPr>
              <w:t>专用部分</w:t>
            </w:r>
            <w:r>
              <w:rPr>
                <w:rFonts w:hint="eastAsia"/>
                <w:sz w:val="24"/>
              </w:rPr>
              <w:t>）</w:t>
            </w:r>
          </w:p>
        </w:tc>
        <w:tc>
          <w:tcPr>
            <w:tcW w:w="3111" w:type="dxa"/>
            <w:vAlign w:val="center"/>
          </w:tcPr>
          <w:p>
            <w:pPr>
              <w:widowControl/>
              <w:snapToGrid w:val="0"/>
              <w:spacing w:before="120" w:beforeLines="50" w:after="120" w:afterLines="50"/>
              <w:jc w:val="center"/>
              <w:rPr>
                <w:sz w:val="24"/>
              </w:rPr>
            </w:pPr>
          </w:p>
        </w:tc>
      </w:tr>
    </w:tbl>
    <w:p>
      <w:pPr>
        <w:pStyle w:val="20"/>
        <w:tabs>
          <w:tab w:val="left" w:pos="840"/>
          <w:tab w:val="right" w:leader="dot" w:pos="8704"/>
        </w:tabs>
        <w:jc w:val="center"/>
        <w:rPr>
          <w:rFonts w:hint="eastAsia" w:cs="黑体"/>
          <w:bCs/>
          <w:kern w:val="0"/>
          <w:sz w:val="32"/>
          <w:szCs w:val="32"/>
        </w:rPr>
      </w:pPr>
      <w:r>
        <w:rPr>
          <w:szCs w:val="20"/>
        </w:rPr>
        <w:br w:type="page"/>
      </w:r>
      <w:bookmarkStart w:id="7" w:name="_Toc9815"/>
      <w:bookmarkStart w:id="8" w:name="_Toc421883497"/>
      <w:bookmarkStart w:id="9" w:name="_Toc424564532"/>
      <w:bookmarkStart w:id="10" w:name="_Toc21370"/>
      <w:bookmarkStart w:id="11" w:name="_Toc20319"/>
      <w:bookmarkStart w:id="12" w:name="_Toc88930279"/>
      <w:bookmarkStart w:id="13" w:name="_Toc9135"/>
      <w:bookmarkStart w:id="14" w:name="_Toc18798"/>
      <w:bookmarkStart w:id="15" w:name="_Toc10192219"/>
      <w:bookmarkStart w:id="16" w:name="_Toc18927"/>
      <w:bookmarkStart w:id="17" w:name="_Toc2613"/>
      <w:bookmarkStart w:id="18" w:name="_Toc755"/>
      <w:r>
        <w:rPr>
          <w:rFonts w:hint="eastAsia" w:cs="黑体"/>
          <w:bCs/>
          <w:kern w:val="0"/>
          <w:sz w:val="32"/>
          <w:szCs w:val="32"/>
        </w:rPr>
        <w:t>目   录</w:t>
      </w:r>
      <w:bookmarkEnd w:id="7"/>
      <w:bookmarkEnd w:id="8"/>
      <w:bookmarkEnd w:id="9"/>
      <w:bookmarkEnd w:id="10"/>
      <w:bookmarkEnd w:id="11"/>
      <w:bookmarkEnd w:id="12"/>
      <w:bookmarkEnd w:id="13"/>
      <w:bookmarkEnd w:id="14"/>
      <w:bookmarkEnd w:id="15"/>
      <w:bookmarkEnd w:id="16"/>
      <w:bookmarkEnd w:id="17"/>
      <w:bookmarkEnd w:id="18"/>
    </w:p>
    <w:p>
      <w:pPr>
        <w:pStyle w:val="20"/>
        <w:tabs>
          <w:tab w:val="right" w:leader="dot" w:pos="8714"/>
        </w:tabs>
      </w:pPr>
      <w:r>
        <w:rPr>
          <w:sz w:val="24"/>
        </w:rPr>
        <w:fldChar w:fldCharType="begin"/>
      </w:r>
      <w:r>
        <w:rPr>
          <w:sz w:val="24"/>
        </w:rPr>
        <w:instrText xml:space="preserve"> TOC \o "1-2" \h \z \u </w:instrText>
      </w:r>
      <w:r>
        <w:rPr>
          <w:sz w:val="24"/>
        </w:rPr>
        <w:fldChar w:fldCharType="separate"/>
      </w:r>
      <w:r>
        <w:fldChar w:fldCharType="begin"/>
      </w:r>
      <w:r>
        <w:instrText xml:space="preserve"> HYPERLINK \l _Toc9937 </w:instrText>
      </w:r>
      <w:r>
        <w:fldChar w:fldCharType="separate"/>
      </w:r>
      <w:r>
        <w:rPr>
          <w:rFonts w:ascii="黑体" w:hAnsi="黑体" w:eastAsia="黑体"/>
          <w:szCs w:val="21"/>
        </w:rPr>
        <w:t>1</w:t>
      </w:r>
      <w:r>
        <w:rPr>
          <w:rFonts w:hint="eastAsia" w:ascii="黑体" w:hAnsi="黑体" w:eastAsia="黑体"/>
          <w:szCs w:val="21"/>
          <w:lang w:eastAsia="zh-CN"/>
        </w:rPr>
        <w:t>.</w:t>
      </w:r>
      <w:r>
        <w:rPr>
          <w:rFonts w:ascii="黑体" w:hAnsi="黑体" w:eastAsia="黑体"/>
          <w:szCs w:val="21"/>
        </w:rPr>
        <w:t>总则</w:t>
      </w:r>
      <w:r>
        <w:tab/>
      </w:r>
      <w:r>
        <w:fldChar w:fldCharType="begin"/>
      </w:r>
      <w:r>
        <w:instrText xml:space="preserve"> PAGEREF _Toc9937 \h </w:instrText>
      </w:r>
      <w:r>
        <w:fldChar w:fldCharType="separate"/>
      </w:r>
      <w:r>
        <w:t>1</w:t>
      </w:r>
      <w:r>
        <w:fldChar w:fldCharType="end"/>
      </w:r>
      <w:r>
        <w:fldChar w:fldCharType="end"/>
      </w:r>
    </w:p>
    <w:p>
      <w:pPr>
        <w:pStyle w:val="20"/>
        <w:tabs>
          <w:tab w:val="right" w:leader="dot" w:pos="8714"/>
        </w:tabs>
      </w:pPr>
      <w:r>
        <w:fldChar w:fldCharType="begin"/>
      </w:r>
      <w:r>
        <w:instrText xml:space="preserve"> HYPERLINK \l _Toc24720 </w:instrText>
      </w:r>
      <w:r>
        <w:fldChar w:fldCharType="separate"/>
      </w:r>
      <w:r>
        <w:rPr>
          <w:rFonts w:hint="eastAsia" w:ascii="黑体" w:hAnsi="黑体" w:eastAsia="黑体"/>
          <w:szCs w:val="21"/>
        </w:rPr>
        <w:t>2</w:t>
      </w:r>
      <w:r>
        <w:rPr>
          <w:rFonts w:hint="eastAsia" w:ascii="黑体" w:hAnsi="黑体" w:eastAsia="黑体"/>
          <w:szCs w:val="21"/>
          <w:lang w:eastAsia="zh-CN"/>
        </w:rPr>
        <w:t>.</w:t>
      </w:r>
      <w:r>
        <w:rPr>
          <w:rFonts w:hint="eastAsia" w:ascii="黑体" w:hAnsi="黑体" w:eastAsia="黑体"/>
          <w:szCs w:val="21"/>
        </w:rPr>
        <w:t>项目概况</w:t>
      </w:r>
      <w:r>
        <w:tab/>
      </w:r>
      <w:r>
        <w:fldChar w:fldCharType="begin"/>
      </w:r>
      <w:r>
        <w:instrText xml:space="preserve"> PAGEREF _Toc24720 \h </w:instrText>
      </w:r>
      <w:r>
        <w:fldChar w:fldCharType="separate"/>
      </w:r>
      <w:r>
        <w:t>1</w:t>
      </w:r>
      <w:r>
        <w:fldChar w:fldCharType="end"/>
      </w:r>
      <w:r>
        <w:fldChar w:fldCharType="end"/>
      </w:r>
    </w:p>
    <w:p>
      <w:pPr>
        <w:pStyle w:val="20"/>
        <w:tabs>
          <w:tab w:val="right" w:leader="dot" w:pos="8714"/>
        </w:tabs>
      </w:pPr>
      <w:r>
        <w:fldChar w:fldCharType="begin"/>
      </w:r>
      <w:r>
        <w:instrText xml:space="preserve"> HYPERLINK \l _Toc8249 </w:instrText>
      </w:r>
      <w:r>
        <w:fldChar w:fldCharType="separate"/>
      </w:r>
      <w:r>
        <w:rPr>
          <w:rFonts w:hint="eastAsia" w:ascii="黑体" w:hAnsi="黑体" w:eastAsia="黑体"/>
          <w:szCs w:val="21"/>
          <w:lang w:val="en-US" w:eastAsia="zh-CN"/>
        </w:rPr>
        <w:t>3.</w:t>
      </w:r>
      <w:r>
        <w:rPr>
          <w:rFonts w:hint="eastAsia" w:ascii="黑体" w:hAnsi="黑体" w:eastAsia="黑体"/>
          <w:szCs w:val="21"/>
        </w:rPr>
        <w:t>项目内容</w:t>
      </w:r>
      <w:r>
        <w:tab/>
      </w:r>
      <w:r>
        <w:fldChar w:fldCharType="begin"/>
      </w:r>
      <w:r>
        <w:instrText xml:space="preserve"> PAGEREF _Toc8249 \h </w:instrText>
      </w:r>
      <w:r>
        <w:fldChar w:fldCharType="separate"/>
      </w:r>
      <w:r>
        <w:t>1</w:t>
      </w:r>
      <w:r>
        <w:fldChar w:fldCharType="end"/>
      </w:r>
      <w:r>
        <w:fldChar w:fldCharType="end"/>
      </w:r>
    </w:p>
    <w:p>
      <w:pPr>
        <w:pStyle w:val="20"/>
        <w:tabs>
          <w:tab w:val="right" w:leader="dot" w:pos="8714"/>
        </w:tabs>
      </w:pPr>
      <w:r>
        <w:fldChar w:fldCharType="begin"/>
      </w:r>
      <w:r>
        <w:instrText xml:space="preserve"> HYPERLINK \l _Toc15612 </w:instrText>
      </w:r>
      <w:r>
        <w:fldChar w:fldCharType="separate"/>
      </w:r>
      <w:r>
        <w:rPr>
          <w:rFonts w:hint="eastAsia" w:ascii="黑体" w:hAnsi="黑体" w:eastAsia="黑体"/>
          <w:szCs w:val="21"/>
        </w:rPr>
        <w:t>4</w:t>
      </w:r>
      <w:r>
        <w:rPr>
          <w:rFonts w:hint="eastAsia" w:ascii="黑体" w:hAnsi="黑体" w:eastAsia="黑体"/>
          <w:szCs w:val="21"/>
          <w:lang w:eastAsia="zh-CN"/>
        </w:rPr>
        <w:t>.</w:t>
      </w:r>
      <w:r>
        <w:rPr>
          <w:rFonts w:hint="eastAsia" w:ascii="黑体" w:hAnsi="黑体" w:eastAsia="黑体"/>
          <w:szCs w:val="21"/>
        </w:rPr>
        <w:t>总体要求</w:t>
      </w:r>
      <w:r>
        <w:tab/>
      </w:r>
      <w:r>
        <w:fldChar w:fldCharType="begin"/>
      </w:r>
      <w:r>
        <w:instrText xml:space="preserve"> PAGEREF _Toc15612 \h </w:instrText>
      </w:r>
      <w:r>
        <w:fldChar w:fldCharType="separate"/>
      </w:r>
      <w:r>
        <w:t>2</w:t>
      </w:r>
      <w:r>
        <w:fldChar w:fldCharType="end"/>
      </w:r>
      <w:r>
        <w:fldChar w:fldCharType="end"/>
      </w:r>
    </w:p>
    <w:p>
      <w:pPr>
        <w:pStyle w:val="20"/>
        <w:tabs>
          <w:tab w:val="right" w:leader="dot" w:pos="8714"/>
        </w:tabs>
      </w:pPr>
      <w:r>
        <w:fldChar w:fldCharType="begin"/>
      </w:r>
      <w:r>
        <w:instrText xml:space="preserve"> HYPERLINK \l _Toc11304 </w:instrText>
      </w:r>
      <w:r>
        <w:fldChar w:fldCharType="separate"/>
      </w:r>
      <w:r>
        <w:rPr>
          <w:rFonts w:hint="eastAsia" w:ascii="黑体" w:hAnsi="黑体" w:eastAsia="黑体"/>
          <w:szCs w:val="21"/>
          <w:lang w:eastAsia="zh-CN"/>
        </w:rPr>
        <w:t>5.引用标准</w:t>
      </w:r>
      <w:r>
        <w:tab/>
      </w:r>
      <w:r>
        <w:fldChar w:fldCharType="begin"/>
      </w:r>
      <w:r>
        <w:instrText xml:space="preserve"> PAGEREF _Toc11304 \h </w:instrText>
      </w:r>
      <w:r>
        <w:fldChar w:fldCharType="separate"/>
      </w:r>
      <w:r>
        <w:t>2</w:t>
      </w:r>
      <w:r>
        <w:fldChar w:fldCharType="end"/>
      </w:r>
      <w:r>
        <w:fldChar w:fldCharType="end"/>
      </w:r>
    </w:p>
    <w:p>
      <w:pPr>
        <w:pStyle w:val="20"/>
        <w:tabs>
          <w:tab w:val="right" w:leader="dot" w:pos="8714"/>
        </w:tabs>
      </w:pPr>
      <w:r>
        <w:fldChar w:fldCharType="begin"/>
      </w:r>
      <w:r>
        <w:instrText xml:space="preserve"> HYPERLINK \l _Toc17463 </w:instrText>
      </w:r>
      <w:r>
        <w:fldChar w:fldCharType="separate"/>
      </w:r>
      <w:r>
        <w:rPr>
          <w:rFonts w:hint="eastAsia" w:ascii="黑体" w:hAnsi="黑体" w:eastAsia="黑体"/>
          <w:szCs w:val="21"/>
          <w:lang w:eastAsia="zh-CN"/>
        </w:rPr>
        <w:t>6.技术要求</w:t>
      </w:r>
      <w:r>
        <w:tab/>
      </w:r>
      <w:r>
        <w:fldChar w:fldCharType="begin"/>
      </w:r>
      <w:r>
        <w:instrText xml:space="preserve"> PAGEREF _Toc17463 \h </w:instrText>
      </w:r>
      <w:r>
        <w:fldChar w:fldCharType="separate"/>
      </w:r>
      <w:r>
        <w:t>3</w:t>
      </w:r>
      <w:r>
        <w:fldChar w:fldCharType="end"/>
      </w:r>
      <w:r>
        <w:fldChar w:fldCharType="end"/>
      </w:r>
    </w:p>
    <w:p>
      <w:pPr>
        <w:pStyle w:val="22"/>
        <w:tabs>
          <w:tab w:val="right" w:leader="dot" w:pos="8714"/>
        </w:tabs>
      </w:pPr>
      <w:r>
        <w:fldChar w:fldCharType="begin"/>
      </w:r>
      <w:r>
        <w:instrText xml:space="preserve"> HYPERLINK \l _Toc27014 </w:instrText>
      </w:r>
      <w:r>
        <w:fldChar w:fldCharType="separate"/>
      </w:r>
      <w:r>
        <w:rPr>
          <w:rFonts w:hint="eastAsia" w:ascii="Times New Roman" w:hAnsi="Times New Roman"/>
          <w:szCs w:val="21"/>
        </w:rPr>
        <w:t>6.1网络安全风险评估要求</w:t>
      </w:r>
      <w:r>
        <w:tab/>
      </w:r>
      <w:r>
        <w:fldChar w:fldCharType="begin"/>
      </w:r>
      <w:r>
        <w:instrText xml:space="preserve"> PAGEREF _Toc27014 \h </w:instrText>
      </w:r>
      <w:r>
        <w:fldChar w:fldCharType="separate"/>
      </w:r>
      <w:r>
        <w:t>3</w:t>
      </w:r>
      <w:r>
        <w:fldChar w:fldCharType="end"/>
      </w:r>
      <w:r>
        <w:fldChar w:fldCharType="end"/>
      </w:r>
    </w:p>
    <w:p>
      <w:pPr>
        <w:pStyle w:val="22"/>
        <w:tabs>
          <w:tab w:val="right" w:leader="dot" w:pos="8714"/>
        </w:tabs>
      </w:pPr>
      <w:r>
        <w:fldChar w:fldCharType="begin"/>
      </w:r>
      <w:r>
        <w:instrText xml:space="preserve"> HYPERLINK \l _Toc5785 </w:instrText>
      </w:r>
      <w:r>
        <w:fldChar w:fldCharType="separate"/>
      </w:r>
      <w:r>
        <w:rPr>
          <w:rFonts w:hint="eastAsia" w:ascii="Times New Roman" w:hAnsi="Times New Roman"/>
          <w:szCs w:val="21"/>
        </w:rPr>
        <w:t>6.2网络安全培训及宣传服务要求</w:t>
      </w:r>
      <w:r>
        <w:tab/>
      </w:r>
      <w:r>
        <w:fldChar w:fldCharType="begin"/>
      </w:r>
      <w:r>
        <w:instrText xml:space="preserve"> PAGEREF _Toc5785 \h </w:instrText>
      </w:r>
      <w:r>
        <w:fldChar w:fldCharType="separate"/>
      </w:r>
      <w:r>
        <w:t>4</w:t>
      </w:r>
      <w:r>
        <w:fldChar w:fldCharType="end"/>
      </w:r>
      <w:r>
        <w:fldChar w:fldCharType="end"/>
      </w:r>
    </w:p>
    <w:p>
      <w:pPr>
        <w:pStyle w:val="22"/>
        <w:tabs>
          <w:tab w:val="right" w:leader="dot" w:pos="8714"/>
        </w:tabs>
      </w:pPr>
      <w:r>
        <w:fldChar w:fldCharType="begin"/>
      </w:r>
      <w:r>
        <w:instrText xml:space="preserve"> HYPERLINK \l _Toc18447 </w:instrText>
      </w:r>
      <w:r>
        <w:fldChar w:fldCharType="separate"/>
      </w:r>
      <w:r>
        <w:rPr>
          <w:rFonts w:hint="eastAsia" w:ascii="Times New Roman" w:hAnsi="Times New Roman"/>
          <w:szCs w:val="21"/>
        </w:rPr>
        <w:t>6.3网络安全定期检查服务要求</w:t>
      </w:r>
      <w:r>
        <w:tab/>
      </w:r>
      <w:r>
        <w:fldChar w:fldCharType="begin"/>
      </w:r>
      <w:r>
        <w:instrText xml:space="preserve"> PAGEREF _Toc18447 \h </w:instrText>
      </w:r>
      <w:r>
        <w:fldChar w:fldCharType="separate"/>
      </w:r>
      <w:r>
        <w:t>5</w:t>
      </w:r>
      <w:r>
        <w:fldChar w:fldCharType="end"/>
      </w:r>
      <w:r>
        <w:fldChar w:fldCharType="end"/>
      </w:r>
    </w:p>
    <w:p>
      <w:pPr>
        <w:pStyle w:val="22"/>
        <w:tabs>
          <w:tab w:val="right" w:leader="dot" w:pos="8714"/>
        </w:tabs>
      </w:pPr>
      <w:r>
        <w:fldChar w:fldCharType="begin"/>
      </w:r>
      <w:r>
        <w:instrText xml:space="preserve"> HYPERLINK \l _Toc6798 </w:instrText>
      </w:r>
      <w:r>
        <w:fldChar w:fldCharType="separate"/>
      </w:r>
      <w:r>
        <w:rPr>
          <w:rFonts w:hint="eastAsia" w:ascii="Times New Roman" w:hAnsi="Times New Roman"/>
          <w:szCs w:val="21"/>
        </w:rPr>
        <w:t>6.4安全策略定制、审查、优化</w:t>
      </w:r>
      <w:r>
        <w:tab/>
      </w:r>
      <w:r>
        <w:fldChar w:fldCharType="begin"/>
      </w:r>
      <w:r>
        <w:instrText xml:space="preserve"> PAGEREF _Toc6798 \h </w:instrText>
      </w:r>
      <w:r>
        <w:fldChar w:fldCharType="separate"/>
      </w:r>
      <w:r>
        <w:t>7</w:t>
      </w:r>
      <w:r>
        <w:fldChar w:fldCharType="end"/>
      </w:r>
      <w:r>
        <w:fldChar w:fldCharType="end"/>
      </w:r>
    </w:p>
    <w:p>
      <w:pPr>
        <w:pStyle w:val="22"/>
        <w:tabs>
          <w:tab w:val="right" w:leader="dot" w:pos="8714"/>
        </w:tabs>
      </w:pPr>
      <w:r>
        <w:fldChar w:fldCharType="begin"/>
      </w:r>
      <w:r>
        <w:instrText xml:space="preserve"> HYPERLINK \l _Toc31645 </w:instrText>
      </w:r>
      <w:r>
        <w:fldChar w:fldCharType="separate"/>
      </w:r>
      <w:r>
        <w:rPr>
          <w:rFonts w:hint="eastAsia" w:ascii="Times New Roman" w:hAnsi="Times New Roman"/>
          <w:szCs w:val="21"/>
        </w:rPr>
        <w:t>6.5特殊时期安全值守要求</w:t>
      </w:r>
      <w:r>
        <w:tab/>
      </w:r>
      <w:r>
        <w:fldChar w:fldCharType="begin"/>
      </w:r>
      <w:r>
        <w:instrText xml:space="preserve"> PAGEREF _Toc31645 \h </w:instrText>
      </w:r>
      <w:r>
        <w:fldChar w:fldCharType="separate"/>
      </w:r>
      <w:r>
        <w:t>7</w:t>
      </w:r>
      <w:r>
        <w:fldChar w:fldCharType="end"/>
      </w:r>
      <w:r>
        <w:fldChar w:fldCharType="end"/>
      </w:r>
    </w:p>
    <w:p>
      <w:pPr>
        <w:pStyle w:val="22"/>
        <w:tabs>
          <w:tab w:val="right" w:leader="dot" w:pos="8714"/>
        </w:tabs>
      </w:pPr>
      <w:r>
        <w:fldChar w:fldCharType="begin"/>
      </w:r>
      <w:r>
        <w:instrText xml:space="preserve"> HYPERLINK \l _Toc26428 </w:instrText>
      </w:r>
      <w:r>
        <w:fldChar w:fldCharType="separate"/>
      </w:r>
      <w:r>
        <w:rPr>
          <w:rFonts w:hint="eastAsia" w:ascii="Times New Roman" w:hAnsi="Times New Roman"/>
          <w:szCs w:val="21"/>
        </w:rPr>
        <w:t>6.6网络安全应急响应、重大紧急缺陷处理</w:t>
      </w:r>
      <w:r>
        <w:tab/>
      </w:r>
      <w:r>
        <w:fldChar w:fldCharType="begin"/>
      </w:r>
      <w:r>
        <w:instrText xml:space="preserve"> PAGEREF _Toc26428 \h </w:instrText>
      </w:r>
      <w:r>
        <w:fldChar w:fldCharType="separate"/>
      </w:r>
      <w:r>
        <w:t>9</w:t>
      </w:r>
      <w:r>
        <w:fldChar w:fldCharType="end"/>
      </w:r>
      <w:r>
        <w:fldChar w:fldCharType="end"/>
      </w:r>
    </w:p>
    <w:p>
      <w:pPr>
        <w:pStyle w:val="20"/>
        <w:tabs>
          <w:tab w:val="right" w:leader="dot" w:pos="8714"/>
        </w:tabs>
      </w:pPr>
      <w:r>
        <w:fldChar w:fldCharType="begin"/>
      </w:r>
      <w:r>
        <w:instrText xml:space="preserve"> HYPERLINK \l _Toc28326 </w:instrText>
      </w:r>
      <w:r>
        <w:fldChar w:fldCharType="separate"/>
      </w:r>
      <w:r>
        <w:rPr>
          <w:rFonts w:hint="eastAsia" w:ascii="黑体" w:hAnsi="黑体" w:eastAsia="黑体"/>
          <w:szCs w:val="21"/>
          <w:lang w:val="en-US" w:eastAsia="zh-CN"/>
        </w:rPr>
        <w:t>7.</w:t>
      </w:r>
      <w:r>
        <w:rPr>
          <w:rFonts w:hint="eastAsia" w:ascii="黑体" w:hAnsi="黑体" w:eastAsia="黑体"/>
          <w:szCs w:val="21"/>
        </w:rPr>
        <w:t>项目管理要求</w:t>
      </w:r>
      <w:r>
        <w:tab/>
      </w:r>
      <w:r>
        <w:fldChar w:fldCharType="begin"/>
      </w:r>
      <w:r>
        <w:instrText xml:space="preserve"> PAGEREF _Toc28326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_Toc21895 </w:instrText>
      </w:r>
      <w:r>
        <w:fldChar w:fldCharType="separate"/>
      </w:r>
      <w:r>
        <w:rPr>
          <w:rFonts w:hint="eastAsia"/>
        </w:rPr>
        <w:t>7</w:t>
      </w:r>
      <w:r>
        <w:t>.1质量保证要求</w:t>
      </w:r>
      <w:r>
        <w:tab/>
      </w:r>
      <w:r>
        <w:fldChar w:fldCharType="begin"/>
      </w:r>
      <w:r>
        <w:instrText xml:space="preserve"> PAGEREF _Toc21895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_Toc21946 </w:instrText>
      </w:r>
      <w:r>
        <w:fldChar w:fldCharType="separate"/>
      </w:r>
      <w:r>
        <w:rPr>
          <w:rFonts w:hint="eastAsia"/>
        </w:rPr>
        <w:t>7</w:t>
      </w:r>
      <w:r>
        <w:t>.2</w:t>
      </w:r>
      <w:r>
        <w:rPr>
          <w:rFonts w:hint="eastAsia"/>
        </w:rPr>
        <w:t>组织保证</w:t>
      </w:r>
      <w:r>
        <w:t>要求</w:t>
      </w:r>
      <w:r>
        <w:tab/>
      </w:r>
      <w:r>
        <w:fldChar w:fldCharType="begin"/>
      </w:r>
      <w:r>
        <w:instrText xml:space="preserve"> PAGEREF _Toc21946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_Toc29193 </w:instrText>
      </w:r>
      <w:r>
        <w:fldChar w:fldCharType="separate"/>
      </w:r>
      <w:r>
        <w:rPr>
          <w:rFonts w:hint="eastAsia"/>
        </w:rPr>
        <w:t>7</w:t>
      </w:r>
      <w:r>
        <w:t>.3进度保证要求</w:t>
      </w:r>
      <w:r>
        <w:tab/>
      </w:r>
      <w:r>
        <w:fldChar w:fldCharType="begin"/>
      </w:r>
      <w:r>
        <w:instrText xml:space="preserve"> PAGEREF _Toc29193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_Toc21525 </w:instrText>
      </w:r>
      <w:r>
        <w:fldChar w:fldCharType="separate"/>
      </w:r>
      <w:r>
        <w:rPr>
          <w:rFonts w:hint="eastAsia"/>
        </w:rPr>
        <w:t>7</w:t>
      </w:r>
      <w:r>
        <w:t>.</w:t>
      </w:r>
      <w:r>
        <w:rPr>
          <w:rFonts w:hint="eastAsia"/>
        </w:rPr>
        <w:t>4保密要求</w:t>
      </w:r>
      <w:r>
        <w:tab/>
      </w:r>
      <w:r>
        <w:fldChar w:fldCharType="begin"/>
      </w:r>
      <w:r>
        <w:instrText xml:space="preserve"> PAGEREF _Toc21525 \h </w:instrText>
      </w:r>
      <w:r>
        <w:fldChar w:fldCharType="separate"/>
      </w:r>
      <w:r>
        <w:t>10</w:t>
      </w:r>
      <w:r>
        <w:fldChar w:fldCharType="end"/>
      </w:r>
      <w:r>
        <w:fldChar w:fldCharType="end"/>
      </w:r>
    </w:p>
    <w:p>
      <w:pPr>
        <w:pStyle w:val="20"/>
        <w:tabs>
          <w:tab w:val="right" w:leader="dot" w:pos="8714"/>
        </w:tabs>
      </w:pPr>
      <w:r>
        <w:fldChar w:fldCharType="begin"/>
      </w:r>
      <w:r>
        <w:instrText xml:space="preserve"> HYPERLINK \l _Toc8183 </w:instrText>
      </w:r>
      <w:r>
        <w:fldChar w:fldCharType="separate"/>
      </w:r>
      <w:r>
        <w:rPr>
          <w:rFonts w:hint="eastAsia" w:ascii="黑体" w:hAnsi="黑体" w:eastAsia="黑体"/>
          <w:szCs w:val="21"/>
          <w:lang w:val="en-US" w:eastAsia="zh-CN"/>
        </w:rPr>
        <w:t>8.</w:t>
      </w:r>
      <w:r>
        <w:rPr>
          <w:rFonts w:hint="eastAsia" w:ascii="黑体" w:hAnsi="黑体" w:eastAsia="黑体"/>
          <w:szCs w:val="21"/>
        </w:rPr>
        <w:t>项目服务范围</w:t>
      </w:r>
      <w:r>
        <w:rPr>
          <w:rFonts w:hint="eastAsia" w:ascii="黑体" w:hAnsi="黑体" w:eastAsia="黑体"/>
          <w:szCs w:val="21"/>
          <w:lang w:val="en-US" w:eastAsia="zh-CN"/>
        </w:rPr>
        <w:t>与</w:t>
      </w:r>
      <w:r>
        <w:rPr>
          <w:rFonts w:hint="eastAsia" w:ascii="黑体" w:hAnsi="黑体" w:eastAsia="黑体"/>
          <w:szCs w:val="21"/>
        </w:rPr>
        <w:t>需求一览表</w:t>
      </w:r>
      <w:r>
        <w:tab/>
      </w:r>
      <w:r>
        <w:fldChar w:fldCharType="begin"/>
      </w:r>
      <w:r>
        <w:instrText xml:space="preserve"> PAGEREF _Toc8183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_Toc24946 </w:instrText>
      </w:r>
      <w:r>
        <w:fldChar w:fldCharType="separate"/>
      </w:r>
      <w:r>
        <w:rPr>
          <w:rFonts w:hint="eastAsia" w:ascii="Times New Roman" w:hAnsi="Times New Roman"/>
          <w:szCs w:val="21"/>
        </w:rPr>
        <w:t>8.1项目服务范围</w:t>
      </w:r>
      <w:r>
        <w:tab/>
      </w:r>
      <w:r>
        <w:fldChar w:fldCharType="begin"/>
      </w:r>
      <w:r>
        <w:instrText xml:space="preserve"> PAGEREF _Toc24946 \h </w:instrText>
      </w:r>
      <w:r>
        <w:fldChar w:fldCharType="separate"/>
      </w:r>
      <w:r>
        <w:t>10</w:t>
      </w:r>
      <w:r>
        <w:fldChar w:fldCharType="end"/>
      </w:r>
      <w:r>
        <w:fldChar w:fldCharType="end"/>
      </w:r>
    </w:p>
    <w:p>
      <w:pPr>
        <w:pStyle w:val="22"/>
        <w:tabs>
          <w:tab w:val="right" w:leader="dot" w:pos="8714"/>
        </w:tabs>
      </w:pPr>
      <w:r>
        <w:fldChar w:fldCharType="begin"/>
      </w:r>
      <w:r>
        <w:instrText xml:space="preserve"> HYPERLINK \l _Toc31757 </w:instrText>
      </w:r>
      <w:r>
        <w:fldChar w:fldCharType="separate"/>
      </w:r>
      <w:r>
        <w:rPr>
          <w:rFonts w:hint="eastAsia" w:ascii="Times New Roman" w:hAnsi="Times New Roman"/>
          <w:szCs w:val="21"/>
        </w:rPr>
        <w:t>8.2服务需求一览表</w:t>
      </w:r>
      <w:r>
        <w:tab/>
      </w:r>
      <w:r>
        <w:fldChar w:fldCharType="begin"/>
      </w:r>
      <w:r>
        <w:instrText xml:space="preserve"> PAGEREF _Toc31757 \h </w:instrText>
      </w:r>
      <w:r>
        <w:fldChar w:fldCharType="separate"/>
      </w:r>
      <w:r>
        <w:t>12</w:t>
      </w:r>
      <w:r>
        <w:fldChar w:fldCharType="end"/>
      </w:r>
      <w:r>
        <w:fldChar w:fldCharType="end"/>
      </w:r>
    </w:p>
    <w:p>
      <w:pPr>
        <w:pStyle w:val="20"/>
        <w:tabs>
          <w:tab w:val="right" w:leader="dot" w:pos="8714"/>
        </w:tabs>
      </w:pPr>
      <w:r>
        <w:fldChar w:fldCharType="begin"/>
      </w:r>
      <w:r>
        <w:instrText xml:space="preserve"> HYPERLINK \l _Toc25541 </w:instrText>
      </w:r>
      <w:r>
        <w:fldChar w:fldCharType="separate"/>
      </w:r>
      <w:r>
        <w:rPr>
          <w:rFonts w:hint="eastAsia" w:ascii="黑体" w:hAnsi="黑体" w:eastAsia="黑体"/>
          <w:szCs w:val="21"/>
        </w:rPr>
        <w:t>9</w:t>
      </w:r>
      <w:r>
        <w:rPr>
          <w:rFonts w:hint="eastAsia" w:ascii="黑体" w:hAnsi="黑体" w:eastAsia="黑体"/>
          <w:szCs w:val="21"/>
          <w:lang w:val="en-US" w:eastAsia="zh-CN"/>
        </w:rPr>
        <w:t>.</w:t>
      </w:r>
      <w:r>
        <w:rPr>
          <w:rFonts w:hint="eastAsia" w:ascii="黑体" w:hAnsi="黑体" w:eastAsia="黑体"/>
          <w:szCs w:val="21"/>
        </w:rPr>
        <w:t>项目验收、交付和技术服务</w:t>
      </w:r>
      <w:r>
        <w:tab/>
      </w:r>
      <w:r>
        <w:fldChar w:fldCharType="begin"/>
      </w:r>
      <w:r>
        <w:instrText xml:space="preserve"> PAGEREF _Toc25541 \h </w:instrText>
      </w:r>
      <w:r>
        <w:fldChar w:fldCharType="separate"/>
      </w:r>
      <w:r>
        <w:t>12</w:t>
      </w:r>
      <w:r>
        <w:fldChar w:fldCharType="end"/>
      </w:r>
      <w:r>
        <w:fldChar w:fldCharType="end"/>
      </w:r>
    </w:p>
    <w:p>
      <w:pPr>
        <w:pStyle w:val="22"/>
        <w:tabs>
          <w:tab w:val="right" w:leader="dot" w:pos="8714"/>
        </w:tabs>
      </w:pPr>
      <w:r>
        <w:fldChar w:fldCharType="begin"/>
      </w:r>
      <w:r>
        <w:instrText xml:space="preserve"> HYPERLINK \l _Toc18421 </w:instrText>
      </w:r>
      <w:r>
        <w:fldChar w:fldCharType="separate"/>
      </w:r>
      <w:r>
        <w:rPr>
          <w:rFonts w:hint="eastAsia" w:ascii="Times New Roman" w:hAnsi="Times New Roman"/>
          <w:szCs w:val="21"/>
        </w:rPr>
        <w:t>9.1项目验收</w:t>
      </w:r>
      <w:r>
        <w:tab/>
      </w:r>
      <w:r>
        <w:fldChar w:fldCharType="begin"/>
      </w:r>
      <w:r>
        <w:instrText xml:space="preserve"> PAGEREF _Toc18421 \h </w:instrText>
      </w:r>
      <w:r>
        <w:fldChar w:fldCharType="separate"/>
      </w:r>
      <w:r>
        <w:t>12</w:t>
      </w:r>
      <w:r>
        <w:fldChar w:fldCharType="end"/>
      </w:r>
      <w:r>
        <w:fldChar w:fldCharType="end"/>
      </w:r>
    </w:p>
    <w:p>
      <w:pPr>
        <w:pStyle w:val="22"/>
        <w:tabs>
          <w:tab w:val="right" w:leader="dot" w:pos="8714"/>
        </w:tabs>
      </w:pPr>
      <w:r>
        <w:fldChar w:fldCharType="begin"/>
      </w:r>
      <w:r>
        <w:instrText xml:space="preserve"> HYPERLINK \l _Toc17293 </w:instrText>
      </w:r>
      <w:r>
        <w:fldChar w:fldCharType="separate"/>
      </w:r>
      <w:r>
        <w:rPr>
          <w:rFonts w:hint="eastAsia" w:ascii="Times New Roman" w:hAnsi="Times New Roman"/>
          <w:szCs w:val="21"/>
        </w:rPr>
        <w:t>9.2项目交付</w:t>
      </w:r>
      <w:r>
        <w:tab/>
      </w:r>
      <w:r>
        <w:fldChar w:fldCharType="begin"/>
      </w:r>
      <w:r>
        <w:instrText xml:space="preserve"> PAGEREF _Toc17293 \h </w:instrText>
      </w:r>
      <w:r>
        <w:fldChar w:fldCharType="separate"/>
      </w:r>
      <w:r>
        <w:t>13</w:t>
      </w:r>
      <w:r>
        <w:fldChar w:fldCharType="end"/>
      </w:r>
      <w:r>
        <w:fldChar w:fldCharType="end"/>
      </w:r>
    </w:p>
    <w:p>
      <w:pPr>
        <w:pStyle w:val="20"/>
        <w:tabs>
          <w:tab w:val="right" w:leader="dot" w:pos="8714"/>
        </w:tabs>
      </w:pPr>
      <w:r>
        <w:fldChar w:fldCharType="begin"/>
      </w:r>
      <w:r>
        <w:instrText xml:space="preserve"> HYPERLINK \l _Toc10692 </w:instrText>
      </w:r>
      <w:r>
        <w:fldChar w:fldCharType="separate"/>
      </w:r>
      <w:r>
        <w:rPr>
          <w:rFonts w:hint="eastAsia" w:ascii="黑体" w:hAnsi="黑体" w:eastAsia="黑体"/>
          <w:szCs w:val="21"/>
          <w:lang w:val="en-US" w:eastAsia="zh-CN"/>
        </w:rPr>
        <w:t>10.</w:t>
      </w:r>
      <w:r>
        <w:rPr>
          <w:rFonts w:hint="eastAsia" w:ascii="黑体" w:hAnsi="黑体" w:eastAsia="黑体"/>
          <w:szCs w:val="21"/>
        </w:rPr>
        <w:t>其他</w:t>
      </w:r>
      <w:r>
        <w:tab/>
      </w:r>
      <w:r>
        <w:fldChar w:fldCharType="begin"/>
      </w:r>
      <w:r>
        <w:instrText xml:space="preserve"> PAGEREF _Toc10692 \h </w:instrText>
      </w:r>
      <w:r>
        <w:fldChar w:fldCharType="separate"/>
      </w:r>
      <w:r>
        <w:t>13</w:t>
      </w:r>
      <w:r>
        <w:fldChar w:fldCharType="end"/>
      </w:r>
      <w:r>
        <w:fldChar w:fldCharType="end"/>
      </w:r>
    </w:p>
    <w:p>
      <w:pPr>
        <w:tabs>
          <w:tab w:val="right" w:leader="dot" w:pos="8336"/>
        </w:tabs>
        <w:adjustRightInd w:val="0"/>
        <w:spacing w:before="640" w:after="560" w:line="480" w:lineRule="exact"/>
        <w:jc w:val="center"/>
        <w:textAlignment w:val="baseline"/>
        <w:rPr>
          <w:szCs w:val="22"/>
        </w:rPr>
      </w:pPr>
      <w:r>
        <w:fldChar w:fldCharType="end"/>
      </w:r>
    </w:p>
    <w:p>
      <w:pPr>
        <w:rPr>
          <w:lang w:val="zh-CN"/>
        </w:rPr>
        <w:sectPr>
          <w:headerReference r:id="rId7" w:type="default"/>
          <w:footerReference r:id="rId8" w:type="default"/>
          <w:type w:val="continuous"/>
          <w:pgSz w:w="11906" w:h="16838"/>
          <w:pgMar w:top="1985" w:right="1616" w:bottom="1985" w:left="1576" w:header="1418" w:footer="1134" w:gutter="0"/>
          <w:pgNumType w:start="1"/>
          <w:cols w:space="720" w:num="1"/>
          <w:docGrid w:linePitch="312" w:charSpace="0"/>
        </w:sectPr>
      </w:pP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ascii="黑体" w:hAnsi="黑体" w:eastAsia="黑体"/>
          <w:b w:val="0"/>
          <w:sz w:val="21"/>
          <w:szCs w:val="21"/>
        </w:rPr>
      </w:pPr>
      <w:bookmarkStart w:id="19" w:name="_Toc92707094"/>
      <w:bookmarkStart w:id="20" w:name="_Toc128092023"/>
      <w:bookmarkStart w:id="21" w:name="_Toc6055"/>
      <w:bookmarkStart w:id="22" w:name="_Toc9937"/>
      <w:bookmarkStart w:id="23" w:name="_Toc421883498"/>
      <w:bookmarkStart w:id="24" w:name="_Toc292025341"/>
      <w:bookmarkStart w:id="25" w:name="_Toc419746466"/>
      <w:bookmarkStart w:id="26" w:name="_Toc32610"/>
      <w:bookmarkStart w:id="27" w:name="_Toc20980"/>
      <w:bookmarkStart w:id="28" w:name="_Toc419730942"/>
      <w:bookmarkStart w:id="29" w:name="_Toc31944"/>
      <w:bookmarkStart w:id="30" w:name="_Toc21878"/>
      <w:bookmarkStart w:id="31" w:name="_Toc405368410"/>
      <w:bookmarkStart w:id="32" w:name="_Toc5701"/>
      <w:bookmarkStart w:id="33" w:name="_Toc419471399"/>
      <w:r>
        <w:rPr>
          <w:rFonts w:ascii="黑体" w:hAnsi="黑体" w:eastAsia="黑体"/>
          <w:b w:val="0"/>
          <w:sz w:val="21"/>
          <w:szCs w:val="21"/>
        </w:rPr>
        <w:t>1</w:t>
      </w:r>
      <w:bookmarkEnd w:id="19"/>
      <w:bookmarkEnd w:id="20"/>
      <w:bookmarkEnd w:id="21"/>
      <w:r>
        <w:rPr>
          <w:rFonts w:hint="eastAsia" w:ascii="黑体" w:hAnsi="黑体" w:eastAsia="黑体"/>
          <w:b w:val="0"/>
          <w:sz w:val="21"/>
          <w:szCs w:val="21"/>
          <w:lang w:eastAsia="zh-CN"/>
        </w:rPr>
        <w:t>.</w:t>
      </w:r>
      <w:r>
        <w:rPr>
          <w:rFonts w:ascii="黑体" w:hAnsi="黑体" w:eastAsia="黑体"/>
          <w:b w:val="0"/>
          <w:sz w:val="21"/>
          <w:szCs w:val="21"/>
        </w:rPr>
        <w:t>总则</w:t>
      </w:r>
      <w:bookmarkEnd w:id="22"/>
    </w:p>
    <w:bookmarkEnd w:id="23"/>
    <w:bookmarkEnd w:id="24"/>
    <w:bookmarkEnd w:id="25"/>
    <w:bookmarkEnd w:id="26"/>
    <w:bookmarkEnd w:id="27"/>
    <w:bookmarkEnd w:id="28"/>
    <w:bookmarkEnd w:id="29"/>
    <w:bookmarkEnd w:id="30"/>
    <w:bookmarkEnd w:id="31"/>
    <w:bookmarkEnd w:id="32"/>
    <w:p>
      <w:pPr>
        <w:keepNext w:val="0"/>
        <w:keepLines w:val="0"/>
        <w:pageBreakBefore w:val="0"/>
        <w:widowControl w:val="0"/>
        <w:kinsoku/>
        <w:wordWrap/>
        <w:overflowPunct/>
        <w:topLinePunct w:val="0"/>
        <w:autoSpaceDE/>
        <w:autoSpaceDN/>
        <w:bidi w:val="0"/>
        <w:adjustRightInd w:val="0"/>
        <w:snapToGrid/>
        <w:spacing w:line="348" w:lineRule="auto"/>
        <w:textAlignment w:val="auto"/>
        <w:rPr>
          <w:szCs w:val="20"/>
        </w:rPr>
      </w:pPr>
      <w:r>
        <w:rPr>
          <w:rFonts w:hint="eastAsia"/>
          <w:szCs w:val="20"/>
        </w:rPr>
        <w:t>1.1本技术规范书适用于</w:t>
      </w:r>
      <w:r>
        <w:rPr>
          <w:rFonts w:hint="eastAsia"/>
        </w:rPr>
        <w:t>超高压输电公司电力监控系统网络安全运维服务</w:t>
      </w:r>
      <w:r>
        <w:rPr>
          <w:rFonts w:hint="eastAsia"/>
          <w:szCs w:val="20"/>
        </w:rPr>
        <w:t>项目，本技术规范书的最终解释权归超高压输电公司所有。</w:t>
      </w:r>
    </w:p>
    <w:p>
      <w:pPr>
        <w:adjustRightInd w:val="0"/>
        <w:spacing w:line="348" w:lineRule="auto"/>
        <w:rPr>
          <w:szCs w:val="20"/>
        </w:rPr>
      </w:pPr>
      <w:r>
        <w:rPr>
          <w:rFonts w:hint="eastAsia"/>
          <w:szCs w:val="20"/>
        </w:rPr>
        <w:t>1.2本技术规范书提出的是最低限度的技术要求，并未对一切技术细节做出规定，投标方应提供符合本规范书的项目成果。</w:t>
      </w:r>
    </w:p>
    <w:p>
      <w:pPr>
        <w:adjustRightInd w:val="0"/>
        <w:spacing w:line="348" w:lineRule="auto"/>
        <w:rPr>
          <w:szCs w:val="20"/>
        </w:rPr>
      </w:pPr>
      <w:r>
        <w:rPr>
          <w:rFonts w:hint="eastAsia"/>
          <w:szCs w:val="20"/>
        </w:rPr>
        <w:t>1.3如果投标方没有以书面形式对本规范书的条款提出异议，则意味着投标方提供的服务完全满足本规范书的要求。如有异议，不管是多么微小，都应在投标书中以“对规范书的意见和与规范书的差异（表）”为标题的专门章节加以详细描述，并说明原因。</w:t>
      </w:r>
    </w:p>
    <w:p>
      <w:pPr>
        <w:adjustRightInd w:val="0"/>
        <w:spacing w:line="348" w:lineRule="auto"/>
        <w:rPr>
          <w:szCs w:val="20"/>
        </w:rPr>
      </w:pPr>
      <w:r>
        <w:rPr>
          <w:rFonts w:hint="eastAsia"/>
          <w:szCs w:val="20"/>
        </w:rPr>
        <w:t>1.4在根据本技术规范书签订协议之后，招标方有权提出因标准或规程规范发生变化而产生的一些补充，具体项目由招、投标方双方共同商定。</w:t>
      </w:r>
    </w:p>
    <w:p>
      <w:pPr>
        <w:adjustRightInd w:val="0"/>
        <w:spacing w:line="348" w:lineRule="auto"/>
        <w:rPr>
          <w:szCs w:val="20"/>
        </w:rPr>
      </w:pPr>
      <w:r>
        <w:rPr>
          <w:rFonts w:hint="eastAsia"/>
          <w:szCs w:val="20"/>
        </w:rPr>
        <w:t>1.5本技术规范书所使用的标准如遇与投标方所执行的标准发生矛盾时，按较高标准执行，本技术规范书未全部引用应用标准，凡是本技术规范书牵涉的各项内容均按最新标准实施。</w:t>
      </w:r>
    </w:p>
    <w:p>
      <w:pPr>
        <w:pStyle w:val="2"/>
        <w:ind w:firstLine="0" w:firstLineChars="0"/>
        <w:rPr>
          <w:rFonts w:eastAsia="宋体"/>
          <w:kern w:val="2"/>
          <w:sz w:val="21"/>
        </w:rPr>
      </w:pPr>
      <w:r>
        <w:rPr>
          <w:rFonts w:hint="eastAsia" w:eastAsia="宋体"/>
          <w:kern w:val="2"/>
          <w:sz w:val="21"/>
        </w:rPr>
        <w:t>1.6本技术规范书经双方确认后作为签订合同的技术附件，与合同正文具有同等法律效力。同时，技术规范书未尽事宜，由招标方和投标方协商确定。</w:t>
      </w:r>
    </w:p>
    <w:p>
      <w:pPr>
        <w:pStyle w:val="2"/>
        <w:ind w:firstLine="0" w:firstLineChars="0"/>
        <w:rPr>
          <w:rFonts w:eastAsia="宋体"/>
          <w:kern w:val="2"/>
          <w:sz w:val="21"/>
        </w:rPr>
      </w:pPr>
      <w:r>
        <w:rPr>
          <w:rFonts w:hint="eastAsia" w:eastAsia="宋体"/>
          <w:kern w:val="2"/>
          <w:sz w:val="21"/>
        </w:rPr>
        <w:t>1.7 投标方应对项目整体技术服务工作提供报价。</w:t>
      </w:r>
    </w:p>
    <w:p>
      <w:pPr>
        <w:pStyle w:val="2"/>
        <w:ind w:firstLine="0" w:firstLineChars="0"/>
        <w:rPr>
          <w:rFonts w:eastAsia="宋体"/>
          <w:kern w:val="2"/>
          <w:sz w:val="21"/>
        </w:rPr>
      </w:pPr>
      <w:r>
        <w:rPr>
          <w:rFonts w:hint="eastAsia" w:eastAsia="宋体"/>
          <w:kern w:val="2"/>
          <w:sz w:val="21"/>
        </w:rPr>
        <w:t>1.8 投标方提供给招标方的产品具有合法的知识产权。</w:t>
      </w:r>
    </w:p>
    <w:p>
      <w:pPr>
        <w:pStyle w:val="2"/>
        <w:ind w:firstLine="0" w:firstLineChars="0"/>
        <w:rPr>
          <w:rFonts w:eastAsia="宋体"/>
          <w:kern w:val="2"/>
          <w:sz w:val="21"/>
        </w:rPr>
      </w:pPr>
      <w:r>
        <w:rPr>
          <w:rFonts w:hint="eastAsia" w:eastAsia="宋体"/>
          <w:kern w:val="2"/>
          <w:sz w:val="21"/>
        </w:rPr>
        <w:t>1.9 本项目投标方提供的运维报告应符合如下国家标准。若已颁布的相关技术标准或规范被修订，应以相应的最新版本为准。</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ascii="黑体" w:hAnsi="黑体" w:eastAsia="黑体"/>
          <w:b w:val="0"/>
          <w:sz w:val="21"/>
          <w:szCs w:val="21"/>
        </w:rPr>
      </w:pPr>
      <w:bookmarkStart w:id="34" w:name="_Toc391987657"/>
      <w:bookmarkEnd w:id="34"/>
      <w:bookmarkStart w:id="35" w:name="_Toc392007885"/>
      <w:bookmarkEnd w:id="35"/>
      <w:bookmarkStart w:id="36" w:name="_Toc391757881"/>
      <w:bookmarkEnd w:id="36"/>
      <w:bookmarkStart w:id="37" w:name="_Toc92707097"/>
      <w:bookmarkStart w:id="38" w:name="_Toc128092025"/>
      <w:bookmarkStart w:id="39" w:name="_Toc5216"/>
      <w:bookmarkStart w:id="40" w:name="_Toc24720"/>
      <w:bookmarkStart w:id="41" w:name="_Toc241911995"/>
      <w:bookmarkStart w:id="42" w:name="_Toc155114607"/>
      <w:r>
        <w:rPr>
          <w:rFonts w:hint="eastAsia" w:ascii="黑体" w:hAnsi="黑体" w:eastAsia="黑体"/>
          <w:b w:val="0"/>
          <w:sz w:val="21"/>
          <w:szCs w:val="21"/>
        </w:rPr>
        <w:t>2</w:t>
      </w:r>
      <w:bookmarkEnd w:id="37"/>
      <w:bookmarkEnd w:id="38"/>
      <w:bookmarkEnd w:id="39"/>
      <w:r>
        <w:rPr>
          <w:rFonts w:hint="eastAsia" w:ascii="黑体" w:hAnsi="黑体" w:eastAsia="黑体"/>
          <w:b w:val="0"/>
          <w:sz w:val="21"/>
          <w:szCs w:val="21"/>
          <w:lang w:eastAsia="zh-CN"/>
        </w:rPr>
        <w:t>.</w:t>
      </w:r>
      <w:r>
        <w:rPr>
          <w:rFonts w:hint="eastAsia" w:ascii="黑体" w:hAnsi="黑体" w:eastAsia="黑体"/>
          <w:b w:val="0"/>
          <w:sz w:val="21"/>
          <w:szCs w:val="21"/>
        </w:rPr>
        <w:t>项目概况</w:t>
      </w:r>
      <w:bookmarkEnd w:id="40"/>
    </w:p>
    <w:p>
      <w:pPr>
        <w:adjustRightInd w:val="0"/>
        <w:spacing w:line="348" w:lineRule="auto"/>
        <w:ind w:firstLine="420" w:firstLineChars="200"/>
        <w:rPr>
          <w:szCs w:val="20"/>
        </w:rPr>
      </w:pPr>
      <w:r>
        <w:rPr>
          <w:rFonts w:hint="eastAsia"/>
          <w:szCs w:val="20"/>
          <w:highlight w:val="none"/>
        </w:rPr>
        <w:t>为了落实公安部、国家能源局和南方电网公司对电力监控系统网络安全管理要求</w:t>
      </w:r>
      <w:r>
        <w:rPr>
          <w:rFonts w:hint="eastAsia"/>
          <w:szCs w:val="20"/>
        </w:rPr>
        <w:t>，进一步增强电力监控系统安全防护能力，确保电力监控系统安全稳定运行。依据电力监控系统相关制度和标准，对超高压输电公司（以下简称“公司”）所辖电力监控系统及设备开展网络安全运维服务。</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ascii="黑体" w:hAnsi="黑体" w:eastAsia="黑体"/>
          <w:b w:val="0"/>
          <w:sz w:val="21"/>
          <w:szCs w:val="21"/>
        </w:rPr>
      </w:pPr>
      <w:bookmarkStart w:id="43" w:name="_Toc8249"/>
      <w:r>
        <w:rPr>
          <w:rFonts w:hint="eastAsia" w:ascii="黑体" w:hAnsi="黑体" w:eastAsia="黑体"/>
          <w:b w:val="0"/>
          <w:sz w:val="21"/>
          <w:szCs w:val="21"/>
          <w:lang w:val="en-US" w:eastAsia="zh-CN"/>
        </w:rPr>
        <w:t>3.</w:t>
      </w:r>
      <w:r>
        <w:rPr>
          <w:rFonts w:hint="eastAsia" w:ascii="黑体" w:hAnsi="黑体" w:eastAsia="黑体"/>
          <w:b w:val="0"/>
          <w:sz w:val="21"/>
          <w:szCs w:val="21"/>
        </w:rPr>
        <w:t>项目内容</w:t>
      </w:r>
      <w:bookmarkEnd w:id="43"/>
    </w:p>
    <w:p>
      <w:pPr>
        <w:pStyle w:val="15"/>
        <w:spacing w:line="348" w:lineRule="auto"/>
        <w:ind w:firstLine="420" w:firstLineChars="200"/>
        <w:rPr>
          <w:rFonts w:ascii="Times New Roman" w:hAnsi="Times New Roman"/>
          <w:szCs w:val="21"/>
        </w:rPr>
      </w:pPr>
      <w:bookmarkStart w:id="44" w:name="_Toc93505723"/>
      <w:r>
        <w:rPr>
          <w:rFonts w:hint="eastAsia" w:ascii="Times New Roman" w:hAnsi="Times New Roman"/>
        </w:rPr>
        <w:t>完成电力监控系统进行网络安全运维服务，包括风险评估服务，安全培训（含安全意识培训服务、渗透测试、风险评估、入侵痕迹分析、安全检测工具使用等培训服务），定期检查服务（含漏洞扫描、安全配置核查、系统杀毒），新建及其他改造系统入网安全检测</w:t>
      </w:r>
      <w:r>
        <w:rPr>
          <w:rFonts w:hint="eastAsia" w:ascii="Times New Roman" w:hAnsi="Times New Roman"/>
          <w:lang w:eastAsia="zh-CN"/>
        </w:rPr>
        <w:t>，</w:t>
      </w:r>
      <w:r>
        <w:rPr>
          <w:rFonts w:hint="eastAsia" w:ascii="Times New Roman" w:hAnsi="Times New Roman"/>
        </w:rPr>
        <w:t>渗透测试服务，安全加固整改服务，安全策略优化服务，应急响应和重大紧急缺陷处置服务，特殊时期安全值守服务，安全驻场运维服务，安全设备智能化运维服务</w:t>
      </w:r>
      <w:r>
        <w:rPr>
          <w:rFonts w:hint="eastAsia" w:ascii="Times New Roman" w:hAnsi="Times New Roman"/>
          <w:lang w:eastAsia="zh-CN"/>
        </w:rPr>
        <w:t>，</w:t>
      </w:r>
      <w:r>
        <w:rPr>
          <w:rFonts w:hint="eastAsia" w:ascii="Times New Roman" w:hAnsi="Times New Roman"/>
        </w:rPr>
        <w:t>更新完善一站一册。按照电力行业的标准，出具电力监控系统网络运维报告，并完成问题整改。</w:t>
      </w:r>
      <w:bookmarkEnd w:id="44"/>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ascii="黑体" w:hAnsi="黑体" w:eastAsia="黑体"/>
          <w:b w:val="0"/>
          <w:sz w:val="21"/>
          <w:szCs w:val="21"/>
        </w:rPr>
      </w:pPr>
      <w:bookmarkStart w:id="45" w:name="_Toc15612"/>
      <w:r>
        <w:rPr>
          <w:rFonts w:hint="eastAsia" w:ascii="黑体" w:hAnsi="黑体" w:eastAsia="黑体"/>
          <w:b w:val="0"/>
          <w:sz w:val="21"/>
          <w:szCs w:val="21"/>
        </w:rPr>
        <w:t>4</w:t>
      </w:r>
      <w:r>
        <w:rPr>
          <w:rFonts w:hint="eastAsia" w:ascii="黑体" w:hAnsi="黑体" w:eastAsia="黑体"/>
          <w:b w:val="0"/>
          <w:sz w:val="21"/>
          <w:szCs w:val="21"/>
          <w:lang w:eastAsia="zh-CN"/>
        </w:rPr>
        <w:t>.</w:t>
      </w:r>
      <w:r>
        <w:rPr>
          <w:rFonts w:hint="eastAsia" w:ascii="黑体" w:hAnsi="黑体" w:eastAsia="黑体"/>
          <w:b w:val="0"/>
          <w:sz w:val="21"/>
          <w:szCs w:val="21"/>
        </w:rPr>
        <w:t>总体要求</w:t>
      </w:r>
      <w:bookmarkEnd w:id="45"/>
    </w:p>
    <w:p>
      <w:pPr>
        <w:adjustRightInd w:val="0"/>
        <w:spacing w:line="348" w:lineRule="auto"/>
        <w:ind w:firstLine="420" w:firstLineChars="200"/>
        <w:rPr>
          <w:szCs w:val="20"/>
        </w:rPr>
      </w:pPr>
      <w:r>
        <w:rPr>
          <w:rFonts w:hint="eastAsia"/>
          <w:szCs w:val="20"/>
        </w:rPr>
        <w:t>针对超高压输电公司电力监控系统网络安全</w:t>
      </w:r>
      <w:r>
        <w:rPr>
          <w:rFonts w:hint="eastAsia"/>
          <w:szCs w:val="20"/>
          <w:lang w:val="en-US" w:eastAsia="zh-CN"/>
        </w:rPr>
        <w:t>要求</w:t>
      </w:r>
      <w:r>
        <w:rPr>
          <w:rFonts w:hint="eastAsia"/>
          <w:szCs w:val="20"/>
        </w:rPr>
        <w:t>，投标方应按相关技术标准制定严谨、全面、可实现的技术实施方案，并严格按照实施方案进行实施，并定期提交报告。在项目服务周期内投标方有义务在实施过程中对项目涉及的技术问题进行答疑。所有现场维护所产生的食宿交通等费用由投标方承担。合同签订之日起投标方按照项目要求开始提供合同期限内的网络安全运维服务。在此期限内，投标方需提供 7×24 小时的热线电话，并提供无条件的售后服务。</w:t>
      </w:r>
    </w:p>
    <w:p>
      <w:pPr>
        <w:adjustRightInd w:val="0"/>
        <w:spacing w:line="348" w:lineRule="auto"/>
        <w:ind w:firstLine="420" w:firstLineChars="200"/>
        <w:rPr>
          <w:szCs w:val="20"/>
        </w:rPr>
      </w:pPr>
      <w:r>
        <w:rPr>
          <w:rFonts w:hint="eastAsia"/>
          <w:szCs w:val="20"/>
        </w:rPr>
        <w:t>投标方应详细描述项目的整体方案，包括项目技术方案、预期目标、主要工作量、主要技术经济指标、最终成果形式和验收标准、进度计划及考核目标、项目费用安排、人员组织安排、培训计划等；投标方提供需招标方配合的内容；投标方提供所使用的工具描述、使用的方式和时间，对环境和平台的要求；投标方提供单位背景材料和业绩说明。期间如国家关于网络安全的标准发生变化，则运维方法及标准参照国家最新标准。</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黑体" w:hAnsi="黑体" w:eastAsia="黑体"/>
          <w:b w:val="0"/>
          <w:sz w:val="21"/>
          <w:szCs w:val="21"/>
          <w:lang w:eastAsia="zh-CN"/>
        </w:rPr>
      </w:pPr>
      <w:bookmarkStart w:id="46" w:name="_Toc11304"/>
      <w:r>
        <w:rPr>
          <w:rFonts w:hint="eastAsia" w:ascii="黑体" w:hAnsi="黑体" w:eastAsia="黑体"/>
          <w:b w:val="0"/>
          <w:sz w:val="21"/>
          <w:szCs w:val="21"/>
          <w:lang w:eastAsia="zh-CN"/>
        </w:rPr>
        <w:t>5.引用标准</w:t>
      </w:r>
      <w:bookmarkEnd w:id="46"/>
    </w:p>
    <w:p>
      <w:pPr>
        <w:pStyle w:val="15"/>
        <w:spacing w:line="348" w:lineRule="auto"/>
        <w:ind w:firstLine="420" w:firstLineChars="200"/>
        <w:rPr>
          <w:rFonts w:ascii="Times New Roman" w:hAnsi="Times New Roman"/>
          <w:szCs w:val="21"/>
        </w:rPr>
      </w:pPr>
      <w:bookmarkStart w:id="47" w:name="_Toc419472969"/>
      <w:bookmarkEnd w:id="47"/>
      <w:bookmarkStart w:id="48" w:name="_Toc419472970"/>
      <w:bookmarkEnd w:id="48"/>
      <w:bookmarkStart w:id="49" w:name="_Toc16486"/>
      <w:bookmarkStart w:id="50" w:name="_Toc419472971"/>
      <w:r>
        <w:rPr>
          <w:rFonts w:hint="eastAsia" w:ascii="Times New Roman" w:hAnsi="Times New Roman"/>
          <w:szCs w:val="21"/>
        </w:rPr>
        <w:t>下列文件对于本文件的应用是必不可少的。凡是注日期的引用文件，仅所注日期的版本适用于本文件。凡是不注日期的引用文件，其最新版本（包括所有的修改单）适用于本文件。对于已有的可供直接借鉴或使用的标准规范，投标方给出相应的具体内容，并明确承诺供招标方合法使用；对于需付费使用的标准规范，已经包含在投标方投标总价中；对于需要进一步编制的标准规范，投标方给出相应的编制建议和时间安排。所有补充的标准、规范等将通过技术协议谈判或设计联络会讨论确认后作为后续服务的重要依据予以遵循。</w:t>
      </w:r>
    </w:p>
    <w:p>
      <w:pPr>
        <w:pStyle w:val="15"/>
        <w:spacing w:line="348" w:lineRule="auto"/>
        <w:ind w:firstLine="420" w:firstLineChars="200"/>
        <w:rPr>
          <w:rFonts w:ascii="Times New Roman" w:hAnsi="Times New Roman"/>
          <w:szCs w:val="21"/>
        </w:rPr>
      </w:pPr>
      <w:r>
        <w:rPr>
          <w:rFonts w:hint="eastAsia" w:ascii="Times New Roman" w:hAnsi="Times New Roman"/>
          <w:szCs w:val="21"/>
        </w:rPr>
        <w:t>下列标准所包含的条文，通过在本招标技术文件中引用而构成本招标技术文件的基本条文。在本招标技术文件出版时，所示版本均为有效。所有标准都会被修订，使用本招标技术文件的各方应探讨使用下列标准最新版本的可能性。如果各标准要求有所不同，满足更高的标准要求。</w:t>
      </w:r>
    </w:p>
    <w:tbl>
      <w:tblPr>
        <w:tblStyle w:val="26"/>
        <w:tblW w:w="8459" w:type="dxa"/>
        <w:tblInd w:w="0" w:type="dxa"/>
        <w:tblLayout w:type="fixed"/>
        <w:tblCellMar>
          <w:top w:w="0" w:type="dxa"/>
          <w:left w:w="108" w:type="dxa"/>
          <w:bottom w:w="0" w:type="dxa"/>
          <w:right w:w="108" w:type="dxa"/>
        </w:tblCellMar>
      </w:tblPr>
      <w:tblGrid>
        <w:gridCol w:w="3279"/>
        <w:gridCol w:w="5180"/>
      </w:tblGrid>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GB/T 22239-2019</w:t>
            </w:r>
          </w:p>
        </w:tc>
        <w:tc>
          <w:tcPr>
            <w:tcW w:w="5180" w:type="dxa"/>
            <w:vAlign w:val="center"/>
          </w:tcPr>
          <w:p>
            <w:pPr>
              <w:adjustRightInd w:val="0"/>
              <w:snapToGrid w:val="0"/>
              <w:ind w:firstLine="420" w:firstLineChars="200"/>
              <w:rPr>
                <w:szCs w:val="21"/>
              </w:rPr>
            </w:pPr>
            <w:r>
              <w:rPr>
                <w:rFonts w:hint="eastAsia"/>
                <w:szCs w:val="21"/>
              </w:rPr>
              <w:t>《信息安全技术 网络安全等级保护基本要求》</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GB/T 22240-2020</w:t>
            </w:r>
          </w:p>
        </w:tc>
        <w:tc>
          <w:tcPr>
            <w:tcW w:w="5180" w:type="dxa"/>
            <w:vAlign w:val="center"/>
          </w:tcPr>
          <w:p>
            <w:pPr>
              <w:adjustRightInd w:val="0"/>
              <w:snapToGrid w:val="0"/>
              <w:ind w:firstLine="420" w:firstLineChars="200"/>
              <w:rPr>
                <w:szCs w:val="21"/>
              </w:rPr>
            </w:pPr>
            <w:r>
              <w:rPr>
                <w:rFonts w:hint="eastAsia"/>
                <w:szCs w:val="21"/>
              </w:rPr>
              <w:t>《信息安全技术 网络安全等级保护定级指南》</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GB/T 25058-2019</w:t>
            </w:r>
          </w:p>
        </w:tc>
        <w:tc>
          <w:tcPr>
            <w:tcW w:w="5180" w:type="dxa"/>
            <w:vAlign w:val="center"/>
          </w:tcPr>
          <w:p>
            <w:pPr>
              <w:adjustRightInd w:val="0"/>
              <w:snapToGrid w:val="0"/>
              <w:ind w:firstLine="420" w:firstLineChars="200"/>
              <w:rPr>
                <w:szCs w:val="21"/>
              </w:rPr>
            </w:pPr>
            <w:r>
              <w:rPr>
                <w:rFonts w:hint="eastAsia"/>
                <w:szCs w:val="21"/>
              </w:rPr>
              <w:t>《信息安全技术 网络安全等级保护实施指南》</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GB/T 20984-2022</w:t>
            </w:r>
          </w:p>
        </w:tc>
        <w:tc>
          <w:tcPr>
            <w:tcW w:w="5180" w:type="dxa"/>
            <w:vAlign w:val="center"/>
          </w:tcPr>
          <w:p>
            <w:pPr>
              <w:adjustRightInd w:val="0"/>
              <w:snapToGrid w:val="0"/>
              <w:ind w:firstLine="420" w:firstLineChars="200"/>
              <w:rPr>
                <w:szCs w:val="21"/>
              </w:rPr>
            </w:pPr>
            <w:r>
              <w:rPr>
                <w:rFonts w:hint="eastAsia"/>
                <w:szCs w:val="21"/>
              </w:rPr>
              <w:t>《信息安全技术 信息安全风险评估规范》</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GB/T 39276-2020</w:t>
            </w:r>
          </w:p>
        </w:tc>
        <w:tc>
          <w:tcPr>
            <w:tcW w:w="5180" w:type="dxa"/>
            <w:vAlign w:val="center"/>
          </w:tcPr>
          <w:p>
            <w:pPr>
              <w:adjustRightInd w:val="0"/>
              <w:snapToGrid w:val="0"/>
              <w:ind w:firstLine="420" w:firstLineChars="200"/>
              <w:rPr>
                <w:szCs w:val="21"/>
              </w:rPr>
            </w:pPr>
            <w:r>
              <w:rPr>
                <w:rFonts w:hint="eastAsia"/>
                <w:szCs w:val="21"/>
              </w:rPr>
              <w:t>《信息安全技术 网络产品和服务安全通用要求》</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szCs w:val="21"/>
              </w:rPr>
              <w:t>GB/T 39786-2021</w:t>
            </w:r>
          </w:p>
        </w:tc>
        <w:tc>
          <w:tcPr>
            <w:tcW w:w="5180" w:type="dxa"/>
            <w:vAlign w:val="center"/>
          </w:tcPr>
          <w:p>
            <w:pPr>
              <w:adjustRightInd w:val="0"/>
              <w:snapToGrid w:val="0"/>
              <w:ind w:firstLine="420" w:firstLineChars="200"/>
              <w:rPr>
                <w:szCs w:val="21"/>
              </w:rPr>
            </w:pPr>
            <w:r>
              <w:rPr>
                <w:rFonts w:hint="eastAsia"/>
                <w:szCs w:val="21"/>
              </w:rPr>
              <w:t>《信息安全技术 信息系统密码应用基本要求》</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国家发改委第14号令</w:t>
            </w:r>
          </w:p>
        </w:tc>
        <w:tc>
          <w:tcPr>
            <w:tcW w:w="5180" w:type="dxa"/>
            <w:vAlign w:val="center"/>
          </w:tcPr>
          <w:p>
            <w:pPr>
              <w:adjustRightInd w:val="0"/>
              <w:snapToGrid w:val="0"/>
              <w:ind w:firstLine="420" w:firstLineChars="200"/>
              <w:rPr>
                <w:szCs w:val="21"/>
              </w:rPr>
            </w:pPr>
            <w:r>
              <w:rPr>
                <w:rFonts w:hint="eastAsia"/>
                <w:szCs w:val="21"/>
              </w:rPr>
              <w:t>《电力监控系统安全防护规定》</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国能安全〔2015〕36号</w:t>
            </w:r>
          </w:p>
        </w:tc>
        <w:tc>
          <w:tcPr>
            <w:tcW w:w="5180" w:type="dxa"/>
            <w:vAlign w:val="center"/>
          </w:tcPr>
          <w:p>
            <w:pPr>
              <w:adjustRightInd w:val="0"/>
              <w:snapToGrid w:val="0"/>
              <w:ind w:firstLine="420" w:firstLineChars="200"/>
              <w:rPr>
                <w:szCs w:val="21"/>
              </w:rPr>
            </w:pPr>
            <w:r>
              <w:rPr>
                <w:rFonts w:hint="eastAsia"/>
                <w:szCs w:val="21"/>
              </w:rPr>
              <w:t>《电力监控系统安全防护总体方案》</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国能安全〔2015〕36号</w:t>
            </w:r>
          </w:p>
        </w:tc>
        <w:tc>
          <w:tcPr>
            <w:tcW w:w="5180" w:type="dxa"/>
            <w:vAlign w:val="center"/>
          </w:tcPr>
          <w:p>
            <w:pPr>
              <w:adjustRightInd w:val="0"/>
              <w:snapToGrid w:val="0"/>
              <w:ind w:firstLine="420" w:firstLineChars="200"/>
              <w:rPr>
                <w:szCs w:val="21"/>
              </w:rPr>
            </w:pPr>
            <w:r>
              <w:rPr>
                <w:rFonts w:hint="eastAsia"/>
                <w:szCs w:val="21"/>
              </w:rPr>
              <w:t>《电力监控系统安全防护评估规范》</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国能发安全规〔2022〕100号</w:t>
            </w:r>
          </w:p>
        </w:tc>
        <w:tc>
          <w:tcPr>
            <w:tcW w:w="5180" w:type="dxa"/>
            <w:vAlign w:val="center"/>
          </w:tcPr>
          <w:p>
            <w:pPr>
              <w:adjustRightInd w:val="0"/>
              <w:snapToGrid w:val="0"/>
              <w:ind w:firstLine="420" w:firstLineChars="200"/>
              <w:rPr>
                <w:szCs w:val="21"/>
              </w:rPr>
            </w:pPr>
            <w:r>
              <w:rPr>
                <w:rFonts w:hint="eastAsia"/>
                <w:szCs w:val="21"/>
              </w:rPr>
              <w:t>《电力行业网络安全管理办法》</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国能发安全规〔2022〕101号</w:t>
            </w:r>
          </w:p>
        </w:tc>
        <w:tc>
          <w:tcPr>
            <w:tcW w:w="5180" w:type="dxa"/>
            <w:vAlign w:val="center"/>
          </w:tcPr>
          <w:p>
            <w:pPr>
              <w:adjustRightInd w:val="0"/>
              <w:snapToGrid w:val="0"/>
              <w:ind w:firstLine="420" w:firstLineChars="200"/>
              <w:rPr>
                <w:szCs w:val="21"/>
              </w:rPr>
            </w:pPr>
            <w:r>
              <w:rPr>
                <w:rFonts w:hint="eastAsia"/>
                <w:szCs w:val="21"/>
              </w:rPr>
              <w:t>《电力行业网络安全等级保护管理办法》</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Q/CSG 2072003-2021</w:t>
            </w:r>
          </w:p>
        </w:tc>
        <w:tc>
          <w:tcPr>
            <w:tcW w:w="5180" w:type="dxa"/>
            <w:vAlign w:val="center"/>
          </w:tcPr>
          <w:p>
            <w:pPr>
              <w:adjustRightInd w:val="0"/>
              <w:snapToGrid w:val="0"/>
              <w:ind w:firstLine="420" w:firstLineChars="200"/>
              <w:rPr>
                <w:szCs w:val="21"/>
              </w:rPr>
            </w:pPr>
            <w:r>
              <w:rPr>
                <w:rFonts w:hint="eastAsia"/>
                <w:szCs w:val="21"/>
              </w:rPr>
              <w:t>《中国南方电网电力监控系统网络安全管理办法》</w:t>
            </w:r>
          </w:p>
        </w:tc>
      </w:tr>
      <w:tr>
        <w:tblPrEx>
          <w:tblCellMar>
            <w:top w:w="0" w:type="dxa"/>
            <w:left w:w="108" w:type="dxa"/>
            <w:bottom w:w="0" w:type="dxa"/>
            <w:right w:w="108" w:type="dxa"/>
          </w:tblCellMar>
        </w:tblPrEx>
        <w:trPr>
          <w:trHeight w:val="456" w:hRule="atLeast"/>
        </w:trPr>
        <w:tc>
          <w:tcPr>
            <w:tcW w:w="3279" w:type="dxa"/>
            <w:vAlign w:val="center"/>
          </w:tcPr>
          <w:p>
            <w:pPr>
              <w:adjustRightInd w:val="0"/>
              <w:snapToGrid w:val="0"/>
              <w:ind w:firstLine="420" w:firstLineChars="200"/>
              <w:rPr>
                <w:szCs w:val="21"/>
              </w:rPr>
            </w:pPr>
            <w:r>
              <w:rPr>
                <w:rFonts w:hint="eastAsia"/>
                <w:szCs w:val="21"/>
              </w:rPr>
              <w:t>Q/CSG-EHV 214008-2021</w:t>
            </w:r>
          </w:p>
        </w:tc>
        <w:tc>
          <w:tcPr>
            <w:tcW w:w="5180" w:type="dxa"/>
            <w:vAlign w:val="center"/>
          </w:tcPr>
          <w:p>
            <w:pPr>
              <w:adjustRightInd w:val="0"/>
              <w:snapToGrid w:val="0"/>
              <w:ind w:firstLine="420" w:firstLineChars="200"/>
              <w:rPr>
                <w:szCs w:val="21"/>
              </w:rPr>
            </w:pPr>
            <w:r>
              <w:rPr>
                <w:rFonts w:hint="eastAsia"/>
                <w:szCs w:val="21"/>
              </w:rPr>
              <w:t>《超高压输电公司网络安全管理实施细则》</w:t>
            </w:r>
          </w:p>
        </w:tc>
      </w:tr>
      <w:bookmarkEnd w:id="33"/>
      <w:bookmarkEnd w:id="41"/>
      <w:bookmarkEnd w:id="42"/>
      <w:bookmarkEnd w:id="49"/>
      <w:bookmarkEnd w:id="50"/>
    </w:tbl>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黑体" w:hAnsi="黑体" w:eastAsia="黑体"/>
          <w:b w:val="0"/>
          <w:sz w:val="21"/>
          <w:szCs w:val="21"/>
          <w:lang w:eastAsia="zh-CN"/>
        </w:rPr>
      </w:pPr>
      <w:bookmarkStart w:id="51" w:name="_Toc17463"/>
      <w:bookmarkStart w:id="52" w:name="_Toc12016"/>
      <w:bookmarkStart w:id="53" w:name="_Toc277597159"/>
      <w:bookmarkStart w:id="54" w:name="_Toc311"/>
      <w:bookmarkStart w:id="55" w:name="_Toc14588"/>
      <w:bookmarkStart w:id="56" w:name="_Toc25258"/>
      <w:bookmarkStart w:id="57" w:name="_Toc3366"/>
      <w:r>
        <w:rPr>
          <w:rFonts w:hint="eastAsia" w:ascii="黑体" w:hAnsi="黑体" w:eastAsia="黑体"/>
          <w:b w:val="0"/>
          <w:sz w:val="21"/>
          <w:szCs w:val="21"/>
          <w:lang w:eastAsia="zh-CN"/>
        </w:rPr>
        <w:t>6.技术要求</w:t>
      </w:r>
      <w:bookmarkEnd w:id="51"/>
    </w:p>
    <w:p>
      <w:pPr>
        <w:pStyle w:val="15"/>
        <w:spacing w:line="348" w:lineRule="auto"/>
        <w:outlineLvl w:val="1"/>
        <w:rPr>
          <w:rFonts w:ascii="Times New Roman" w:hAnsi="Times New Roman"/>
          <w:szCs w:val="21"/>
        </w:rPr>
      </w:pPr>
      <w:bookmarkStart w:id="58" w:name="_Toc27014"/>
      <w:r>
        <w:rPr>
          <w:rFonts w:hint="eastAsia" w:ascii="Times New Roman" w:hAnsi="Times New Roman"/>
          <w:szCs w:val="21"/>
        </w:rPr>
        <w:t>6.1网络安全风险评估要求</w:t>
      </w:r>
      <w:bookmarkEnd w:id="58"/>
    </w:p>
    <w:p>
      <w:pPr>
        <w:pStyle w:val="15"/>
        <w:spacing w:line="348" w:lineRule="auto"/>
        <w:ind w:firstLine="420" w:firstLineChars="200"/>
        <w:rPr>
          <w:rFonts w:ascii="Times New Roman" w:hAnsi="Times New Roman"/>
          <w:szCs w:val="21"/>
        </w:rPr>
      </w:pPr>
      <w:r>
        <w:rPr>
          <w:rFonts w:hint="eastAsia" w:ascii="Times New Roman" w:hAnsi="Times New Roman"/>
          <w:szCs w:val="21"/>
        </w:rPr>
        <w:t>6.1.1资产评估</w:t>
      </w:r>
    </w:p>
    <w:p>
      <w:pPr>
        <w:pStyle w:val="15"/>
        <w:spacing w:line="348" w:lineRule="auto"/>
        <w:ind w:firstLine="420" w:firstLineChars="200"/>
        <w:rPr>
          <w:rFonts w:ascii="Times New Roman" w:hAnsi="Times New Roman"/>
          <w:szCs w:val="21"/>
        </w:rPr>
      </w:pPr>
      <w:r>
        <w:rPr>
          <w:rFonts w:hint="eastAsia" w:ascii="Times New Roman" w:hAnsi="Times New Roman"/>
          <w:szCs w:val="21"/>
        </w:rPr>
        <w:t>识别相关资产，主要包括电力监控系统相关的服务器、应用软件、网络设备、安全设备、终端、人员、文档等；根据招标方业务特点和安全需求，评估资产价值。</w:t>
      </w:r>
    </w:p>
    <w:p>
      <w:pPr>
        <w:pStyle w:val="15"/>
        <w:spacing w:line="348" w:lineRule="auto"/>
        <w:ind w:firstLine="420" w:firstLineChars="200"/>
        <w:rPr>
          <w:rFonts w:ascii="Times New Roman" w:hAnsi="Times New Roman"/>
          <w:szCs w:val="21"/>
        </w:rPr>
      </w:pPr>
      <w:r>
        <w:rPr>
          <w:rFonts w:hint="eastAsia" w:ascii="Times New Roman" w:hAnsi="Times New Roman"/>
          <w:szCs w:val="21"/>
        </w:rPr>
        <w:t>6.1.2威胁评估</w:t>
      </w:r>
    </w:p>
    <w:p>
      <w:pPr>
        <w:pStyle w:val="15"/>
        <w:spacing w:line="348" w:lineRule="auto"/>
        <w:ind w:firstLine="420" w:firstLineChars="200"/>
        <w:rPr>
          <w:rFonts w:ascii="Times New Roman" w:hAnsi="Times New Roman"/>
          <w:szCs w:val="21"/>
        </w:rPr>
      </w:pPr>
      <w:r>
        <w:rPr>
          <w:rFonts w:hint="eastAsia" w:ascii="Times New Roman" w:hAnsi="Times New Roman"/>
          <w:szCs w:val="21"/>
        </w:rPr>
        <w:t>识别安全威胁，并评估威胁发生的可能性。首先要对组织需要保护的每一项关键资产进行威胁识别，然后对每种威胁发生的可能性进行分析，最终为其赋予相对等级值。</w:t>
      </w:r>
    </w:p>
    <w:p>
      <w:pPr>
        <w:pStyle w:val="15"/>
        <w:spacing w:line="348" w:lineRule="auto"/>
        <w:ind w:firstLine="420" w:firstLineChars="200"/>
        <w:rPr>
          <w:rFonts w:ascii="Times New Roman" w:hAnsi="Times New Roman"/>
          <w:szCs w:val="21"/>
        </w:rPr>
      </w:pPr>
      <w:r>
        <w:rPr>
          <w:rFonts w:hint="eastAsia" w:ascii="Times New Roman" w:hAnsi="Times New Roman"/>
          <w:szCs w:val="21"/>
        </w:rPr>
        <w:t>6.1.3脆弱性评估</w:t>
      </w:r>
    </w:p>
    <w:p>
      <w:pPr>
        <w:pStyle w:val="15"/>
        <w:spacing w:line="348" w:lineRule="auto"/>
        <w:ind w:firstLine="420" w:firstLineChars="200"/>
        <w:rPr>
          <w:rFonts w:ascii="Times New Roman" w:hAnsi="Times New Roman"/>
          <w:szCs w:val="21"/>
        </w:rPr>
      </w:pPr>
      <w:r>
        <w:rPr>
          <w:rFonts w:hint="eastAsia" w:ascii="Times New Roman" w:hAnsi="Times New Roman"/>
          <w:szCs w:val="21"/>
        </w:rPr>
        <w:t>脆弱性评估包括技术脆弱性和管理脆弱性两个方面，对组织需要保护的资产进行脆弱性识别，并采用合适的计算分析方法评估脆弱性的严重程度。</w:t>
      </w:r>
    </w:p>
    <w:p>
      <w:pPr>
        <w:pStyle w:val="15"/>
        <w:spacing w:line="348" w:lineRule="auto"/>
        <w:ind w:firstLine="420" w:firstLineChars="200"/>
        <w:rPr>
          <w:rFonts w:ascii="Times New Roman" w:hAnsi="Times New Roman"/>
          <w:szCs w:val="21"/>
        </w:rPr>
      </w:pPr>
      <w:r>
        <w:rPr>
          <w:rFonts w:hint="eastAsia" w:ascii="Times New Roman" w:hAnsi="Times New Roman"/>
          <w:szCs w:val="21"/>
        </w:rPr>
        <w:t>技术脆弱性要求从物理层、网络层、系统层、应用层、终端等方面进行全面的技术脆弱性评估，应综合采用漏洞扫描、渗透测试、安全配置核查等多种技术手段进行评估。漏洞扫描范围应包括网络中的核心服务器及重要的网络设备、办公终端，包括服务器、数据库、交换机、防火墙等。渗透测试对招标单位重要的主机、网络设备、操作系统、数据库、中间件、应用系统等进行非破坏性质的模拟入侵者攻击的测试。安全配置核查应根据南方电网公司IT主流设备安全基线技术规范等相关标准，对招标单位重要的网络边界设备、网络安全设备、网络设备、主机操作系统、数据库等进行安全配置检查，形成《安全配置检查报告》，并检查各关键业务系统的数据库、应用程序的备份情况，检查机房应用系统清单、系统部署配置表、网络拓扑图等重要安全文档是否齐全、是否及时修编和更新。</w:t>
      </w:r>
    </w:p>
    <w:p>
      <w:pPr>
        <w:pStyle w:val="15"/>
        <w:spacing w:line="348" w:lineRule="auto"/>
        <w:ind w:firstLine="420" w:firstLineChars="200"/>
        <w:rPr>
          <w:rFonts w:ascii="Times New Roman" w:hAnsi="Times New Roman"/>
          <w:szCs w:val="21"/>
        </w:rPr>
      </w:pPr>
      <w:r>
        <w:rPr>
          <w:rFonts w:hint="eastAsia" w:ascii="Times New Roman" w:hAnsi="Times New Roman"/>
          <w:szCs w:val="21"/>
        </w:rPr>
        <w:t>管理脆弱性要求评估人员、纸质文件、网络安全事件管理、业务连续性管理、电力监控系统建设运维等方面存在的管理问题，并依据南方电网公司电力监控系统网络安全管理办法，检查各项安全制度落实情况。</w:t>
      </w:r>
    </w:p>
    <w:p>
      <w:pPr>
        <w:pStyle w:val="15"/>
        <w:spacing w:line="348" w:lineRule="auto"/>
        <w:ind w:firstLine="420" w:firstLineChars="200"/>
        <w:rPr>
          <w:rFonts w:ascii="Times New Roman" w:hAnsi="Times New Roman"/>
          <w:szCs w:val="21"/>
        </w:rPr>
      </w:pPr>
      <w:r>
        <w:rPr>
          <w:rFonts w:hint="eastAsia" w:ascii="Times New Roman" w:hAnsi="Times New Roman"/>
          <w:szCs w:val="21"/>
        </w:rPr>
        <w:t>6.1.4风险分析</w:t>
      </w:r>
    </w:p>
    <w:p>
      <w:pPr>
        <w:pStyle w:val="15"/>
        <w:spacing w:line="348" w:lineRule="auto"/>
        <w:ind w:firstLine="420" w:firstLineChars="200"/>
        <w:rPr>
          <w:rFonts w:ascii="Times New Roman" w:hAnsi="Times New Roman"/>
          <w:szCs w:val="21"/>
        </w:rPr>
      </w:pPr>
      <w:r>
        <w:rPr>
          <w:rFonts w:hint="eastAsia" w:ascii="Times New Roman" w:hAnsi="Times New Roman"/>
          <w:szCs w:val="21"/>
        </w:rPr>
        <w:t>基于资产评估、威胁评估、脆弱性评估的结果，应用合适的风险分析计算方法，根据威胁及威胁利用脆弱性的难易程度计算分析安全事件发生的可能性，根据脆弱性的严重程度及安全事件所作用的资产的价值计算分析安全事件发生造成的损失，进而计算分析安全事件一旦发生对组织的影响，得到网络安全风险值。并根据公司业务特点和实际情况，确定风险的风险等级。</w:t>
      </w:r>
    </w:p>
    <w:p>
      <w:pPr>
        <w:pStyle w:val="15"/>
        <w:spacing w:line="348" w:lineRule="auto"/>
        <w:ind w:firstLine="420" w:firstLineChars="200"/>
        <w:rPr>
          <w:rFonts w:ascii="Times New Roman" w:hAnsi="Times New Roman"/>
          <w:szCs w:val="21"/>
        </w:rPr>
      </w:pPr>
      <w:r>
        <w:rPr>
          <w:rFonts w:hint="eastAsia" w:ascii="Times New Roman" w:hAnsi="Times New Roman"/>
          <w:szCs w:val="21"/>
        </w:rPr>
        <w:t>6.1.5整改建议和回归测试</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根据风险评估结果，制定相应的风险控制策略，提出安全整改建议和改进措施，形成整改建议报告，提供整改指导；整改完成后，进行验证性回归测试，确保安全整改结果满足安全要求。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6.1.6服务成果：《安全评估与整改成果总结报告》</w:t>
      </w:r>
    </w:p>
    <w:p>
      <w:pPr>
        <w:pStyle w:val="15"/>
        <w:spacing w:line="348" w:lineRule="auto"/>
        <w:outlineLvl w:val="1"/>
        <w:rPr>
          <w:rFonts w:ascii="Times New Roman" w:hAnsi="Times New Roman"/>
          <w:szCs w:val="21"/>
        </w:rPr>
      </w:pPr>
      <w:bookmarkStart w:id="59" w:name="_Toc5785"/>
      <w:r>
        <w:rPr>
          <w:rFonts w:hint="eastAsia" w:ascii="Times New Roman" w:hAnsi="Times New Roman"/>
          <w:szCs w:val="21"/>
        </w:rPr>
        <w:t>6.2网络安全培训及宣传服务要求</w:t>
      </w:r>
      <w:bookmarkEnd w:id="59"/>
    </w:p>
    <w:p>
      <w:pPr>
        <w:pStyle w:val="15"/>
        <w:spacing w:line="348" w:lineRule="auto"/>
        <w:ind w:firstLine="420" w:firstLineChars="200"/>
        <w:rPr>
          <w:rFonts w:ascii="Times New Roman" w:hAnsi="Times New Roman"/>
          <w:szCs w:val="21"/>
        </w:rPr>
      </w:pPr>
      <w:r>
        <w:rPr>
          <w:rFonts w:hint="eastAsia" w:ascii="Times New Roman" w:hAnsi="Times New Roman"/>
          <w:szCs w:val="21"/>
        </w:rPr>
        <w:t>6.2.1网络安全意识培训</w:t>
      </w:r>
    </w:p>
    <w:p>
      <w:pPr>
        <w:pStyle w:val="15"/>
        <w:spacing w:line="348" w:lineRule="auto"/>
        <w:ind w:firstLine="420" w:firstLineChars="200"/>
        <w:rPr>
          <w:rFonts w:ascii="Times New Roman" w:hAnsi="Times New Roman"/>
          <w:szCs w:val="21"/>
        </w:rPr>
      </w:pPr>
      <w:r>
        <w:rPr>
          <w:rFonts w:hint="eastAsia" w:ascii="Times New Roman" w:hAnsi="Times New Roman"/>
          <w:szCs w:val="21"/>
        </w:rPr>
        <w:t>为招标方提供至少一次由全体员工参加的大型网络安全意识培训，培训内容包括网络安全案例分析与讲解、常见的网络安全认识误区说明、常见网络安全注意事项、典型网络安全建设内容介绍，具体内容包括：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①网络安全案例分析</w:t>
      </w:r>
    </w:p>
    <w:p>
      <w:pPr>
        <w:pStyle w:val="15"/>
        <w:spacing w:line="348" w:lineRule="auto"/>
        <w:ind w:firstLine="420" w:firstLineChars="200"/>
        <w:rPr>
          <w:rFonts w:ascii="Times New Roman" w:hAnsi="Times New Roman"/>
          <w:szCs w:val="21"/>
        </w:rPr>
      </w:pPr>
      <w:r>
        <w:rPr>
          <w:rFonts w:hint="eastAsia" w:ascii="Times New Roman" w:hAnsi="Times New Roman"/>
          <w:szCs w:val="21"/>
        </w:rPr>
        <w:t>通过一些具体数据和通俗易懂的案例讲解使管理层了解目前国内外在不同领域的网络安全相关形势，以及网络安全对于企业的重要意义。</w:t>
      </w:r>
    </w:p>
    <w:p>
      <w:pPr>
        <w:pStyle w:val="15"/>
        <w:spacing w:line="348" w:lineRule="auto"/>
        <w:ind w:firstLine="420" w:firstLineChars="200"/>
        <w:rPr>
          <w:rFonts w:ascii="Times New Roman" w:hAnsi="Times New Roman"/>
          <w:szCs w:val="21"/>
        </w:rPr>
      </w:pPr>
      <w:r>
        <w:rPr>
          <w:rFonts w:hint="eastAsia" w:ascii="Times New Roman" w:hAnsi="Times New Roman"/>
          <w:szCs w:val="21"/>
        </w:rPr>
        <w:t>②网络安全认识误区介绍</w:t>
      </w:r>
    </w:p>
    <w:p>
      <w:pPr>
        <w:pStyle w:val="15"/>
        <w:spacing w:line="348" w:lineRule="auto"/>
        <w:ind w:firstLine="420" w:firstLineChars="200"/>
        <w:rPr>
          <w:rFonts w:ascii="Times New Roman" w:hAnsi="Times New Roman"/>
          <w:szCs w:val="21"/>
        </w:rPr>
      </w:pPr>
      <w:r>
        <w:rPr>
          <w:rFonts w:hint="eastAsia" w:ascii="Times New Roman" w:hAnsi="Times New Roman"/>
          <w:szCs w:val="21"/>
        </w:rPr>
        <w:t>通过形象的比喻与事例纠正以往对于网络安全的认识误区（如：网络安全就是计算机与网络安全、网络安全就是安全产品加安全技术、网络安全一劳永逸等）。使管理层对于网络安全有一个全新的认识和态度，有效指导客户的网络安全工作。</w:t>
      </w:r>
    </w:p>
    <w:p>
      <w:pPr>
        <w:pStyle w:val="15"/>
        <w:spacing w:line="348" w:lineRule="auto"/>
        <w:ind w:firstLine="420" w:firstLineChars="200"/>
        <w:rPr>
          <w:rFonts w:ascii="Times New Roman" w:hAnsi="Times New Roman"/>
          <w:szCs w:val="21"/>
        </w:rPr>
      </w:pPr>
      <w:r>
        <w:rPr>
          <w:rFonts w:hint="eastAsia" w:ascii="Times New Roman" w:hAnsi="Times New Roman"/>
          <w:szCs w:val="21"/>
        </w:rPr>
        <w:t>③网络安全注意事项说明</w:t>
      </w:r>
    </w:p>
    <w:p>
      <w:pPr>
        <w:pStyle w:val="15"/>
        <w:spacing w:line="348" w:lineRule="auto"/>
        <w:ind w:firstLine="420" w:firstLineChars="200"/>
        <w:rPr>
          <w:rFonts w:ascii="Times New Roman" w:hAnsi="Times New Roman"/>
          <w:szCs w:val="21"/>
        </w:rPr>
      </w:pPr>
      <w:r>
        <w:rPr>
          <w:rFonts w:hint="eastAsia" w:ascii="Times New Roman" w:hAnsi="Times New Roman"/>
          <w:szCs w:val="21"/>
        </w:rPr>
        <w:t>结合国际、国家、行业网络安全标准的内容，从管理层视角出发，来审视网络安全日常工作中有哪些需要格外注意的问题，并了解业界的一些最佳实践，基于攻击语境的安全防护，了解客户信息系统安全的暴露面。</w:t>
      </w:r>
    </w:p>
    <w:p>
      <w:pPr>
        <w:pStyle w:val="15"/>
        <w:spacing w:line="348" w:lineRule="auto"/>
        <w:ind w:firstLine="420" w:firstLineChars="200"/>
        <w:rPr>
          <w:rFonts w:ascii="Times New Roman" w:hAnsi="Times New Roman"/>
          <w:szCs w:val="21"/>
        </w:rPr>
      </w:pPr>
      <w:r>
        <w:rPr>
          <w:rFonts w:hint="eastAsia" w:ascii="Times New Roman" w:hAnsi="Times New Roman"/>
          <w:szCs w:val="21"/>
        </w:rPr>
        <w:t>④典型网络安全建设内容介绍</w:t>
      </w:r>
    </w:p>
    <w:p>
      <w:pPr>
        <w:pStyle w:val="15"/>
        <w:spacing w:line="348" w:lineRule="auto"/>
        <w:ind w:firstLine="420" w:firstLineChars="200"/>
        <w:rPr>
          <w:rFonts w:ascii="Times New Roman" w:hAnsi="Times New Roman"/>
          <w:szCs w:val="21"/>
        </w:rPr>
      </w:pPr>
      <w:r>
        <w:rPr>
          <w:rFonts w:hint="eastAsia" w:ascii="Times New Roman" w:hAnsi="Times New Roman"/>
          <w:szCs w:val="21"/>
        </w:rPr>
        <w:t>通过多个安全问题，结合客户实际情况，引发管理层对于客户网络安全的思考。通过与现实社会的对照分析，使管理层了解客户开展网络安全工作都包含哪些内容。通过对于网络安全模型、安全体系实施方法的介绍，使管理层基本了解在一个企业建立全面网络安全体系的步骤和相关工作。</w:t>
      </w:r>
    </w:p>
    <w:p>
      <w:pPr>
        <w:pStyle w:val="15"/>
        <w:spacing w:line="348" w:lineRule="auto"/>
        <w:ind w:firstLine="420" w:firstLineChars="200"/>
        <w:rPr>
          <w:rFonts w:ascii="Times New Roman" w:hAnsi="Times New Roman"/>
          <w:szCs w:val="21"/>
        </w:rPr>
      </w:pPr>
      <w:r>
        <w:rPr>
          <w:rFonts w:hint="eastAsia" w:ascii="Times New Roman" w:hAnsi="Times New Roman"/>
          <w:szCs w:val="21"/>
        </w:rPr>
        <w:t>6.2.2专业网络安全技能培训</w:t>
      </w:r>
    </w:p>
    <w:p>
      <w:pPr>
        <w:pStyle w:val="15"/>
        <w:spacing w:line="348" w:lineRule="auto"/>
        <w:ind w:firstLine="420" w:firstLineChars="200"/>
        <w:rPr>
          <w:rFonts w:ascii="Times New Roman" w:hAnsi="Times New Roman"/>
          <w:szCs w:val="21"/>
        </w:rPr>
      </w:pPr>
      <w:r>
        <w:rPr>
          <w:rFonts w:hint="eastAsia" w:ascii="Times New Roman" w:hAnsi="Times New Roman"/>
          <w:szCs w:val="21"/>
        </w:rPr>
        <w:t>针对招标方的网络安全技术人员（不少于2人）进行为期不少于3天的专业安全技能培训，以实践为主，通过介绍案例、安全工具及操作方法来带动参训人员的学习兴趣，提高参训人员的实际动手能力，培训中所需的师资、教材、取证、考试、注册费用，由投标方承担。具体内容主要包括：</w:t>
      </w:r>
    </w:p>
    <w:p>
      <w:pPr>
        <w:pStyle w:val="15"/>
        <w:spacing w:line="348" w:lineRule="auto"/>
        <w:ind w:firstLine="420"/>
        <w:rPr>
          <w:rFonts w:ascii="Times New Roman" w:hAnsi="Times New Roman"/>
          <w:szCs w:val="21"/>
        </w:rPr>
      </w:pPr>
      <w:r>
        <w:rPr>
          <w:rFonts w:hint="eastAsia" w:ascii="Times New Roman" w:hAnsi="Times New Roman"/>
          <w:szCs w:val="21"/>
        </w:rPr>
        <w:t>①渗透测试技术：应用渗透测试、主机渗透测试、数据库渗透测试、中间件渗透测试、其他渗透测试；</w:t>
      </w:r>
    </w:p>
    <w:p>
      <w:pPr>
        <w:pStyle w:val="15"/>
        <w:spacing w:line="348" w:lineRule="auto"/>
        <w:ind w:firstLine="420" w:firstLineChars="200"/>
        <w:rPr>
          <w:rFonts w:ascii="Times New Roman" w:hAnsi="Times New Roman"/>
          <w:szCs w:val="21"/>
        </w:rPr>
      </w:pPr>
      <w:r>
        <w:rPr>
          <w:rFonts w:hint="eastAsia" w:ascii="Times New Roman" w:hAnsi="Times New Roman"/>
          <w:szCs w:val="21"/>
        </w:rPr>
        <w:t>②风险评估技术：传统风险评估、方法论、过程及流程、业务流风险评估；</w:t>
      </w:r>
    </w:p>
    <w:p>
      <w:pPr>
        <w:pStyle w:val="15"/>
        <w:spacing w:line="348" w:lineRule="auto"/>
        <w:ind w:firstLine="420" w:firstLineChars="200"/>
        <w:rPr>
          <w:rFonts w:ascii="Times New Roman" w:hAnsi="Times New Roman"/>
          <w:szCs w:val="21"/>
        </w:rPr>
      </w:pPr>
      <w:r>
        <w:rPr>
          <w:rFonts w:hint="eastAsia" w:ascii="Times New Roman" w:hAnsi="Times New Roman"/>
          <w:szCs w:val="21"/>
        </w:rPr>
        <w:t>③入侵痕迹分析技术：入侵痕迹捕获、入侵分析技术；</w:t>
      </w:r>
    </w:p>
    <w:p>
      <w:pPr>
        <w:pStyle w:val="15"/>
        <w:spacing w:line="348" w:lineRule="auto"/>
        <w:ind w:firstLine="420" w:firstLineChars="200"/>
        <w:rPr>
          <w:rFonts w:ascii="Times New Roman" w:hAnsi="Times New Roman"/>
          <w:szCs w:val="21"/>
        </w:rPr>
      </w:pPr>
      <w:r>
        <w:rPr>
          <w:rFonts w:hint="eastAsia" w:ascii="Times New Roman" w:hAnsi="Times New Roman"/>
          <w:szCs w:val="21"/>
        </w:rPr>
        <w:t>④安全检测工具使用：常用的渗透测试工具、常用脆弱性扫描工具；</w:t>
      </w:r>
    </w:p>
    <w:p>
      <w:pPr>
        <w:pStyle w:val="15"/>
        <w:spacing w:line="348" w:lineRule="auto"/>
        <w:ind w:firstLine="420" w:firstLineChars="200"/>
        <w:rPr>
          <w:rFonts w:ascii="Times New Roman" w:hAnsi="Times New Roman"/>
          <w:szCs w:val="21"/>
        </w:rPr>
      </w:pPr>
      <w:r>
        <w:rPr>
          <w:rFonts w:hint="eastAsia" w:ascii="Times New Roman" w:hAnsi="Times New Roman"/>
          <w:szCs w:val="21"/>
        </w:rPr>
        <w:t>⑤案例分享</w:t>
      </w:r>
    </w:p>
    <w:p>
      <w:pPr>
        <w:pStyle w:val="15"/>
        <w:spacing w:line="348" w:lineRule="auto"/>
        <w:ind w:firstLine="420" w:firstLineChars="200"/>
        <w:rPr>
          <w:rFonts w:ascii="Times New Roman" w:hAnsi="Times New Roman"/>
          <w:szCs w:val="21"/>
        </w:rPr>
      </w:pPr>
      <w:r>
        <w:rPr>
          <w:rFonts w:hint="eastAsia" w:ascii="Times New Roman" w:hAnsi="Times New Roman"/>
          <w:szCs w:val="21"/>
        </w:rPr>
        <w:t>⑥上机实操</w:t>
      </w:r>
    </w:p>
    <w:p>
      <w:pPr>
        <w:pStyle w:val="15"/>
        <w:spacing w:line="348" w:lineRule="auto"/>
        <w:outlineLvl w:val="1"/>
        <w:rPr>
          <w:rFonts w:ascii="Times New Roman" w:hAnsi="Times New Roman"/>
          <w:szCs w:val="21"/>
        </w:rPr>
      </w:pPr>
      <w:bookmarkStart w:id="60" w:name="_Toc18447"/>
      <w:r>
        <w:rPr>
          <w:rFonts w:hint="eastAsia" w:ascii="Times New Roman" w:hAnsi="Times New Roman"/>
          <w:szCs w:val="21"/>
        </w:rPr>
        <w:t>6.3网络安全定期检查服务要求</w:t>
      </w:r>
      <w:bookmarkEnd w:id="60"/>
    </w:p>
    <w:p>
      <w:pPr>
        <w:pStyle w:val="15"/>
        <w:spacing w:line="348" w:lineRule="auto"/>
        <w:ind w:firstLine="420" w:firstLineChars="200"/>
        <w:rPr>
          <w:rFonts w:ascii="Times New Roman" w:hAnsi="Times New Roman"/>
          <w:szCs w:val="21"/>
        </w:rPr>
      </w:pPr>
      <w:r>
        <w:rPr>
          <w:rFonts w:hint="eastAsia" w:ascii="Times New Roman" w:hAnsi="Times New Roman"/>
          <w:szCs w:val="21"/>
        </w:rPr>
        <w:t>6.3.1服务工具要求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要求服务商提供超高压输电公司专用服务工具，采用工具+人工进行服务，为便于服务质量的稳定性，安全漏洞扫描服务和配置检查服务的结果报告需采用专用服务工具生成。</w:t>
      </w:r>
    </w:p>
    <w:p>
      <w:pPr>
        <w:pStyle w:val="15"/>
        <w:spacing w:line="348" w:lineRule="auto"/>
        <w:ind w:firstLine="420" w:firstLineChars="200"/>
        <w:rPr>
          <w:rFonts w:ascii="Times New Roman" w:hAnsi="Times New Roman"/>
          <w:szCs w:val="21"/>
        </w:rPr>
      </w:pPr>
      <w:r>
        <w:rPr>
          <w:rFonts w:hint="eastAsia" w:ascii="Times New Roman" w:hAnsi="Times New Roman"/>
          <w:szCs w:val="21"/>
        </w:rPr>
        <w:t>6.3.2安全漏洞扫描服务要求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脆弱性检测又称安全扫描或漏洞安全扫描，指安全服务商使用漏洞扫描工具，对目标对象进行脆弱性问题评估，发现系统存在的风险安全隐患。</w:t>
      </w:r>
    </w:p>
    <w:p>
      <w:pPr>
        <w:pStyle w:val="15"/>
        <w:spacing w:line="348" w:lineRule="auto"/>
        <w:ind w:firstLine="420" w:firstLineChars="200"/>
        <w:rPr>
          <w:rFonts w:ascii="Times New Roman" w:hAnsi="Times New Roman"/>
          <w:szCs w:val="21"/>
        </w:rPr>
      </w:pPr>
      <w:r>
        <w:rPr>
          <w:rFonts w:hint="eastAsia" w:ascii="Times New Roman" w:hAnsi="Times New Roman"/>
          <w:szCs w:val="21"/>
        </w:rPr>
        <w:t>漏洞扫描范围包括但不限于：Windows共享类、 Web服务类、CGI类、信息搜集类、强力攻击类、守护进程类、电子邮件服务类、FTP服务类、DNS类、网络管理SNMP类、Proxy类、协议欺骗类、RPC类、NFS类、NIS类、后门类、网络设备类、蠕虫病毒类、缓冲溢出和拒绝服务攻击类、数据库类等脆弱性。</w:t>
      </w:r>
    </w:p>
    <w:p>
      <w:pPr>
        <w:pStyle w:val="15"/>
        <w:spacing w:line="348" w:lineRule="auto"/>
        <w:ind w:firstLine="420" w:firstLineChars="200"/>
        <w:rPr>
          <w:rFonts w:ascii="Times New Roman" w:hAnsi="Times New Roman"/>
          <w:szCs w:val="21"/>
        </w:rPr>
      </w:pPr>
      <w:r>
        <w:rPr>
          <w:rFonts w:hint="eastAsia" w:ascii="Times New Roman" w:hAnsi="Times New Roman"/>
          <w:szCs w:val="21"/>
        </w:rPr>
        <w:t>投标方须至少两种漏洞扫描工具，并取得商用许可的专业漏洞扫描工具对范围内的系统进行安全扫描，发现网络设备、服务器主机、数据和用户账号/口令等安全对象目标存在的安全风险、漏洞和威胁，提供的报告和方案需参考两种以上的差异化漏洞扫描结果。</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服务成果：《漏洞扫描分析报告》</w:t>
      </w:r>
    </w:p>
    <w:p>
      <w:pPr>
        <w:pStyle w:val="15"/>
        <w:spacing w:line="348" w:lineRule="auto"/>
        <w:ind w:firstLine="420" w:firstLineChars="200"/>
        <w:rPr>
          <w:rFonts w:ascii="Times New Roman" w:hAnsi="Times New Roman"/>
          <w:szCs w:val="21"/>
        </w:rPr>
      </w:pPr>
      <w:r>
        <w:rPr>
          <w:rFonts w:hint="eastAsia" w:ascii="Times New Roman" w:hAnsi="Times New Roman"/>
          <w:szCs w:val="21"/>
        </w:rPr>
        <w:t>6.3.3安全配置核查服务要求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参考南方电网公司电力监控系统网络安全有关要求，开展安全测评和检查工作，审核系统是否达到安全配置要求，并输出相关安全检查报告。</w:t>
      </w:r>
    </w:p>
    <w:p>
      <w:pPr>
        <w:pStyle w:val="15"/>
        <w:spacing w:line="348" w:lineRule="auto"/>
        <w:ind w:firstLine="420" w:firstLineChars="200"/>
        <w:rPr>
          <w:rFonts w:ascii="Times New Roman" w:hAnsi="Times New Roman"/>
          <w:szCs w:val="21"/>
        </w:rPr>
      </w:pPr>
      <w:r>
        <w:rPr>
          <w:rFonts w:hint="eastAsia" w:ascii="Times New Roman" w:hAnsi="Times New Roman"/>
          <w:szCs w:val="21"/>
        </w:rPr>
        <w:t>设备类型及内容如下表：</w:t>
      </w:r>
    </w:p>
    <w:tbl>
      <w:tblPr>
        <w:tblStyle w:val="26"/>
        <w:tblpPr w:leftFromText="180" w:rightFromText="180" w:vertAnchor="text" w:horzAnchor="page" w:tblpX="1830" w:tblpY="146"/>
        <w:tblOverlap w:val="never"/>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10"/>
        <w:gridCol w:w="53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D9D9D9"/>
            <w:vAlign w:val="center"/>
          </w:tcPr>
          <w:p>
            <w:pPr>
              <w:widowControl/>
              <w:jc w:val="center"/>
              <w:rPr>
                <w:rFonts w:ascii="宋体" w:hAnsi="宋体"/>
                <w:b/>
                <w:bCs/>
              </w:rPr>
            </w:pPr>
            <w:r>
              <w:rPr>
                <w:rFonts w:hint="eastAsia" w:ascii="宋体" w:hAnsi="宋体"/>
                <w:b/>
                <w:bCs/>
              </w:rPr>
              <w:t>序号</w:t>
            </w:r>
          </w:p>
        </w:tc>
        <w:tc>
          <w:tcPr>
            <w:tcW w:w="2410" w:type="dxa"/>
            <w:shd w:val="clear" w:color="auto" w:fill="D9D9D9"/>
            <w:vAlign w:val="center"/>
          </w:tcPr>
          <w:p>
            <w:pPr>
              <w:widowControl/>
              <w:jc w:val="center"/>
              <w:rPr>
                <w:rFonts w:ascii="宋体" w:hAnsi="宋体"/>
                <w:b/>
                <w:bCs/>
              </w:rPr>
            </w:pPr>
            <w:r>
              <w:rPr>
                <w:rFonts w:hint="eastAsia" w:ascii="宋体" w:hAnsi="宋体"/>
                <w:b/>
                <w:bCs/>
              </w:rPr>
              <w:t>设备</w:t>
            </w:r>
            <w:r>
              <w:rPr>
                <w:rFonts w:ascii="宋体" w:hAnsi="宋体"/>
                <w:b/>
                <w:bCs/>
              </w:rPr>
              <w:t>类型</w:t>
            </w:r>
          </w:p>
        </w:tc>
        <w:tc>
          <w:tcPr>
            <w:tcW w:w="5301" w:type="dxa"/>
            <w:shd w:val="clear" w:color="auto" w:fill="D9D9D9"/>
            <w:vAlign w:val="center"/>
          </w:tcPr>
          <w:p>
            <w:pPr>
              <w:widowControl/>
              <w:jc w:val="center"/>
              <w:rPr>
                <w:rFonts w:ascii="宋体" w:hAnsi="宋体"/>
                <w:b/>
                <w:bCs/>
              </w:rPr>
            </w:pPr>
            <w:r>
              <w:rPr>
                <w:rFonts w:hint="eastAsia" w:ascii="宋体" w:hAnsi="宋体"/>
                <w:b/>
                <w:bCs/>
              </w:rPr>
              <w:t>核查</w:t>
            </w:r>
            <w:r>
              <w:rPr>
                <w:rFonts w:ascii="宋体" w:hAnsi="宋体"/>
                <w:b/>
                <w:bCs/>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widowControl/>
              <w:jc w:val="center"/>
              <w:rPr>
                <w:rFonts w:ascii="宋体" w:hAnsi="宋体"/>
              </w:rPr>
            </w:pPr>
            <w:r>
              <w:rPr>
                <w:rFonts w:hint="eastAsia" w:ascii="宋体" w:hAnsi="宋体"/>
              </w:rPr>
              <w:t>1</w:t>
            </w:r>
          </w:p>
        </w:tc>
        <w:tc>
          <w:tcPr>
            <w:tcW w:w="2410" w:type="dxa"/>
            <w:vAlign w:val="center"/>
          </w:tcPr>
          <w:p>
            <w:pPr>
              <w:widowControl/>
              <w:rPr>
                <w:rFonts w:ascii="宋体" w:hAnsi="宋体"/>
              </w:rPr>
            </w:pPr>
            <w:r>
              <w:rPr>
                <w:rFonts w:hint="eastAsia" w:ascii="宋体" w:hAnsi="宋体"/>
              </w:rPr>
              <w:t>网络及安全防护设备配置</w:t>
            </w:r>
            <w:r>
              <w:rPr>
                <w:rFonts w:ascii="宋体" w:hAnsi="宋体"/>
              </w:rPr>
              <w:t>核查</w:t>
            </w:r>
          </w:p>
        </w:tc>
        <w:tc>
          <w:tcPr>
            <w:tcW w:w="5301" w:type="dxa"/>
            <w:vAlign w:val="center"/>
          </w:tcPr>
          <w:p>
            <w:pPr>
              <w:widowControl/>
              <w:rPr>
                <w:rFonts w:ascii="宋体" w:hAnsi="宋体"/>
              </w:rPr>
            </w:pPr>
            <w:r>
              <w:rPr>
                <w:rFonts w:hint="eastAsia" w:ascii="宋体" w:hAnsi="宋体"/>
              </w:rPr>
              <w:t>通信</w:t>
            </w:r>
            <w:r>
              <w:rPr>
                <w:rFonts w:ascii="宋体" w:hAnsi="宋体"/>
              </w:rPr>
              <w:t>安全、</w:t>
            </w:r>
            <w:r>
              <w:rPr>
                <w:rFonts w:hint="eastAsia" w:ascii="宋体" w:hAnsi="宋体"/>
              </w:rPr>
              <w:t>网络</w:t>
            </w:r>
            <w:r>
              <w:rPr>
                <w:rFonts w:ascii="宋体" w:hAnsi="宋体"/>
              </w:rPr>
              <w:t>安全策略</w:t>
            </w:r>
            <w:r>
              <w:rPr>
                <w:rFonts w:hint="eastAsia" w:ascii="宋体" w:hAnsi="宋体"/>
              </w:rPr>
              <w:t>、网络</w:t>
            </w:r>
            <w:r>
              <w:rPr>
                <w:rFonts w:ascii="宋体" w:hAnsi="宋体"/>
              </w:rPr>
              <w:t>认证</w:t>
            </w:r>
            <w:r>
              <w:rPr>
                <w:rFonts w:hint="eastAsia" w:ascii="宋体" w:hAnsi="宋体"/>
              </w:rPr>
              <w:t>及</w:t>
            </w:r>
            <w:r>
              <w:rPr>
                <w:rFonts w:ascii="宋体" w:hAnsi="宋体"/>
              </w:rPr>
              <w:t>授权机制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widowControl/>
              <w:jc w:val="center"/>
              <w:rPr>
                <w:rFonts w:ascii="宋体" w:hAnsi="宋体"/>
              </w:rPr>
            </w:pPr>
            <w:r>
              <w:rPr>
                <w:rFonts w:hint="eastAsia" w:ascii="宋体" w:hAnsi="宋体"/>
              </w:rPr>
              <w:t>2</w:t>
            </w:r>
          </w:p>
        </w:tc>
        <w:tc>
          <w:tcPr>
            <w:tcW w:w="2410" w:type="dxa"/>
            <w:vAlign w:val="center"/>
          </w:tcPr>
          <w:p>
            <w:pPr>
              <w:widowControl/>
              <w:rPr>
                <w:rFonts w:ascii="宋体" w:hAnsi="宋体"/>
              </w:rPr>
            </w:pPr>
            <w:r>
              <w:rPr>
                <w:rFonts w:hint="eastAsia" w:ascii="宋体" w:hAnsi="宋体"/>
              </w:rPr>
              <w:t>操作</w:t>
            </w:r>
            <w:r>
              <w:rPr>
                <w:rFonts w:ascii="宋体" w:hAnsi="宋体"/>
              </w:rPr>
              <w:t>系统配置核查</w:t>
            </w:r>
          </w:p>
        </w:tc>
        <w:tc>
          <w:tcPr>
            <w:tcW w:w="5301" w:type="dxa"/>
            <w:vAlign w:val="center"/>
          </w:tcPr>
          <w:p>
            <w:pPr>
              <w:widowControl/>
              <w:rPr>
                <w:rFonts w:ascii="宋体" w:hAnsi="宋体"/>
              </w:rPr>
            </w:pPr>
            <w:r>
              <w:rPr>
                <w:rFonts w:hint="eastAsia" w:ascii="宋体" w:hAnsi="宋体"/>
              </w:rPr>
              <w:t>包括windows/linux/unix等，</w:t>
            </w:r>
            <w:r>
              <w:rPr>
                <w:rFonts w:ascii="宋体" w:hAnsi="宋体"/>
              </w:rPr>
              <w:t>具体</w:t>
            </w:r>
            <w:r>
              <w:rPr>
                <w:rFonts w:hint="eastAsia" w:ascii="宋体" w:hAnsi="宋体"/>
              </w:rPr>
              <w:t>核查内容</w:t>
            </w:r>
            <w:r>
              <w:rPr>
                <w:rFonts w:ascii="宋体" w:hAnsi="宋体"/>
              </w:rPr>
              <w:t>包括</w:t>
            </w:r>
            <w:r>
              <w:rPr>
                <w:rFonts w:hint="eastAsia" w:ascii="宋体" w:hAnsi="宋体"/>
              </w:rPr>
              <w:t>：</w:t>
            </w:r>
            <w:r>
              <w:rPr>
                <w:rFonts w:ascii="宋体" w:hAnsi="宋体"/>
              </w:rPr>
              <w:t>账号</w:t>
            </w:r>
            <w:r>
              <w:rPr>
                <w:rFonts w:hint="eastAsia" w:ascii="宋体" w:hAnsi="宋体"/>
              </w:rPr>
              <w:t>管理</w:t>
            </w:r>
            <w:r>
              <w:rPr>
                <w:rFonts w:ascii="宋体" w:hAnsi="宋体"/>
              </w:rPr>
              <w:t>、账号</w:t>
            </w:r>
            <w:r>
              <w:rPr>
                <w:rFonts w:hint="eastAsia" w:ascii="宋体" w:hAnsi="宋体"/>
              </w:rPr>
              <w:t>权限</w:t>
            </w:r>
            <w:r>
              <w:rPr>
                <w:rFonts w:ascii="宋体" w:hAnsi="宋体"/>
              </w:rPr>
              <w:t>、</w:t>
            </w:r>
            <w:r>
              <w:rPr>
                <w:rFonts w:hint="eastAsia" w:ascii="宋体" w:hAnsi="宋体"/>
              </w:rPr>
              <w:t>访问控制策略、安全标记、剩余信息清除、系统资源监控、安全审计、</w:t>
            </w:r>
            <w:r>
              <w:rPr>
                <w:rFonts w:ascii="宋体" w:hAnsi="宋体"/>
              </w:rPr>
              <w:t>通信安全等内容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widowControl/>
              <w:jc w:val="center"/>
              <w:rPr>
                <w:rFonts w:ascii="宋体" w:hAnsi="宋体"/>
              </w:rPr>
            </w:pPr>
            <w:r>
              <w:rPr>
                <w:rFonts w:hint="eastAsia" w:ascii="宋体" w:hAnsi="宋体"/>
              </w:rPr>
              <w:t>3</w:t>
            </w:r>
          </w:p>
        </w:tc>
        <w:tc>
          <w:tcPr>
            <w:tcW w:w="2410" w:type="dxa"/>
            <w:vAlign w:val="center"/>
          </w:tcPr>
          <w:p>
            <w:pPr>
              <w:widowControl/>
              <w:rPr>
                <w:rFonts w:ascii="宋体" w:hAnsi="宋体"/>
              </w:rPr>
            </w:pPr>
            <w:r>
              <w:rPr>
                <w:rFonts w:hint="eastAsia" w:ascii="宋体" w:hAnsi="宋体"/>
              </w:rPr>
              <w:t>数据库</w:t>
            </w:r>
            <w:r>
              <w:rPr>
                <w:rFonts w:ascii="宋体" w:hAnsi="宋体"/>
              </w:rPr>
              <w:t>配置核查</w:t>
            </w:r>
          </w:p>
        </w:tc>
        <w:tc>
          <w:tcPr>
            <w:tcW w:w="5301" w:type="dxa"/>
            <w:vAlign w:val="center"/>
          </w:tcPr>
          <w:p>
            <w:pPr>
              <w:widowControl/>
              <w:rPr>
                <w:rFonts w:ascii="宋体" w:hAnsi="宋体"/>
              </w:rPr>
            </w:pPr>
            <w:r>
              <w:rPr>
                <w:rFonts w:hint="eastAsia" w:ascii="宋体" w:hAnsi="宋体"/>
              </w:rPr>
              <w:t>包括</w:t>
            </w:r>
            <w:r>
              <w:rPr>
                <w:rFonts w:ascii="宋体" w:hAnsi="宋体"/>
              </w:rPr>
              <w:t>oracle、mysql</w:t>
            </w:r>
            <w:r>
              <w:rPr>
                <w:rFonts w:hint="eastAsia" w:ascii="宋体" w:hAnsi="宋体"/>
              </w:rPr>
              <w:t>等</w:t>
            </w:r>
            <w:r>
              <w:rPr>
                <w:rFonts w:ascii="宋体" w:hAnsi="宋体"/>
              </w:rPr>
              <w:t>，</w:t>
            </w:r>
            <w:r>
              <w:rPr>
                <w:rFonts w:hint="eastAsia" w:ascii="宋体" w:hAnsi="宋体"/>
              </w:rPr>
              <w:t>具体</w:t>
            </w:r>
            <w:r>
              <w:rPr>
                <w:rFonts w:ascii="宋体" w:hAnsi="宋体"/>
              </w:rPr>
              <w:t>内容包括</w:t>
            </w:r>
            <w:r>
              <w:rPr>
                <w:rFonts w:hint="eastAsia" w:ascii="宋体" w:hAnsi="宋体"/>
              </w:rPr>
              <w:t>：</w:t>
            </w:r>
            <w:r>
              <w:rPr>
                <w:rFonts w:ascii="宋体" w:hAnsi="宋体"/>
              </w:rPr>
              <w:t>账号</w:t>
            </w:r>
            <w:r>
              <w:rPr>
                <w:rFonts w:hint="eastAsia" w:ascii="宋体" w:hAnsi="宋体"/>
              </w:rPr>
              <w:t>管理</w:t>
            </w:r>
            <w:r>
              <w:rPr>
                <w:rFonts w:ascii="宋体" w:hAnsi="宋体"/>
              </w:rPr>
              <w:t>、账号</w:t>
            </w:r>
            <w:r>
              <w:rPr>
                <w:rFonts w:hint="eastAsia" w:ascii="宋体" w:hAnsi="宋体"/>
              </w:rPr>
              <w:t>权限</w:t>
            </w:r>
            <w:r>
              <w:rPr>
                <w:rFonts w:ascii="宋体" w:hAnsi="宋体"/>
              </w:rPr>
              <w:t>、</w:t>
            </w:r>
            <w:r>
              <w:rPr>
                <w:rFonts w:hint="eastAsia" w:ascii="宋体" w:hAnsi="宋体"/>
              </w:rPr>
              <w:t>访问控制策略、安全审计、</w:t>
            </w:r>
            <w:r>
              <w:rPr>
                <w:rFonts w:ascii="宋体" w:hAnsi="宋体"/>
              </w:rPr>
              <w:t>通信安全等内容</w:t>
            </w:r>
          </w:p>
        </w:tc>
      </w:tr>
    </w:tbl>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服务成果：《配置核查报告》</w:t>
      </w:r>
    </w:p>
    <w:p>
      <w:pPr>
        <w:pStyle w:val="15"/>
        <w:spacing w:line="348" w:lineRule="auto"/>
        <w:ind w:firstLine="420" w:firstLineChars="200"/>
        <w:rPr>
          <w:rFonts w:ascii="Times New Roman" w:hAnsi="Times New Roman"/>
          <w:szCs w:val="21"/>
        </w:rPr>
      </w:pPr>
      <w:r>
        <w:rPr>
          <w:rFonts w:hint="eastAsia" w:ascii="Times New Roman" w:hAnsi="Times New Roman"/>
          <w:szCs w:val="21"/>
        </w:rPr>
        <w:t>6.3.4安全加固整改服务要求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①系统安全加固</w:t>
      </w:r>
    </w:p>
    <w:p>
      <w:pPr>
        <w:pStyle w:val="15"/>
        <w:spacing w:line="348" w:lineRule="auto"/>
        <w:ind w:firstLine="420" w:firstLineChars="200"/>
        <w:rPr>
          <w:rFonts w:ascii="Times New Roman" w:hAnsi="Times New Roman"/>
          <w:szCs w:val="21"/>
        </w:rPr>
      </w:pPr>
      <w:r>
        <w:rPr>
          <w:rFonts w:hint="eastAsia" w:ascii="Times New Roman" w:hAnsi="Times New Roman"/>
          <w:szCs w:val="21"/>
        </w:rPr>
        <w:t>系统安全加固须满足等级保护合规性要求及南方电网公司电力监控系统安全策略要求，采用“人工+工具”加固方式实现，即通过安全基线检查和安全策略优化，并结合第三方安全加固工具实现对操作系统的全面安全增强保障及安全加固配置的实时有效性，并实现强制访问控制和权限最小化，安全加固工具需满足南方电网公司《IT主流设备安全基线技术规范》要求，并取得公安部颁发的销售许可证书。</w:t>
      </w:r>
    </w:p>
    <w:p>
      <w:pPr>
        <w:pStyle w:val="15"/>
        <w:spacing w:line="348" w:lineRule="auto"/>
        <w:ind w:firstLine="420" w:firstLineChars="200"/>
        <w:rPr>
          <w:rFonts w:ascii="Times New Roman" w:hAnsi="Times New Roman"/>
          <w:szCs w:val="21"/>
        </w:rPr>
      </w:pPr>
      <w:r>
        <w:rPr>
          <w:rFonts w:hint="eastAsia" w:ascii="Times New Roman" w:hAnsi="Times New Roman"/>
          <w:szCs w:val="21"/>
        </w:rPr>
        <w:t>②系统漏洞修复</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国家网络安全漏洞共享平台最新信息，结合漏洞扫描结果，投标放须配合用户单位或者第三方安全服务公司一起讨论具体加固实施办法，规避安全整改风险，通过补丁更新修复安全漏洞，降低安全风险。如因系统原因无法进行补丁更新修复的漏洞，须提供专业的操作系统防护工具实现对系统漏洞攻击的防护。在实施完整改工作后，根据漏洞扫描报告及整改报告进行回归测试，以确认先前的安全漏洞得到修复，同时没有引入新的安全漏洞，确保整改工作达到预期目标。</w:t>
      </w:r>
    </w:p>
    <w:p>
      <w:pPr>
        <w:pStyle w:val="15"/>
        <w:spacing w:line="348" w:lineRule="auto"/>
        <w:ind w:firstLine="420" w:firstLineChars="200"/>
        <w:rPr>
          <w:rFonts w:ascii="Times New Roman" w:hAnsi="Times New Roman"/>
          <w:szCs w:val="21"/>
        </w:rPr>
      </w:pPr>
      <w:r>
        <w:rPr>
          <w:rFonts w:hint="eastAsia" w:ascii="Times New Roman" w:hAnsi="Times New Roman"/>
          <w:szCs w:val="21"/>
        </w:rPr>
        <w:t>③网络设备及安全设备加固</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日常网络安全运维工作中的风险评估结果，参考南方电网公司电力监控系统安全策略要求，协助网络安全管理员，对网络设备、隔离装置、加密装置、防火墙、入侵防御系统等安全设备进行配置策略调整，提高网络安全设备的适用性和有效性。</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服务成果：《安全加固整改报告》</w:t>
      </w:r>
    </w:p>
    <w:p>
      <w:pPr>
        <w:pStyle w:val="15"/>
        <w:spacing w:line="348" w:lineRule="auto"/>
        <w:ind w:firstLine="420" w:firstLineChars="200"/>
        <w:rPr>
          <w:rFonts w:ascii="Times New Roman" w:hAnsi="Times New Roman"/>
          <w:szCs w:val="21"/>
        </w:rPr>
      </w:pPr>
      <w:r>
        <w:rPr>
          <w:rFonts w:hint="eastAsia" w:ascii="Times New Roman" w:hAnsi="Times New Roman"/>
          <w:szCs w:val="21"/>
        </w:rPr>
        <w:t>6.3.5渗透测试</w:t>
      </w:r>
    </w:p>
    <w:p>
      <w:pPr>
        <w:pStyle w:val="15"/>
        <w:spacing w:line="348" w:lineRule="auto"/>
        <w:ind w:firstLine="420" w:firstLineChars="200"/>
        <w:rPr>
          <w:rFonts w:ascii="Times New Roman" w:hAnsi="Times New Roman"/>
          <w:szCs w:val="21"/>
        </w:rPr>
      </w:pPr>
      <w:r>
        <w:rPr>
          <w:rFonts w:hint="eastAsia" w:ascii="Times New Roman" w:hAnsi="Times New Roman"/>
          <w:szCs w:val="21"/>
        </w:rPr>
        <w:t>渗透测试是在获取用户授权后，通过真实模拟黑客使用的工具、分析方法来进行实际的漏洞发现和利用的安全测试方法，可以发现系统最脆弱的环节，以便对危害性严重的漏洞及时修补，消除安全隐患。</w:t>
      </w:r>
    </w:p>
    <w:p>
      <w:pPr>
        <w:pStyle w:val="15"/>
        <w:spacing w:line="348" w:lineRule="auto"/>
        <w:ind w:firstLine="420" w:firstLineChars="200"/>
        <w:rPr>
          <w:rFonts w:ascii="Times New Roman" w:hAnsi="Times New Roman"/>
          <w:szCs w:val="21"/>
        </w:rPr>
      </w:pPr>
      <w:r>
        <w:rPr>
          <w:rFonts w:hint="eastAsia" w:ascii="Times New Roman" w:hAnsi="Times New Roman"/>
          <w:szCs w:val="21"/>
        </w:rPr>
        <w:t>①渗透测试内容</w:t>
      </w:r>
    </w:p>
    <w:p>
      <w:pPr>
        <w:pStyle w:val="15"/>
        <w:spacing w:line="348" w:lineRule="auto"/>
        <w:ind w:firstLine="420" w:firstLineChars="200"/>
        <w:rPr>
          <w:rFonts w:ascii="Times New Roman" w:hAnsi="Times New Roman"/>
          <w:szCs w:val="21"/>
        </w:rPr>
      </w:pPr>
      <w:r>
        <w:rPr>
          <w:rFonts w:hint="eastAsia" w:ascii="Times New Roman" w:hAnsi="Times New Roman"/>
          <w:szCs w:val="21"/>
        </w:rPr>
        <w:t>渗透测试过程：通过扫描和网络协议分析，判断系统所开放的服务；根据开放的服务端口进行标准协议分析是否符合规范；分析收集到的资料，采取针对性的渗透测试方法；汇总各种渗透尝试的结果，输出渗透测试报告及安全建议。</w:t>
      </w:r>
    </w:p>
    <w:p>
      <w:pPr>
        <w:pStyle w:val="15"/>
        <w:spacing w:line="348" w:lineRule="auto"/>
        <w:ind w:firstLine="420" w:firstLineChars="200"/>
        <w:rPr>
          <w:rFonts w:ascii="Times New Roman" w:hAnsi="Times New Roman"/>
          <w:szCs w:val="21"/>
        </w:rPr>
      </w:pPr>
      <w:r>
        <w:rPr>
          <w:rFonts w:hint="eastAsia" w:ascii="Times New Roman" w:hAnsi="Times New Roman"/>
          <w:szCs w:val="21"/>
        </w:rPr>
        <w:t>渗透测试主要包括系统层面的渗透测试和WEB应用层面的渗透测试。系统层面的渗透测试包括但不限于：溢出、口令猜测、敏感信息等内容。WEB应用层面的渗透包括但不限于：信息收集、验证测试、会话管理测试、数据有效性测试。</w:t>
      </w:r>
    </w:p>
    <w:p>
      <w:pPr>
        <w:pStyle w:val="15"/>
        <w:spacing w:line="348" w:lineRule="auto"/>
        <w:ind w:firstLine="420" w:firstLineChars="200"/>
        <w:rPr>
          <w:rFonts w:ascii="Times New Roman" w:hAnsi="Times New Roman"/>
          <w:szCs w:val="21"/>
        </w:rPr>
      </w:pPr>
      <w:r>
        <w:rPr>
          <w:rFonts w:hint="eastAsia" w:ascii="Times New Roman" w:hAnsi="Times New Roman"/>
          <w:szCs w:val="21"/>
        </w:rPr>
        <w:t>②整改建议和回归测试</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渗透测试工作开展情况，出具详细的测试报告，重点描述测试发现的问题、严重程度以及整改建议，同时服务商配合用户单位或者第三方安全服务公司一起讨论具体加固实施办法，规避安全整改风险，通过安全加固工作修复安全漏洞，降低安全风险。</w:t>
      </w:r>
    </w:p>
    <w:p>
      <w:pPr>
        <w:pStyle w:val="15"/>
        <w:spacing w:line="348" w:lineRule="auto"/>
        <w:ind w:firstLine="420" w:firstLineChars="200"/>
        <w:rPr>
          <w:rFonts w:ascii="Times New Roman" w:hAnsi="Times New Roman"/>
          <w:szCs w:val="21"/>
        </w:rPr>
      </w:pPr>
      <w:r>
        <w:rPr>
          <w:rFonts w:hint="eastAsia" w:ascii="Times New Roman" w:hAnsi="Times New Roman"/>
          <w:szCs w:val="21"/>
        </w:rPr>
        <w:t>在实施完整改工作后，根据渗透测试报告及整改报告进行回归测试，以确认先前的安全漏洞得到修复，同时没有引入新的安全漏洞，确保整改工作达到预期目标。</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服务成果：《渗透测试报告》</w:t>
      </w:r>
    </w:p>
    <w:p>
      <w:pPr>
        <w:pStyle w:val="15"/>
        <w:spacing w:line="348" w:lineRule="auto"/>
        <w:ind w:firstLine="420" w:firstLineChars="200"/>
        <w:rPr>
          <w:rFonts w:ascii="Times New Roman" w:hAnsi="Times New Roman"/>
          <w:szCs w:val="21"/>
        </w:rPr>
      </w:pPr>
      <w:r>
        <w:rPr>
          <w:rFonts w:hint="eastAsia" w:ascii="Times New Roman" w:hAnsi="Times New Roman"/>
          <w:szCs w:val="21"/>
        </w:rPr>
        <w:t>6.3.6系统杀毒</w:t>
      </w:r>
    </w:p>
    <w:p>
      <w:pPr>
        <w:pStyle w:val="15"/>
        <w:spacing w:line="348" w:lineRule="auto"/>
        <w:ind w:firstLine="420" w:firstLineChars="200"/>
        <w:rPr>
          <w:rFonts w:ascii="Times New Roman" w:hAnsi="Times New Roman"/>
          <w:szCs w:val="21"/>
        </w:rPr>
      </w:pPr>
      <w:r>
        <w:rPr>
          <w:rFonts w:hint="eastAsia" w:ascii="Times New Roman" w:hAnsi="Times New Roman"/>
          <w:szCs w:val="21"/>
        </w:rPr>
        <w:t>定期使用杀毒U盘进行最新病毒库更新后对操作系统进行病毒查杀，若查杀发现病毒，协助进行病毒分析与处理。</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服务成果：《系统病毒查杀报告》、《系统病毒分析处理报告》</w:t>
      </w:r>
    </w:p>
    <w:p>
      <w:pPr>
        <w:pStyle w:val="15"/>
        <w:spacing w:line="348" w:lineRule="auto"/>
        <w:outlineLvl w:val="1"/>
        <w:rPr>
          <w:rFonts w:ascii="Times New Roman" w:hAnsi="Times New Roman"/>
          <w:szCs w:val="21"/>
        </w:rPr>
      </w:pPr>
      <w:bookmarkStart w:id="61" w:name="_Toc6798"/>
      <w:r>
        <w:rPr>
          <w:rFonts w:hint="eastAsia" w:ascii="Times New Roman" w:hAnsi="Times New Roman"/>
          <w:szCs w:val="21"/>
        </w:rPr>
        <w:t>6.4安全策略定制、审查、优化</w:t>
      </w:r>
      <w:bookmarkEnd w:id="61"/>
    </w:p>
    <w:p>
      <w:pPr>
        <w:pStyle w:val="15"/>
        <w:spacing w:line="348" w:lineRule="auto"/>
        <w:ind w:firstLine="420" w:firstLineChars="200"/>
        <w:rPr>
          <w:rFonts w:ascii="Times New Roman" w:hAnsi="Times New Roman"/>
          <w:szCs w:val="21"/>
        </w:rPr>
      </w:pPr>
      <w:r>
        <w:rPr>
          <w:rFonts w:hint="eastAsia" w:ascii="Times New Roman" w:hAnsi="Times New Roman"/>
          <w:szCs w:val="21"/>
        </w:rPr>
        <w:t>为网络设备、安全设备、主机系统、应用软件制定标准的安全防护策略，所有系统都应依照安全策略做好基线配置后才能入网上线运行。为保障安全策略的适合性和合规性，需要定期针对安全策略进行审查和优化，以应对新安全威胁，并应用到所有系统中。</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服务成果：《安全策略定制、审查、优化报告》</w:t>
      </w:r>
    </w:p>
    <w:p>
      <w:pPr>
        <w:pStyle w:val="15"/>
        <w:spacing w:line="348" w:lineRule="auto"/>
        <w:outlineLvl w:val="1"/>
        <w:rPr>
          <w:rFonts w:ascii="Times New Roman" w:hAnsi="Times New Roman"/>
          <w:szCs w:val="21"/>
        </w:rPr>
      </w:pPr>
      <w:bookmarkStart w:id="62" w:name="_Toc31645"/>
      <w:r>
        <w:rPr>
          <w:rFonts w:hint="eastAsia" w:ascii="Times New Roman" w:hAnsi="Times New Roman"/>
          <w:szCs w:val="21"/>
        </w:rPr>
        <w:t>6.5特殊时期安全值守要求</w:t>
      </w:r>
      <w:bookmarkEnd w:id="62"/>
    </w:p>
    <w:p>
      <w:pPr>
        <w:pStyle w:val="15"/>
        <w:spacing w:line="348" w:lineRule="auto"/>
        <w:ind w:firstLine="420" w:firstLineChars="200"/>
        <w:rPr>
          <w:rFonts w:ascii="Times New Roman" w:hAnsi="Times New Roman"/>
          <w:szCs w:val="21"/>
        </w:rPr>
      </w:pPr>
      <w:r>
        <w:rPr>
          <w:rFonts w:hint="eastAsia" w:ascii="Times New Roman" w:hAnsi="Times New Roman"/>
          <w:szCs w:val="21"/>
        </w:rPr>
        <w:t>根据招标方上级单位特级保供电通知等相关要求，做好特级保供电时期网络安全保障工作，通过现场值守、应急响应、突发事件处理等方式，为招标方提供特级保供电时期重要信息系统安全技术服务，确保招标方能够及时应对各类网络安全突发事件，保障电力监控系统安全稳定运行。</w:t>
      </w:r>
    </w:p>
    <w:p>
      <w:pPr>
        <w:pStyle w:val="15"/>
        <w:spacing w:line="348" w:lineRule="auto"/>
        <w:ind w:firstLine="420" w:firstLineChars="200"/>
        <w:rPr>
          <w:rFonts w:ascii="Times New Roman" w:hAnsi="Times New Roman"/>
          <w:szCs w:val="21"/>
        </w:rPr>
      </w:pPr>
      <w:r>
        <w:rPr>
          <w:rFonts w:hint="eastAsia" w:ascii="Times New Roman" w:hAnsi="Times New Roman"/>
          <w:szCs w:val="21"/>
        </w:rPr>
        <w:t>6.5.1工作内容</w:t>
      </w:r>
    </w:p>
    <w:p>
      <w:pPr>
        <w:pStyle w:val="15"/>
        <w:spacing w:line="348" w:lineRule="auto"/>
        <w:ind w:firstLine="420" w:firstLineChars="200"/>
        <w:rPr>
          <w:rFonts w:ascii="Times New Roman" w:hAnsi="Times New Roman"/>
          <w:szCs w:val="21"/>
        </w:rPr>
      </w:pPr>
      <w:r>
        <w:rPr>
          <w:rFonts w:hint="eastAsia" w:ascii="Times New Roman" w:hAnsi="Times New Roman"/>
          <w:szCs w:val="21"/>
        </w:rPr>
        <w:t>①安全巡检服务</w:t>
      </w:r>
    </w:p>
    <w:p>
      <w:pPr>
        <w:pStyle w:val="15"/>
        <w:spacing w:line="348" w:lineRule="auto"/>
        <w:ind w:firstLine="420" w:firstLineChars="200"/>
        <w:rPr>
          <w:rFonts w:ascii="Times New Roman" w:hAnsi="Times New Roman"/>
          <w:szCs w:val="21"/>
        </w:rPr>
      </w:pPr>
      <w:r>
        <w:rPr>
          <w:rFonts w:hint="eastAsia" w:ascii="Times New Roman" w:hAnsi="Times New Roman"/>
          <w:szCs w:val="21"/>
        </w:rPr>
        <w:t>由专业安全工程师对重要设备进行安全巡检，全面掌握系统服务器的安全状况，分析面临的安全威胁和风险，评估安全防护水平，查找突出问题和薄弱环节，提供有针对性地防范对策和改进建议，以加强重要时期信息系统的安全保障，预防重要时期重大网络安全事件的发生。</w:t>
      </w:r>
    </w:p>
    <w:p>
      <w:pPr>
        <w:pStyle w:val="15"/>
        <w:spacing w:line="348" w:lineRule="auto"/>
        <w:ind w:firstLine="420" w:firstLineChars="200"/>
        <w:rPr>
          <w:rFonts w:ascii="Times New Roman" w:hAnsi="Times New Roman"/>
          <w:szCs w:val="21"/>
        </w:rPr>
      </w:pPr>
      <w:r>
        <w:rPr>
          <w:rFonts w:hint="eastAsia" w:ascii="Times New Roman" w:hAnsi="Times New Roman"/>
          <w:szCs w:val="21"/>
        </w:rPr>
        <w:t>②安全日志监测与分析</w:t>
      </w:r>
    </w:p>
    <w:p>
      <w:pPr>
        <w:pStyle w:val="15"/>
        <w:spacing w:line="348" w:lineRule="auto"/>
        <w:ind w:firstLine="420" w:firstLineChars="200"/>
        <w:rPr>
          <w:rFonts w:ascii="Times New Roman" w:hAnsi="Times New Roman"/>
          <w:szCs w:val="21"/>
        </w:rPr>
      </w:pPr>
      <w:r>
        <w:rPr>
          <w:rFonts w:hint="eastAsia" w:ascii="Times New Roman" w:hAnsi="Times New Roman"/>
          <w:szCs w:val="21"/>
        </w:rPr>
        <w:t>对重要设备，包括防火墙、重要网络设备等的日志进行检测与分析，对可疑事件积极排查，预防安全事件的发生。</w:t>
      </w:r>
    </w:p>
    <w:p>
      <w:pPr>
        <w:pStyle w:val="15"/>
        <w:spacing w:line="348" w:lineRule="auto"/>
        <w:ind w:firstLine="420" w:firstLineChars="200"/>
        <w:rPr>
          <w:rFonts w:ascii="Times New Roman" w:hAnsi="Times New Roman"/>
          <w:szCs w:val="21"/>
        </w:rPr>
      </w:pPr>
      <w:r>
        <w:rPr>
          <w:rFonts w:hint="eastAsia" w:ascii="Times New Roman" w:hAnsi="Times New Roman"/>
          <w:szCs w:val="21"/>
        </w:rPr>
        <w:t>通过日志分析最新的安全态势，给出安全策略调整建议。</w:t>
      </w:r>
    </w:p>
    <w:p>
      <w:pPr>
        <w:pStyle w:val="15"/>
        <w:spacing w:line="348" w:lineRule="auto"/>
        <w:ind w:firstLine="420" w:firstLineChars="200"/>
        <w:rPr>
          <w:rFonts w:ascii="Times New Roman" w:hAnsi="Times New Roman"/>
          <w:szCs w:val="21"/>
        </w:rPr>
      </w:pPr>
      <w:r>
        <w:rPr>
          <w:rFonts w:hint="eastAsia" w:ascii="Times New Roman" w:hAnsi="Times New Roman"/>
          <w:szCs w:val="21"/>
        </w:rPr>
        <w:t>③设备监控服务，内容包括：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对重要设备，包括防火墙、重要网络设备等的运行状态进行安全监控，包括内存使用情况、CPU使用情况等进行定期的监控，确保重要设施的持续可用性。</w:t>
      </w:r>
    </w:p>
    <w:p>
      <w:pPr>
        <w:pStyle w:val="15"/>
        <w:spacing w:line="348" w:lineRule="auto"/>
        <w:ind w:firstLine="420" w:firstLineChars="200"/>
        <w:rPr>
          <w:rFonts w:ascii="Times New Roman" w:hAnsi="Times New Roman"/>
          <w:szCs w:val="21"/>
        </w:rPr>
      </w:pPr>
      <w:r>
        <w:rPr>
          <w:rFonts w:hint="eastAsia" w:ascii="Times New Roman" w:hAnsi="Times New Roman"/>
          <w:szCs w:val="21"/>
        </w:rPr>
        <w:t>④应急响应服务，内容包括：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当现场安全值守发现安全事件（如外部非法入侵或恶意攻击），或接到招标方的通知，启动应急响应，并在1小时内到达现场进行处理工作，把事件控制在萌芽状态。</w:t>
      </w:r>
    </w:p>
    <w:p>
      <w:pPr>
        <w:pStyle w:val="15"/>
        <w:spacing w:line="348" w:lineRule="auto"/>
        <w:ind w:firstLine="420" w:firstLineChars="200"/>
        <w:rPr>
          <w:rFonts w:ascii="Times New Roman" w:hAnsi="Times New Roman"/>
          <w:szCs w:val="21"/>
        </w:rPr>
      </w:pPr>
      <w:r>
        <w:rPr>
          <w:rFonts w:hint="eastAsia" w:ascii="Times New Roman" w:hAnsi="Times New Roman"/>
          <w:szCs w:val="21"/>
        </w:rPr>
        <w:t>⑤网络安全事件分析及建议服务，内容包括：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根据最新安全情况定期对招标方网络与信息系统进行安全威胁分析。</w:t>
      </w:r>
    </w:p>
    <w:p>
      <w:pPr>
        <w:pStyle w:val="15"/>
        <w:spacing w:line="348" w:lineRule="auto"/>
        <w:ind w:firstLine="420" w:firstLineChars="200"/>
        <w:rPr>
          <w:rFonts w:ascii="Times New Roman" w:hAnsi="Times New Roman"/>
          <w:szCs w:val="21"/>
        </w:rPr>
      </w:pPr>
      <w:r>
        <w:rPr>
          <w:rFonts w:hint="eastAsia" w:ascii="Times New Roman" w:hAnsi="Times New Roman"/>
          <w:szCs w:val="21"/>
        </w:rPr>
        <w:t>对招标方发生的各类安全事件进行分析和追踪，识别事件的蔓延方式，提出建议措施，以最小危害原则保障招标方利益。</w:t>
      </w:r>
    </w:p>
    <w:p>
      <w:pPr>
        <w:pStyle w:val="15"/>
        <w:spacing w:line="348" w:lineRule="auto"/>
        <w:ind w:firstLine="420" w:firstLineChars="200"/>
        <w:rPr>
          <w:rFonts w:ascii="Times New Roman" w:hAnsi="Times New Roman"/>
          <w:szCs w:val="21"/>
        </w:rPr>
      </w:pPr>
      <w:r>
        <w:rPr>
          <w:rFonts w:hint="eastAsia" w:ascii="Times New Roman" w:hAnsi="Times New Roman"/>
          <w:szCs w:val="21"/>
        </w:rPr>
        <w:t>对已造成影响的系统要求尽快以最大程度消除影响，恢复系统正常状态，保证系统的连续性和稳定性。</w:t>
      </w:r>
    </w:p>
    <w:p>
      <w:pPr>
        <w:pStyle w:val="15"/>
        <w:spacing w:line="348" w:lineRule="auto"/>
        <w:ind w:firstLine="420" w:firstLineChars="200"/>
        <w:rPr>
          <w:rFonts w:ascii="Times New Roman" w:hAnsi="Times New Roman"/>
          <w:szCs w:val="21"/>
        </w:rPr>
      </w:pPr>
      <w:r>
        <w:rPr>
          <w:rFonts w:hint="eastAsia" w:ascii="Times New Roman" w:hAnsi="Times New Roman"/>
          <w:szCs w:val="21"/>
        </w:rPr>
        <w:t>根据招标方要求可对事件的原因进行调查，追溯攻击危害来源，并在符合司法程序的前提下进行取证提供给招标方。</w:t>
      </w:r>
    </w:p>
    <w:p>
      <w:pPr>
        <w:pStyle w:val="15"/>
        <w:spacing w:line="348" w:lineRule="auto"/>
        <w:ind w:firstLine="420" w:firstLineChars="200"/>
        <w:rPr>
          <w:rFonts w:ascii="Times New Roman" w:hAnsi="Times New Roman"/>
          <w:szCs w:val="21"/>
        </w:rPr>
      </w:pPr>
      <w:r>
        <w:rPr>
          <w:rFonts w:hint="eastAsia" w:ascii="Times New Roman" w:hAnsi="Times New Roman"/>
          <w:szCs w:val="21"/>
        </w:rPr>
        <w:t>⑥安全加固咨询服务，内容包括：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评估驻场阶段发现的各类问题，分析评估重大时期对发现的问题进行整改的风险和必要性，并提供加固咨询服务。</w:t>
      </w:r>
    </w:p>
    <w:p>
      <w:pPr>
        <w:pStyle w:val="15"/>
        <w:spacing w:line="348" w:lineRule="auto"/>
        <w:ind w:firstLine="420" w:firstLineChars="200"/>
        <w:rPr>
          <w:rFonts w:ascii="Times New Roman" w:hAnsi="Times New Roman"/>
          <w:szCs w:val="21"/>
        </w:rPr>
      </w:pPr>
      <w:r>
        <w:rPr>
          <w:rFonts w:hint="eastAsia" w:ascii="Times New Roman" w:hAnsi="Times New Roman"/>
          <w:szCs w:val="21"/>
        </w:rPr>
        <w:t>⑦安全日报服务，内容包括：</w:t>
      </w:r>
    </w:p>
    <w:p>
      <w:pPr>
        <w:pStyle w:val="15"/>
        <w:spacing w:line="348" w:lineRule="auto"/>
        <w:ind w:firstLine="420" w:firstLineChars="200"/>
        <w:rPr>
          <w:rFonts w:ascii="Times New Roman" w:hAnsi="Times New Roman"/>
          <w:szCs w:val="21"/>
        </w:rPr>
      </w:pPr>
      <w:r>
        <w:rPr>
          <w:rFonts w:hint="eastAsia" w:ascii="Times New Roman" w:hAnsi="Times New Roman"/>
          <w:szCs w:val="21"/>
        </w:rPr>
        <w:t>每日安全情况概述、重要安全设备运行监控情况。</w:t>
      </w:r>
    </w:p>
    <w:p>
      <w:pPr>
        <w:pStyle w:val="15"/>
        <w:spacing w:line="348" w:lineRule="auto"/>
        <w:ind w:firstLine="420" w:firstLineChars="200"/>
        <w:rPr>
          <w:rFonts w:ascii="Times New Roman" w:hAnsi="Times New Roman"/>
          <w:szCs w:val="21"/>
        </w:rPr>
      </w:pPr>
      <w:r>
        <w:rPr>
          <w:rFonts w:hint="eastAsia" w:ascii="Times New Roman" w:hAnsi="Times New Roman"/>
          <w:szCs w:val="21"/>
        </w:rPr>
        <w:t>每日病毒/木马感染情况、威胁变化、安全问题处理等。</w:t>
      </w:r>
    </w:p>
    <w:p>
      <w:pPr>
        <w:pStyle w:val="15"/>
        <w:spacing w:line="348" w:lineRule="auto"/>
        <w:ind w:firstLine="420" w:firstLineChars="200"/>
        <w:rPr>
          <w:rFonts w:ascii="Times New Roman" w:hAnsi="Times New Roman"/>
          <w:szCs w:val="21"/>
        </w:rPr>
      </w:pPr>
      <w:r>
        <w:rPr>
          <w:rFonts w:hint="eastAsia" w:ascii="Times New Roman" w:hAnsi="Times New Roman"/>
          <w:szCs w:val="21"/>
        </w:rPr>
        <w:t>6.5.2重大保障期间工作要求</w:t>
      </w:r>
    </w:p>
    <w:p>
      <w:pPr>
        <w:pStyle w:val="15"/>
        <w:spacing w:line="348" w:lineRule="auto"/>
        <w:ind w:firstLine="420" w:firstLineChars="200"/>
        <w:rPr>
          <w:rFonts w:ascii="Times New Roman" w:hAnsi="Times New Roman"/>
          <w:szCs w:val="21"/>
        </w:rPr>
      </w:pPr>
      <w:r>
        <w:rPr>
          <w:rFonts w:hint="eastAsia" w:ascii="Times New Roman" w:hAnsi="Times New Roman"/>
          <w:szCs w:val="21"/>
        </w:rPr>
        <w:t>①配合招标方开展重大网络安全活动保障，期间需增派一名专业应急人员驻场。</w:t>
      </w:r>
    </w:p>
    <w:p>
      <w:pPr>
        <w:pStyle w:val="15"/>
        <w:spacing w:line="348" w:lineRule="auto"/>
        <w:ind w:firstLine="420" w:firstLineChars="200"/>
        <w:rPr>
          <w:rFonts w:ascii="Times New Roman" w:hAnsi="Times New Roman"/>
          <w:szCs w:val="21"/>
        </w:rPr>
      </w:pPr>
      <w:r>
        <w:rPr>
          <w:rFonts w:hint="eastAsia" w:ascii="Times New Roman" w:hAnsi="Times New Roman"/>
          <w:szCs w:val="21"/>
        </w:rPr>
        <w:t>②重大时期驻场服务各项工作周期要求：</w:t>
      </w:r>
    </w:p>
    <w:p>
      <w:pPr>
        <w:pStyle w:val="15"/>
        <w:spacing w:line="348" w:lineRule="auto"/>
        <w:ind w:firstLine="420" w:firstLineChars="200"/>
        <w:rPr>
          <w:rFonts w:ascii="Times New Roman" w:hAnsi="Times New Roman"/>
          <w:szCs w:val="21"/>
        </w:rPr>
      </w:pPr>
      <w:r>
        <w:rPr>
          <w:rFonts w:ascii="Times New Roman" w:hAnsi="Times New Roman"/>
          <w:szCs w:val="21"/>
        </w:rPr>
        <w:t></w:t>
      </w:r>
      <w:r>
        <w:rPr>
          <w:rFonts w:hint="eastAsia" w:ascii="Times New Roman" w:hAnsi="Times New Roman"/>
          <w:szCs w:val="21"/>
        </w:rPr>
        <w:t>安全日志监测与分析：每日；</w:t>
      </w:r>
    </w:p>
    <w:p>
      <w:pPr>
        <w:pStyle w:val="15"/>
        <w:spacing w:line="348" w:lineRule="auto"/>
        <w:ind w:firstLine="420" w:firstLineChars="200"/>
        <w:rPr>
          <w:rFonts w:ascii="Times New Roman" w:hAnsi="Times New Roman"/>
          <w:szCs w:val="21"/>
        </w:rPr>
      </w:pPr>
      <w:r>
        <w:rPr>
          <w:rFonts w:ascii="Times New Roman" w:hAnsi="Times New Roman"/>
          <w:szCs w:val="21"/>
        </w:rPr>
        <w:t></w:t>
      </w:r>
      <w:r>
        <w:rPr>
          <w:rFonts w:hint="eastAsia" w:ascii="Times New Roman" w:hAnsi="Times New Roman"/>
          <w:szCs w:val="21"/>
        </w:rPr>
        <w:t>设备监控：每日；</w:t>
      </w:r>
    </w:p>
    <w:p>
      <w:pPr>
        <w:pStyle w:val="15"/>
        <w:spacing w:line="348" w:lineRule="auto"/>
        <w:ind w:firstLine="420" w:firstLineChars="200"/>
        <w:rPr>
          <w:rFonts w:ascii="Times New Roman" w:hAnsi="Times New Roman"/>
          <w:szCs w:val="21"/>
        </w:rPr>
      </w:pPr>
      <w:r>
        <w:rPr>
          <w:rFonts w:ascii="Times New Roman" w:hAnsi="Times New Roman"/>
          <w:szCs w:val="21"/>
        </w:rPr>
        <w:t></w:t>
      </w:r>
      <w:r>
        <w:rPr>
          <w:rFonts w:hint="eastAsia" w:ascii="Times New Roman" w:hAnsi="Times New Roman"/>
          <w:szCs w:val="21"/>
        </w:rPr>
        <w:t>网络安全事件分析及建议：每日；</w:t>
      </w:r>
    </w:p>
    <w:p>
      <w:pPr>
        <w:pStyle w:val="15"/>
        <w:spacing w:line="348" w:lineRule="auto"/>
        <w:ind w:firstLine="420" w:firstLineChars="200"/>
        <w:rPr>
          <w:rFonts w:ascii="Times New Roman" w:hAnsi="Times New Roman"/>
          <w:szCs w:val="21"/>
        </w:rPr>
      </w:pPr>
      <w:r>
        <w:rPr>
          <w:rFonts w:ascii="Times New Roman" w:hAnsi="Times New Roman"/>
          <w:szCs w:val="21"/>
        </w:rPr>
        <w:t></w:t>
      </w:r>
      <w:r>
        <w:rPr>
          <w:rFonts w:hint="eastAsia" w:ascii="Times New Roman" w:hAnsi="Times New Roman"/>
          <w:szCs w:val="21"/>
        </w:rPr>
        <w:t>安全日报：每日。</w:t>
      </w:r>
    </w:p>
    <w:p>
      <w:pPr>
        <w:pStyle w:val="15"/>
        <w:spacing w:line="348" w:lineRule="auto"/>
        <w:ind w:firstLine="420" w:firstLineChars="200"/>
        <w:rPr>
          <w:rFonts w:ascii="Times New Roman" w:hAnsi="Times New Roman"/>
          <w:szCs w:val="21"/>
        </w:rPr>
      </w:pPr>
      <w:r>
        <w:rPr>
          <w:rFonts w:hint="eastAsia" w:ascii="Times New Roman" w:hAnsi="Times New Roman"/>
          <w:szCs w:val="21"/>
        </w:rPr>
        <w:t>③针对重要网络基础设施，提出防范攻击和渗透的改进建议。</w:t>
      </w:r>
    </w:p>
    <w:p>
      <w:pPr>
        <w:pStyle w:val="15"/>
        <w:spacing w:line="348" w:lineRule="auto"/>
        <w:outlineLvl w:val="1"/>
        <w:rPr>
          <w:rFonts w:ascii="Times New Roman" w:hAnsi="Times New Roman"/>
          <w:szCs w:val="21"/>
        </w:rPr>
      </w:pPr>
      <w:bookmarkStart w:id="63" w:name="_Toc26428"/>
      <w:r>
        <w:rPr>
          <w:rFonts w:hint="eastAsia" w:ascii="Times New Roman" w:hAnsi="Times New Roman"/>
          <w:szCs w:val="21"/>
        </w:rPr>
        <w:t>6.6网络安全应急响应、重大紧急缺陷处理</w:t>
      </w:r>
      <w:bookmarkEnd w:id="63"/>
    </w:p>
    <w:p>
      <w:pPr>
        <w:pStyle w:val="15"/>
        <w:spacing w:line="348" w:lineRule="auto"/>
        <w:ind w:firstLine="420" w:firstLineChars="200"/>
        <w:rPr>
          <w:rFonts w:ascii="Times New Roman" w:hAnsi="Times New Roman"/>
          <w:szCs w:val="21"/>
        </w:rPr>
      </w:pPr>
      <w:r>
        <w:rPr>
          <w:rFonts w:hint="eastAsia" w:ascii="Times New Roman" w:hAnsi="Times New Roman"/>
          <w:szCs w:val="21"/>
        </w:rPr>
        <w:t>6.6.1应急响应</w:t>
      </w:r>
    </w:p>
    <w:p>
      <w:pPr>
        <w:pStyle w:val="15"/>
        <w:spacing w:line="348" w:lineRule="auto"/>
        <w:ind w:firstLine="420" w:firstLineChars="200"/>
        <w:rPr>
          <w:rFonts w:ascii="Times New Roman" w:hAnsi="Times New Roman"/>
          <w:szCs w:val="21"/>
        </w:rPr>
      </w:pPr>
      <w:r>
        <w:rPr>
          <w:rFonts w:hint="eastAsia" w:ascii="Times New Roman" w:hAnsi="Times New Roman"/>
          <w:szCs w:val="21"/>
        </w:rPr>
        <w:t>当发生安全事件时，要求投标方30分钟内响应，当远程支持无法解决问题时，要求派遣专业的应急响应服务人员在第一时间到达事件所在地提供现场服务，要求到达现场的时间不超过3个小时，使网络和信息系统在最短时间内恢复正常工作，帮助查找入侵来源，给出入侵事故过程报告，同时给出解决方案与防范报告，挽回或减少相应损失。</w:t>
      </w:r>
    </w:p>
    <w:p>
      <w:pPr>
        <w:pStyle w:val="15"/>
        <w:spacing w:line="348" w:lineRule="auto"/>
        <w:ind w:firstLine="420" w:firstLineChars="200"/>
        <w:rPr>
          <w:rFonts w:ascii="Times New Roman" w:hAnsi="Times New Roman"/>
          <w:szCs w:val="21"/>
        </w:rPr>
      </w:pPr>
      <w:r>
        <w:rPr>
          <w:rFonts w:hint="eastAsia" w:ascii="Times New Roman" w:hAnsi="Times New Roman"/>
          <w:szCs w:val="21"/>
        </w:rPr>
        <w:t>6.6.2重大紧急缺陷处理</w:t>
      </w:r>
    </w:p>
    <w:p>
      <w:pPr>
        <w:pStyle w:val="15"/>
        <w:spacing w:line="348" w:lineRule="auto"/>
        <w:ind w:firstLine="420" w:firstLineChars="200"/>
        <w:rPr>
          <w:rFonts w:ascii="Times New Roman" w:hAnsi="Times New Roman"/>
          <w:szCs w:val="21"/>
        </w:rPr>
      </w:pPr>
      <w:r>
        <w:rPr>
          <w:rFonts w:hint="eastAsia" w:ascii="Times New Roman" w:hAnsi="Times New Roman"/>
          <w:szCs w:val="21"/>
        </w:rPr>
        <w:t>当并网运行的网络设备、安全设备、主机系统、应用软件出现重大、紧急、影响范围较大的安全漏洞或缺陷时，投标方应组织技术人员对本项目范围内系统进行排查，并及时进行修复或提出整改建议，确保系统不因突发的重大紧急缺陷对现网造成安全威胁和风险。</w:t>
      </w:r>
    </w:p>
    <w:p>
      <w:pPr>
        <w:pStyle w:val="15"/>
        <w:spacing w:line="348" w:lineRule="auto"/>
        <w:ind w:firstLine="420" w:firstLineChars="200"/>
        <w:rPr>
          <w:rFonts w:ascii="Times New Roman" w:hAnsi="Times New Roman"/>
          <w:szCs w:val="21"/>
        </w:rPr>
      </w:pPr>
      <w:r>
        <w:rPr>
          <w:rFonts w:hint="eastAsia" w:ascii="Times New Roman" w:hAnsi="Times New Roman"/>
          <w:szCs w:val="21"/>
        </w:rPr>
        <w:t>6.6.3应急预案及演练</w:t>
      </w:r>
    </w:p>
    <w:p>
      <w:pPr>
        <w:pStyle w:val="15"/>
        <w:spacing w:line="348" w:lineRule="auto"/>
        <w:ind w:firstLine="420" w:firstLineChars="200"/>
        <w:rPr>
          <w:rFonts w:ascii="Times New Roman" w:hAnsi="Times New Roman"/>
          <w:szCs w:val="21"/>
        </w:rPr>
      </w:pPr>
      <w:r>
        <w:rPr>
          <w:rFonts w:hint="eastAsia" w:ascii="Times New Roman" w:hAnsi="Times New Roman"/>
          <w:szCs w:val="21"/>
        </w:rPr>
        <w:t>配合编制和优化应急预案，通过现场实战演练，提高相关人员应急处置能力。</w:t>
      </w:r>
    </w:p>
    <w:p>
      <w:pPr>
        <w:pStyle w:val="15"/>
        <w:spacing w:line="348" w:lineRule="auto"/>
        <w:ind w:firstLine="420" w:firstLineChars="200"/>
        <w:rPr>
          <w:rFonts w:ascii="Times New Roman" w:hAnsi="Times New Roman"/>
          <w:szCs w:val="21"/>
        </w:rPr>
      </w:pPr>
      <w:r>
        <w:rPr>
          <w:rFonts w:hint="eastAsia" w:ascii="Times New Roman" w:hAnsi="Times New Roman"/>
          <w:szCs w:val="21"/>
        </w:rPr>
        <w:t>应急预案包括但不限于：业务系统故障的应急处理、消防系统应急处理、网络中断应急处理、黑客攻击的应急处理、大规模病毒（含恶意软件）攻击的应急处理、软件系统故障的应急处理、数据库系统故障的应急处理、设备硬件故障的应急处理、其他网络故障应急处理等。</w:t>
      </w:r>
    </w:p>
    <w:p>
      <w:pPr>
        <w:pStyle w:val="15"/>
        <w:spacing w:line="348" w:lineRule="auto"/>
        <w:ind w:firstLine="420" w:firstLineChars="200"/>
        <w:rPr>
          <w:rFonts w:ascii="Times New Roman" w:hAnsi="Times New Roman"/>
          <w:szCs w:val="21"/>
        </w:rPr>
      </w:pPr>
      <w:r>
        <w:rPr>
          <w:rFonts w:hint="eastAsia" w:ascii="Times New Roman" w:hAnsi="Times New Roman"/>
          <w:szCs w:val="21"/>
        </w:rPr>
        <w:t>搭建演练环境，进行实战演练，演练科目包括但不限于：黑客攻击的应急处理，制定演练方案，搭建演练环境，模拟黑客从外部攻击内部网络；网络中断应急处理，模拟内部两地之间的网络发生中断，制定演练方案，并组织演练；大规模病毒（含恶意软件）攻击的应急处理，模拟局域网大规模病毒爆发，制定演练方案，并组织演练。</w:t>
      </w:r>
    </w:p>
    <w:p>
      <w:pPr>
        <w:pStyle w:val="15"/>
        <w:spacing w:line="348" w:lineRule="auto"/>
        <w:ind w:firstLine="420" w:firstLineChars="200"/>
        <w:rPr>
          <w:rFonts w:ascii="Times New Roman" w:hAnsi="Times New Roman"/>
          <w:szCs w:val="21"/>
        </w:rPr>
      </w:pPr>
      <w:r>
        <w:rPr>
          <w:rFonts w:hint="eastAsia" w:ascii="Times New Roman" w:hAnsi="Times New Roman"/>
          <w:szCs w:val="21"/>
        </w:rPr>
        <w:t>服务成果：《应急响应处理报告》、《重大紧急缺陷处理报告》、《应急演练总结报告》</w:t>
      </w:r>
    </w:p>
    <w:bookmarkEnd w:id="52"/>
    <w:bookmarkEnd w:id="53"/>
    <w:bookmarkEnd w:id="54"/>
    <w:bookmarkEnd w:id="55"/>
    <w:bookmarkEnd w:id="56"/>
    <w:bookmarkEnd w:id="57"/>
    <w:p>
      <w:pPr>
        <w:pStyle w:val="3"/>
        <w:numPr>
          <w:ilvl w:val="0"/>
          <w:numId w:val="0"/>
        </w:numPr>
        <w:spacing w:before="312" w:after="312"/>
        <w:rPr>
          <w:rFonts w:ascii="黑体" w:hAnsi="黑体" w:eastAsia="黑体"/>
          <w:b w:val="0"/>
          <w:sz w:val="21"/>
          <w:szCs w:val="21"/>
        </w:rPr>
      </w:pPr>
      <w:bookmarkStart w:id="64" w:name="_Toc88928314"/>
      <w:bookmarkStart w:id="65" w:name="_Toc26464"/>
      <w:bookmarkStart w:id="66" w:name="_Toc1514"/>
      <w:bookmarkStart w:id="67" w:name="_Toc4239"/>
      <w:bookmarkStart w:id="68" w:name="_Toc1066"/>
      <w:bookmarkStart w:id="69" w:name="_Toc149524533"/>
      <w:bookmarkStart w:id="70" w:name="_Toc28187"/>
      <w:bookmarkStart w:id="71" w:name="_Toc13780"/>
      <w:bookmarkStart w:id="72" w:name="_Toc383333810"/>
      <w:bookmarkStart w:id="73" w:name="_Toc30156"/>
      <w:bookmarkStart w:id="74" w:name="_Toc11923934"/>
      <w:bookmarkStart w:id="75" w:name="_Toc695138335"/>
      <w:bookmarkStart w:id="76" w:name="_Toc291226851"/>
      <w:bookmarkStart w:id="77" w:name="_Toc19344"/>
      <w:bookmarkStart w:id="78" w:name="_Toc1085475126"/>
      <w:bookmarkStart w:id="79" w:name="_Toc1562"/>
      <w:bookmarkStart w:id="80" w:name="_Toc4124"/>
      <w:bookmarkStart w:id="81" w:name="_Toc28326"/>
      <w:bookmarkStart w:id="82" w:name="_Toc88235565"/>
      <w:bookmarkStart w:id="83" w:name="_Toc31847"/>
      <w:bookmarkStart w:id="84" w:name="_Toc5664"/>
      <w:bookmarkStart w:id="85" w:name="_Toc1422"/>
      <w:bookmarkStart w:id="86" w:name="_Toc15425"/>
      <w:bookmarkStart w:id="87" w:name="_Toc1282409063"/>
      <w:bookmarkStart w:id="88" w:name="_Toc948"/>
      <w:bookmarkStart w:id="89" w:name="_Toc523824279"/>
      <w:bookmarkStart w:id="90" w:name="_Toc603589642"/>
      <w:r>
        <w:rPr>
          <w:rFonts w:hint="eastAsia" w:ascii="黑体" w:hAnsi="黑体" w:eastAsia="黑体"/>
          <w:b w:val="0"/>
          <w:sz w:val="21"/>
          <w:szCs w:val="21"/>
          <w:lang w:val="en-US" w:eastAsia="zh-CN"/>
        </w:rPr>
        <w:t>7.</w:t>
      </w:r>
      <w:r>
        <w:rPr>
          <w:rFonts w:hint="eastAsia" w:ascii="黑体" w:hAnsi="黑体" w:eastAsia="黑体"/>
          <w:b w:val="0"/>
          <w:sz w:val="21"/>
          <w:szCs w:val="21"/>
        </w:rPr>
        <w:t>项目管理要求</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pPr>
        <w:pStyle w:val="15"/>
        <w:spacing w:line="360" w:lineRule="auto"/>
        <w:outlineLvl w:val="1"/>
      </w:pPr>
      <w:bookmarkStart w:id="91" w:name="_Toc21895"/>
      <w:r>
        <w:rPr>
          <w:rFonts w:hint="eastAsia"/>
        </w:rPr>
        <w:t>7</w:t>
      </w:r>
      <w:r>
        <w:t>.1质量保证要求</w:t>
      </w:r>
      <w:bookmarkEnd w:id="91"/>
    </w:p>
    <w:p>
      <w:pPr>
        <w:pStyle w:val="15"/>
        <w:spacing w:line="360" w:lineRule="auto"/>
        <w:ind w:firstLine="420" w:firstLineChars="200"/>
      </w:pPr>
      <w:r>
        <w:rPr>
          <w:rFonts w:hint="eastAsia"/>
        </w:rPr>
        <w:t>7.1.1投标方应保证根据超高压输电公司的实际业务和管理需求，并结合电网公司信息化发展的要求，建立严格的质量保证体系，制定各阶段质量控制方案及控制措施，并督促落实各环节质量控制内容和目标，保证各个阶段工作满足项目单位的质量要求。</w:t>
      </w:r>
    </w:p>
    <w:p>
      <w:pPr>
        <w:pStyle w:val="15"/>
        <w:spacing w:line="360" w:lineRule="auto"/>
        <w:ind w:firstLine="420" w:firstLineChars="200"/>
      </w:pPr>
      <w:r>
        <w:rPr>
          <w:rFonts w:hint="eastAsia"/>
        </w:rPr>
        <w:t>7.1.2投标方应保证所提供服务均能满足本技术规范书的技术、质量等要求，如发生项目变更须建立项目变更流程，记录项目变更。</w:t>
      </w:r>
    </w:p>
    <w:p>
      <w:pPr>
        <w:pStyle w:val="15"/>
        <w:spacing w:line="360" w:lineRule="auto"/>
        <w:outlineLvl w:val="1"/>
      </w:pPr>
      <w:bookmarkStart w:id="92" w:name="_Toc21946"/>
      <w:r>
        <w:rPr>
          <w:rFonts w:hint="eastAsia"/>
        </w:rPr>
        <w:t>7</w:t>
      </w:r>
      <w:r>
        <w:t>.2</w:t>
      </w:r>
      <w:r>
        <w:rPr>
          <w:rFonts w:hint="eastAsia"/>
        </w:rPr>
        <w:t>组织保证</w:t>
      </w:r>
      <w:r>
        <w:t>要求</w:t>
      </w:r>
      <w:bookmarkEnd w:id="92"/>
    </w:p>
    <w:p>
      <w:pPr>
        <w:pStyle w:val="15"/>
        <w:spacing w:line="360" w:lineRule="auto"/>
        <w:ind w:firstLine="420" w:firstLineChars="200"/>
      </w:pPr>
      <w:r>
        <w:rPr>
          <w:rFonts w:hint="eastAsia"/>
        </w:rPr>
        <w:t>7.2.1投标方所提供的服务人员必须符合招标方的用人要求规定，招标方有对投标方所提供的服务人员进行面试的权力；</w:t>
      </w:r>
    </w:p>
    <w:p>
      <w:pPr>
        <w:pStyle w:val="15"/>
        <w:spacing w:line="360" w:lineRule="auto"/>
        <w:ind w:firstLine="420" w:firstLineChars="200"/>
      </w:pPr>
      <w:r>
        <w:rPr>
          <w:rFonts w:hint="eastAsia"/>
        </w:rPr>
        <w:t>7.2.2投标方必须向招标方保证工程人员组织的稳定性，在本项目服务结束前，参加本项目的人员变动必须取得招标方同意。更换的人员不低于投标时拟派人员的资格条件。</w:t>
      </w:r>
    </w:p>
    <w:p>
      <w:pPr>
        <w:pStyle w:val="15"/>
        <w:spacing w:line="360" w:lineRule="auto"/>
        <w:outlineLvl w:val="1"/>
      </w:pPr>
      <w:bookmarkStart w:id="93" w:name="_Toc29193"/>
      <w:r>
        <w:rPr>
          <w:rFonts w:hint="eastAsia"/>
        </w:rPr>
        <w:t>7</w:t>
      </w:r>
      <w:r>
        <w:t>.3进度保证要求</w:t>
      </w:r>
      <w:bookmarkEnd w:id="93"/>
    </w:p>
    <w:p>
      <w:pPr>
        <w:pStyle w:val="15"/>
        <w:spacing w:line="360" w:lineRule="auto"/>
        <w:ind w:firstLine="420" w:firstLineChars="200"/>
      </w:pPr>
      <w:r>
        <w:rPr>
          <w:rFonts w:hint="eastAsia"/>
        </w:rPr>
        <w:t xml:space="preserve">7.3.1合同签订后，中标方须按照超高压输电公司要求的时间内完成工作。 </w:t>
      </w:r>
    </w:p>
    <w:p>
      <w:pPr>
        <w:pStyle w:val="15"/>
        <w:spacing w:line="360" w:lineRule="auto"/>
        <w:ind w:firstLine="420" w:firstLineChars="200"/>
      </w:pPr>
      <w:r>
        <w:rPr>
          <w:rFonts w:hint="eastAsia"/>
        </w:rPr>
        <w:tab/>
      </w:r>
      <w:r>
        <w:rPr>
          <w:rFonts w:hint="eastAsia"/>
        </w:rPr>
        <w:t>7.3.2中标方须严格按照项目进度要求开展项目工作，招标方将根据项目进度产出物审核中标方工作。</w:t>
      </w:r>
    </w:p>
    <w:p>
      <w:pPr>
        <w:pStyle w:val="15"/>
        <w:spacing w:line="360" w:lineRule="auto"/>
        <w:ind w:firstLine="420" w:firstLineChars="200"/>
        <w:outlineLvl w:val="9"/>
        <w:rPr>
          <w:rFonts w:hAnsi="宋体"/>
          <w:szCs w:val="21"/>
        </w:rPr>
      </w:pPr>
      <w:r>
        <w:rPr>
          <w:rFonts w:hint="eastAsia"/>
        </w:rPr>
        <w:tab/>
      </w:r>
      <w:r>
        <w:rPr>
          <w:rFonts w:hint="eastAsia"/>
        </w:rPr>
        <w:t>7.3.3若由于中标方自身原因导致项目进度滞后，招标方可根据合同要求追究中标方责任</w:t>
      </w:r>
      <w:r>
        <w:rPr>
          <w:rFonts w:hint="eastAsia" w:hAnsi="Courier New"/>
          <w:szCs w:val="20"/>
        </w:rPr>
        <w:t>。</w:t>
      </w:r>
    </w:p>
    <w:p>
      <w:pPr>
        <w:pStyle w:val="15"/>
        <w:spacing w:line="360" w:lineRule="auto"/>
        <w:outlineLvl w:val="1"/>
      </w:pPr>
      <w:bookmarkStart w:id="94" w:name="_Toc21525"/>
      <w:r>
        <w:rPr>
          <w:rFonts w:hint="eastAsia"/>
        </w:rPr>
        <w:t>7</w:t>
      </w:r>
      <w:r>
        <w:t>.</w:t>
      </w:r>
      <w:r>
        <w:rPr>
          <w:rFonts w:hint="eastAsia"/>
        </w:rPr>
        <w:t>4保密要求</w:t>
      </w:r>
      <w:bookmarkEnd w:id="94"/>
    </w:p>
    <w:p>
      <w:pPr>
        <w:pStyle w:val="15"/>
        <w:spacing w:line="360" w:lineRule="auto"/>
        <w:ind w:firstLine="420" w:firstLineChars="200"/>
        <w:rPr>
          <w:rFonts w:hAnsi="宋体"/>
          <w:szCs w:val="21"/>
        </w:rPr>
      </w:pPr>
      <w:r>
        <w:rPr>
          <w:rFonts w:hint="eastAsia" w:hAnsi="宋体"/>
          <w:szCs w:val="21"/>
        </w:rPr>
        <w:t>投标方应与</w:t>
      </w:r>
      <w:r>
        <w:rPr>
          <w:rFonts w:hint="eastAsia" w:hAnsi="宋体"/>
          <w:szCs w:val="21"/>
          <w:lang w:val="en-US" w:eastAsia="zh-CN"/>
        </w:rPr>
        <w:t>招标方</w:t>
      </w:r>
      <w:r>
        <w:rPr>
          <w:rFonts w:hint="eastAsia" w:hAnsi="宋体"/>
          <w:szCs w:val="21"/>
        </w:rPr>
        <w:t>签订保密协议，对检测过程数据和结果数据严格保密，未经授权不得泄露给任何单位和个人，不得利用此数据侵害采购人的权益，否则</w:t>
      </w:r>
      <w:r>
        <w:rPr>
          <w:rFonts w:hint="eastAsia" w:hAnsi="宋体"/>
          <w:szCs w:val="21"/>
          <w:lang w:val="en-US" w:eastAsia="zh-CN"/>
        </w:rPr>
        <w:t>招标方</w:t>
      </w:r>
      <w:r>
        <w:rPr>
          <w:rFonts w:hint="eastAsia" w:hAnsi="宋体"/>
          <w:szCs w:val="21"/>
        </w:rPr>
        <w:t>有权追究投标方的责任。</w:t>
      </w:r>
    </w:p>
    <w:p>
      <w:pPr>
        <w:pStyle w:val="3"/>
        <w:numPr>
          <w:ilvl w:val="0"/>
          <w:numId w:val="0"/>
        </w:numPr>
        <w:spacing w:before="312" w:after="312"/>
        <w:rPr>
          <w:rFonts w:ascii="黑体" w:hAnsi="黑体" w:eastAsia="黑体"/>
          <w:b w:val="0"/>
          <w:sz w:val="21"/>
          <w:szCs w:val="21"/>
        </w:rPr>
      </w:pPr>
      <w:bookmarkStart w:id="95" w:name="_Toc8183"/>
      <w:r>
        <w:rPr>
          <w:rFonts w:hint="eastAsia" w:ascii="黑体" w:hAnsi="黑体" w:eastAsia="黑体"/>
          <w:b w:val="0"/>
          <w:sz w:val="21"/>
          <w:szCs w:val="21"/>
          <w:lang w:val="en-US" w:eastAsia="zh-CN"/>
        </w:rPr>
        <w:t>8.</w:t>
      </w:r>
      <w:r>
        <w:rPr>
          <w:rFonts w:hint="eastAsia" w:ascii="黑体" w:hAnsi="黑体" w:eastAsia="黑体"/>
          <w:b w:val="0"/>
          <w:sz w:val="21"/>
          <w:szCs w:val="21"/>
        </w:rPr>
        <w:t>项目服务范围</w:t>
      </w:r>
      <w:r>
        <w:rPr>
          <w:rFonts w:hint="eastAsia" w:ascii="黑体" w:hAnsi="黑体" w:eastAsia="黑体"/>
          <w:b w:val="0"/>
          <w:sz w:val="21"/>
          <w:szCs w:val="21"/>
          <w:lang w:val="en-US" w:eastAsia="zh-CN"/>
        </w:rPr>
        <w:t>与</w:t>
      </w:r>
      <w:r>
        <w:rPr>
          <w:rFonts w:hint="eastAsia" w:ascii="黑体" w:hAnsi="黑体" w:eastAsia="黑体"/>
          <w:b w:val="0"/>
          <w:sz w:val="21"/>
          <w:szCs w:val="21"/>
        </w:rPr>
        <w:t>需求一览表</w:t>
      </w:r>
      <w:bookmarkEnd w:id="95"/>
      <w:r>
        <w:rPr>
          <w:rFonts w:ascii="黑体" w:hAnsi="黑体" w:eastAsia="黑体"/>
          <w:b w:val="0"/>
          <w:sz w:val="21"/>
          <w:szCs w:val="21"/>
        </w:rPr>
        <w:t xml:space="preserve"> </w:t>
      </w:r>
    </w:p>
    <w:p>
      <w:pPr>
        <w:pStyle w:val="15"/>
        <w:spacing w:line="360" w:lineRule="auto"/>
        <w:outlineLvl w:val="1"/>
        <w:rPr>
          <w:rFonts w:ascii="Times New Roman" w:hAnsi="Times New Roman"/>
          <w:szCs w:val="21"/>
        </w:rPr>
      </w:pPr>
      <w:bookmarkStart w:id="96" w:name="_Toc24946"/>
      <w:r>
        <w:rPr>
          <w:rFonts w:hint="eastAsia" w:ascii="Times New Roman" w:hAnsi="Times New Roman"/>
          <w:szCs w:val="21"/>
        </w:rPr>
        <w:t>8.1项目服务范围</w:t>
      </w:r>
      <w:bookmarkEnd w:id="96"/>
    </w:p>
    <w:p>
      <w:pPr>
        <w:pStyle w:val="15"/>
        <w:spacing w:line="360" w:lineRule="auto"/>
        <w:ind w:firstLine="420" w:firstLineChars="200"/>
        <w:rPr>
          <w:rFonts w:ascii="Times New Roman" w:hAnsi="Times New Roman"/>
          <w:szCs w:val="21"/>
        </w:rPr>
      </w:pPr>
      <w:r>
        <w:rPr>
          <w:rFonts w:hint="eastAsia" w:ascii="Times New Roman" w:hAnsi="Times New Roman"/>
          <w:szCs w:val="21"/>
        </w:rPr>
        <w:t>详见超高压输电公司电力监控系统网络安全运维服务技术规范书（专用部分），主要针对超高压输电公司所辖范围内电力监控系统。系统类型包括不仅限于：</w:t>
      </w:r>
    </w:p>
    <w:p>
      <w:pPr>
        <w:pStyle w:val="15"/>
        <w:spacing w:line="360" w:lineRule="auto"/>
        <w:ind w:firstLine="420" w:firstLineChars="200"/>
        <w:rPr>
          <w:rFonts w:ascii="Times New Roman" w:hAnsi="Times New Roman"/>
          <w:szCs w:val="21"/>
        </w:rPr>
      </w:pPr>
      <w:r>
        <w:rPr>
          <w:rFonts w:hint="eastAsia" w:ascii="Times New Roman" w:hAnsi="Times New Roman"/>
          <w:szCs w:val="21"/>
        </w:rPr>
        <w:t>8.1.1</w:t>
      </w:r>
      <w:r>
        <w:rPr>
          <w:rFonts w:hint="eastAsia" w:ascii="Times New Roman" w:hAnsi="Times New Roman"/>
          <w:szCs w:val="21"/>
        </w:rPr>
        <w:tab/>
      </w:r>
      <w:r>
        <w:rPr>
          <w:rFonts w:hint="eastAsia" w:ascii="Times New Roman" w:hAnsi="Times New Roman"/>
          <w:szCs w:val="21"/>
        </w:rPr>
        <w:t>换流站系统类型：</w:t>
      </w:r>
    </w:p>
    <w:p>
      <w:pPr>
        <w:pStyle w:val="15"/>
        <w:spacing w:line="360" w:lineRule="auto"/>
        <w:ind w:firstLine="420" w:firstLineChars="200"/>
        <w:rPr>
          <w:rFonts w:ascii="Times New Roman" w:hAnsi="Times New Roman"/>
          <w:szCs w:val="21"/>
        </w:rPr>
      </w:pPr>
      <w:r>
        <w:rPr>
          <w:rFonts w:hint="eastAsia" w:ascii="Times New Roman" w:hAnsi="Times New Roman"/>
          <w:szCs w:val="21"/>
        </w:rPr>
        <w:t>①</w:t>
      </w:r>
      <w:r>
        <w:rPr>
          <w:rFonts w:hint="eastAsia" w:ascii="Times New Roman" w:hAnsi="Times New Roman"/>
          <w:szCs w:val="21"/>
        </w:rPr>
        <w:tab/>
      </w:r>
      <w:r>
        <w:rPr>
          <w:rFonts w:hint="eastAsia" w:ascii="Times New Roman" w:hAnsi="Times New Roman"/>
          <w:szCs w:val="21"/>
        </w:rPr>
        <w:t>换流站后台监控系统服务器及操作员站及其网络设备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②</w:t>
      </w:r>
      <w:r>
        <w:rPr>
          <w:rFonts w:hint="eastAsia" w:ascii="Times New Roman" w:hAnsi="Times New Roman"/>
          <w:szCs w:val="21"/>
        </w:rPr>
        <w:tab/>
      </w:r>
      <w:r>
        <w:rPr>
          <w:rFonts w:hint="eastAsia" w:ascii="Times New Roman" w:hAnsi="Times New Roman"/>
          <w:szCs w:val="21"/>
        </w:rPr>
        <w:t>保护信息系统、故障录波系统、行波测距系统后台机及其网络设备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③</w:t>
      </w:r>
      <w:r>
        <w:rPr>
          <w:rFonts w:hint="eastAsia" w:ascii="Times New Roman" w:hAnsi="Times New Roman"/>
          <w:szCs w:val="21"/>
        </w:rPr>
        <w:tab/>
      </w:r>
      <w:r>
        <w:rPr>
          <w:rFonts w:hint="eastAsia" w:ascii="Times New Roman" w:hAnsi="Times New Roman"/>
          <w:szCs w:val="21"/>
        </w:rPr>
        <w:t>图像监控系统（含电子围栏系统）工作站及其网络设备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④</w:t>
      </w:r>
      <w:r>
        <w:rPr>
          <w:rFonts w:hint="eastAsia" w:ascii="Times New Roman" w:hAnsi="Times New Roman"/>
          <w:szCs w:val="21"/>
        </w:rPr>
        <w:tab/>
      </w:r>
      <w:r>
        <w:rPr>
          <w:rFonts w:hint="eastAsia" w:ascii="Times New Roman" w:hAnsi="Times New Roman"/>
          <w:szCs w:val="21"/>
        </w:rPr>
        <w:t>电能量计量系统工作站及其网络设备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⑤</w:t>
      </w:r>
      <w:r>
        <w:rPr>
          <w:rFonts w:hint="eastAsia" w:ascii="Times New Roman" w:hAnsi="Times New Roman"/>
          <w:szCs w:val="21"/>
        </w:rPr>
        <w:tab/>
      </w:r>
      <w:r>
        <w:rPr>
          <w:rFonts w:hint="eastAsia" w:ascii="Times New Roman" w:hAnsi="Times New Roman"/>
          <w:szCs w:val="21"/>
        </w:rPr>
        <w:t>直流融冰系统工作站及其网络设备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⑥</w:t>
      </w:r>
      <w:r>
        <w:rPr>
          <w:rFonts w:hint="eastAsia" w:ascii="Times New Roman" w:hAnsi="Times New Roman"/>
          <w:szCs w:val="21"/>
        </w:rPr>
        <w:tab/>
      </w:r>
      <w:r>
        <w:rPr>
          <w:rFonts w:hint="eastAsia" w:ascii="Times New Roman" w:hAnsi="Times New Roman"/>
          <w:szCs w:val="21"/>
        </w:rPr>
        <w:t>消防系统工作站及其网络设备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⑦</w:t>
      </w:r>
      <w:r>
        <w:rPr>
          <w:rFonts w:hint="eastAsia" w:ascii="Times New Roman" w:hAnsi="Times New Roman"/>
          <w:szCs w:val="21"/>
        </w:rPr>
        <w:tab/>
      </w:r>
      <w:r>
        <w:rPr>
          <w:rFonts w:hint="eastAsia" w:ascii="Times New Roman" w:hAnsi="Times New Roman"/>
          <w:szCs w:val="21"/>
        </w:rPr>
        <w:t>一次设备在线监测系统后台机及其网络设备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⑧</w:t>
      </w:r>
      <w:r>
        <w:rPr>
          <w:rFonts w:hint="eastAsia" w:ascii="Times New Roman" w:hAnsi="Times New Roman"/>
          <w:szCs w:val="21"/>
        </w:rPr>
        <w:tab/>
      </w:r>
      <w:r>
        <w:rPr>
          <w:rFonts w:hint="eastAsia" w:ascii="Times New Roman" w:hAnsi="Times New Roman"/>
          <w:szCs w:val="21"/>
        </w:rPr>
        <w:t>换流站空调系统工作站及其网络设备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⑨</w:t>
      </w:r>
      <w:r>
        <w:rPr>
          <w:rFonts w:hint="eastAsia" w:ascii="Times New Roman" w:hAnsi="Times New Roman"/>
          <w:szCs w:val="21"/>
        </w:rPr>
        <w:tab/>
      </w:r>
      <w:r>
        <w:rPr>
          <w:rFonts w:hint="eastAsia" w:ascii="Times New Roman" w:hAnsi="Times New Roman"/>
          <w:szCs w:val="21"/>
        </w:rPr>
        <w:t>调度指挥网络交互系统受令端服务器及其网络设备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⑩</w:t>
      </w:r>
      <w:r>
        <w:rPr>
          <w:rFonts w:hint="eastAsia" w:ascii="Times New Roman" w:hAnsi="Times New Roman"/>
          <w:szCs w:val="21"/>
        </w:rPr>
        <w:tab/>
      </w:r>
      <w:r>
        <w:rPr>
          <w:rFonts w:hint="eastAsia" w:ascii="Times New Roman" w:hAnsi="Times New Roman"/>
          <w:szCs w:val="21"/>
        </w:rPr>
        <w:t>换流站水系统工作站及其网络设备</w:t>
      </w:r>
    </w:p>
    <w:p>
      <w:pPr>
        <w:pStyle w:val="15"/>
        <w:spacing w:line="360" w:lineRule="auto"/>
        <w:ind w:firstLine="420" w:firstLineChars="200"/>
        <w:rPr>
          <w:rFonts w:ascii="Times New Roman" w:hAnsi="Times New Roman"/>
          <w:szCs w:val="21"/>
        </w:rPr>
      </w:pPr>
      <w:r>
        <w:rPr>
          <w:rFonts w:ascii="Cambria Math" w:hAnsi="Cambria Math" w:cs="Cambria Math"/>
          <w:szCs w:val="21"/>
        </w:rPr>
        <w:t>⑪</w:t>
      </w:r>
      <w:r>
        <w:rPr>
          <w:rFonts w:ascii="Times New Roman" w:hAnsi="Times New Roman"/>
          <w:szCs w:val="21"/>
        </w:rPr>
        <w:tab/>
      </w:r>
      <w:r>
        <w:rPr>
          <w:rFonts w:hint="eastAsia" w:ascii="Times New Roman" w:hAnsi="Times New Roman"/>
          <w:szCs w:val="21"/>
        </w:rPr>
        <w:t>智能化系统服务器及其网络设备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8.1.2变电站系统类型：</w:t>
      </w:r>
    </w:p>
    <w:p>
      <w:pPr>
        <w:pStyle w:val="15"/>
        <w:spacing w:line="360" w:lineRule="auto"/>
        <w:ind w:firstLine="420" w:firstLineChars="200"/>
        <w:rPr>
          <w:rFonts w:ascii="Times New Roman" w:hAnsi="Times New Roman"/>
          <w:szCs w:val="21"/>
        </w:rPr>
      </w:pPr>
      <w:r>
        <w:rPr>
          <w:rFonts w:hint="eastAsia" w:ascii="Times New Roman" w:hAnsi="Times New Roman"/>
          <w:szCs w:val="21"/>
        </w:rPr>
        <w:t>①</w:t>
      </w:r>
      <w:r>
        <w:rPr>
          <w:rFonts w:hint="eastAsia" w:ascii="Times New Roman" w:hAnsi="Times New Roman"/>
          <w:szCs w:val="21"/>
        </w:rPr>
        <w:tab/>
      </w:r>
      <w:r>
        <w:rPr>
          <w:rFonts w:hint="eastAsia" w:ascii="Times New Roman" w:hAnsi="Times New Roman"/>
          <w:szCs w:val="21"/>
        </w:rPr>
        <w:t>变电站后台监控系统服务器及操作员站及其网络设备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②</w:t>
      </w:r>
      <w:r>
        <w:rPr>
          <w:rFonts w:hint="eastAsia" w:ascii="Times New Roman" w:hAnsi="Times New Roman"/>
          <w:szCs w:val="21"/>
        </w:rPr>
        <w:tab/>
      </w:r>
      <w:r>
        <w:rPr>
          <w:rFonts w:hint="eastAsia" w:ascii="Times New Roman" w:hAnsi="Times New Roman"/>
          <w:szCs w:val="21"/>
        </w:rPr>
        <w:t>保护信息系统、故障录波系统、行波测距系统后台机及其网络设备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③</w:t>
      </w:r>
      <w:r>
        <w:rPr>
          <w:rFonts w:hint="eastAsia" w:ascii="Times New Roman" w:hAnsi="Times New Roman"/>
          <w:szCs w:val="21"/>
        </w:rPr>
        <w:tab/>
      </w:r>
      <w:r>
        <w:rPr>
          <w:rFonts w:hint="eastAsia" w:ascii="Times New Roman" w:hAnsi="Times New Roman"/>
          <w:szCs w:val="21"/>
        </w:rPr>
        <w:t>图像监控系统（含电子围栏系统）工作站及其网络设备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④</w:t>
      </w:r>
      <w:r>
        <w:rPr>
          <w:rFonts w:hint="eastAsia" w:ascii="Times New Roman" w:hAnsi="Times New Roman"/>
          <w:szCs w:val="21"/>
        </w:rPr>
        <w:tab/>
      </w:r>
      <w:r>
        <w:rPr>
          <w:rFonts w:hint="eastAsia" w:ascii="Times New Roman" w:hAnsi="Times New Roman"/>
          <w:szCs w:val="21"/>
        </w:rPr>
        <w:t>电能量计量系统工作站及其网络设备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⑤</w:t>
      </w:r>
      <w:r>
        <w:rPr>
          <w:rFonts w:hint="eastAsia" w:ascii="Times New Roman" w:hAnsi="Times New Roman"/>
          <w:szCs w:val="21"/>
        </w:rPr>
        <w:tab/>
      </w:r>
      <w:r>
        <w:rPr>
          <w:rFonts w:hint="eastAsia" w:ascii="Times New Roman" w:hAnsi="Times New Roman"/>
          <w:szCs w:val="21"/>
        </w:rPr>
        <w:t>直流融冰系统工作站及其网络设备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⑥</w:t>
      </w:r>
      <w:r>
        <w:rPr>
          <w:rFonts w:hint="eastAsia" w:ascii="Times New Roman" w:hAnsi="Times New Roman"/>
          <w:szCs w:val="21"/>
        </w:rPr>
        <w:tab/>
      </w:r>
      <w:r>
        <w:rPr>
          <w:rFonts w:hint="eastAsia" w:ascii="Times New Roman" w:hAnsi="Times New Roman"/>
          <w:szCs w:val="21"/>
        </w:rPr>
        <w:t>消防系统工作站及其网络设备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⑦</w:t>
      </w:r>
      <w:r>
        <w:rPr>
          <w:rFonts w:hint="eastAsia" w:ascii="Times New Roman" w:hAnsi="Times New Roman"/>
          <w:szCs w:val="21"/>
        </w:rPr>
        <w:tab/>
      </w:r>
      <w:r>
        <w:rPr>
          <w:rFonts w:hint="eastAsia" w:ascii="Times New Roman" w:hAnsi="Times New Roman"/>
          <w:szCs w:val="21"/>
        </w:rPr>
        <w:t>一次设备在线监测系统后台机及其网络设备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⑧</w:t>
      </w:r>
      <w:r>
        <w:rPr>
          <w:rFonts w:hint="eastAsia" w:ascii="Times New Roman" w:hAnsi="Times New Roman"/>
          <w:szCs w:val="21"/>
        </w:rPr>
        <w:tab/>
      </w:r>
      <w:r>
        <w:rPr>
          <w:rFonts w:hint="eastAsia" w:ascii="Times New Roman" w:hAnsi="Times New Roman"/>
          <w:szCs w:val="21"/>
        </w:rPr>
        <w:t>变电站五防系统工作站及其网络设备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⑨</w:t>
      </w:r>
      <w:r>
        <w:rPr>
          <w:rFonts w:hint="eastAsia" w:ascii="Times New Roman" w:hAnsi="Times New Roman"/>
          <w:szCs w:val="21"/>
        </w:rPr>
        <w:tab/>
      </w:r>
      <w:r>
        <w:rPr>
          <w:rFonts w:hint="eastAsia" w:ascii="Times New Roman" w:hAnsi="Times New Roman"/>
          <w:szCs w:val="21"/>
        </w:rPr>
        <w:t>调度指挥网络交互系统受令端服务器及其网络设备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⑩</w:t>
      </w:r>
      <w:r>
        <w:rPr>
          <w:rFonts w:hint="eastAsia" w:ascii="Times New Roman" w:hAnsi="Times New Roman"/>
          <w:szCs w:val="21"/>
        </w:rPr>
        <w:tab/>
      </w:r>
      <w:r>
        <w:rPr>
          <w:rFonts w:hint="eastAsia" w:ascii="Times New Roman" w:hAnsi="Times New Roman"/>
          <w:szCs w:val="21"/>
        </w:rPr>
        <w:t>智能化系统服务器及其网络设备</w:t>
      </w:r>
    </w:p>
    <w:p>
      <w:pPr>
        <w:pStyle w:val="15"/>
        <w:spacing w:line="360" w:lineRule="auto"/>
        <w:ind w:firstLine="420" w:firstLineChars="200"/>
        <w:rPr>
          <w:rFonts w:ascii="Times New Roman" w:hAnsi="Times New Roman"/>
          <w:szCs w:val="21"/>
        </w:rPr>
      </w:pPr>
      <w:r>
        <w:rPr>
          <w:rFonts w:hint="eastAsia" w:ascii="Times New Roman" w:hAnsi="Times New Roman"/>
          <w:szCs w:val="21"/>
        </w:rPr>
        <w:t>8.1.3主站系统类型：</w:t>
      </w:r>
    </w:p>
    <w:p>
      <w:pPr>
        <w:pStyle w:val="15"/>
        <w:spacing w:line="360" w:lineRule="auto"/>
        <w:ind w:firstLine="420" w:firstLineChars="200"/>
        <w:rPr>
          <w:rFonts w:ascii="Times New Roman" w:hAnsi="Times New Roman"/>
          <w:szCs w:val="21"/>
        </w:rPr>
      </w:pPr>
      <w:r>
        <w:rPr>
          <w:rFonts w:hint="eastAsia" w:ascii="Times New Roman" w:hAnsi="Times New Roman"/>
          <w:szCs w:val="21"/>
        </w:rPr>
        <w:t>①</w:t>
      </w:r>
      <w:r>
        <w:rPr>
          <w:rFonts w:hint="eastAsia" w:ascii="Times New Roman" w:hAnsi="Times New Roman"/>
          <w:szCs w:val="21"/>
        </w:rPr>
        <w:tab/>
      </w:r>
      <w:r>
        <w:rPr>
          <w:rFonts w:hint="eastAsia" w:ascii="Times New Roman" w:hAnsi="Times New Roman"/>
          <w:szCs w:val="21"/>
        </w:rPr>
        <w:t>电力监控PCS9000主站系统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②</w:t>
      </w:r>
      <w:r>
        <w:rPr>
          <w:rFonts w:hint="eastAsia" w:ascii="Times New Roman" w:hAnsi="Times New Roman"/>
          <w:szCs w:val="21"/>
        </w:rPr>
        <w:tab/>
      </w:r>
      <w:r>
        <w:rPr>
          <w:rFonts w:hint="eastAsia" w:ascii="Times New Roman" w:hAnsi="Times New Roman"/>
          <w:szCs w:val="21"/>
        </w:rPr>
        <w:t>调度发令系统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③</w:t>
      </w:r>
      <w:r>
        <w:rPr>
          <w:rFonts w:hint="eastAsia" w:ascii="Times New Roman" w:hAnsi="Times New Roman"/>
          <w:szCs w:val="21"/>
        </w:rPr>
        <w:tab/>
      </w:r>
      <w:r>
        <w:rPr>
          <w:rFonts w:hint="eastAsia" w:ascii="Times New Roman" w:hAnsi="Times New Roman"/>
          <w:szCs w:val="21"/>
        </w:rPr>
        <w:t>OMS系统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④</w:t>
      </w:r>
      <w:r>
        <w:rPr>
          <w:rFonts w:hint="eastAsia" w:ascii="Times New Roman" w:hAnsi="Times New Roman"/>
          <w:szCs w:val="21"/>
        </w:rPr>
        <w:tab/>
      </w:r>
      <w:r>
        <w:rPr>
          <w:rFonts w:hint="eastAsia" w:ascii="Times New Roman" w:hAnsi="Times New Roman"/>
          <w:szCs w:val="21"/>
        </w:rPr>
        <w:t>主站备份系统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⑤</w:t>
      </w:r>
      <w:r>
        <w:rPr>
          <w:rFonts w:hint="eastAsia" w:ascii="Times New Roman" w:hAnsi="Times New Roman"/>
          <w:szCs w:val="21"/>
        </w:rPr>
        <w:tab/>
      </w:r>
      <w:r>
        <w:rPr>
          <w:rFonts w:hint="eastAsia" w:ascii="Times New Roman" w:hAnsi="Times New Roman"/>
          <w:szCs w:val="21"/>
        </w:rPr>
        <w:t>资源管控系统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⑥</w:t>
      </w:r>
      <w:r>
        <w:rPr>
          <w:rFonts w:hint="eastAsia" w:ascii="Times New Roman" w:hAnsi="Times New Roman"/>
          <w:szCs w:val="21"/>
        </w:rPr>
        <w:tab/>
      </w:r>
      <w:r>
        <w:rPr>
          <w:rFonts w:hint="eastAsia" w:ascii="Times New Roman" w:hAnsi="Times New Roman"/>
          <w:szCs w:val="21"/>
        </w:rPr>
        <w:t>一键顺控系统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⑦</w:t>
      </w:r>
      <w:r>
        <w:rPr>
          <w:rFonts w:hint="eastAsia" w:ascii="Times New Roman" w:hAnsi="Times New Roman"/>
          <w:szCs w:val="21"/>
        </w:rPr>
        <w:tab/>
      </w:r>
      <w:r>
        <w:rPr>
          <w:rFonts w:hint="eastAsia" w:ascii="Times New Roman" w:hAnsi="Times New Roman"/>
          <w:szCs w:val="21"/>
        </w:rPr>
        <w:t>三维可视化系统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⑧</w:t>
      </w:r>
      <w:r>
        <w:rPr>
          <w:rFonts w:hint="eastAsia" w:ascii="Times New Roman" w:hAnsi="Times New Roman"/>
          <w:szCs w:val="21"/>
        </w:rPr>
        <w:tab/>
      </w:r>
      <w:r>
        <w:rPr>
          <w:rFonts w:hint="eastAsia" w:ascii="Times New Roman" w:hAnsi="Times New Roman"/>
          <w:szCs w:val="21"/>
        </w:rPr>
        <w:t>智能告警系统</w:t>
      </w:r>
    </w:p>
    <w:p>
      <w:pPr>
        <w:pStyle w:val="15"/>
        <w:spacing w:line="360" w:lineRule="auto"/>
        <w:ind w:firstLine="420" w:firstLineChars="200"/>
        <w:rPr>
          <w:rFonts w:ascii="Times New Roman" w:hAnsi="Times New Roman"/>
          <w:szCs w:val="21"/>
        </w:rPr>
      </w:pPr>
      <w:r>
        <w:rPr>
          <w:rFonts w:hint="eastAsia" w:ascii="Times New Roman" w:hAnsi="Times New Roman"/>
          <w:szCs w:val="21"/>
        </w:rPr>
        <w:t>⑨</w:t>
      </w:r>
      <w:r>
        <w:rPr>
          <w:rFonts w:hint="eastAsia" w:ascii="Times New Roman" w:hAnsi="Times New Roman"/>
          <w:szCs w:val="21"/>
        </w:rPr>
        <w:tab/>
      </w:r>
      <w:r>
        <w:rPr>
          <w:rFonts w:hint="eastAsia" w:ascii="Times New Roman" w:hAnsi="Times New Roman"/>
          <w:szCs w:val="21"/>
        </w:rPr>
        <w:t>报文智能分析系统</w:t>
      </w:r>
    </w:p>
    <w:p>
      <w:pPr>
        <w:pStyle w:val="15"/>
        <w:spacing w:line="360" w:lineRule="auto"/>
        <w:ind w:firstLine="420" w:firstLineChars="200"/>
        <w:rPr>
          <w:rFonts w:hint="eastAsia" w:ascii="Times New Roman" w:hAnsi="Times New Roman"/>
          <w:szCs w:val="21"/>
        </w:rPr>
      </w:pPr>
      <w:r>
        <w:rPr>
          <w:rFonts w:hint="eastAsia" w:ascii="Times New Roman" w:hAnsi="Times New Roman"/>
          <w:szCs w:val="21"/>
        </w:rPr>
        <w:t>⑩</w:t>
      </w:r>
      <w:r>
        <w:rPr>
          <w:rFonts w:hint="eastAsia" w:ascii="Times New Roman" w:hAnsi="Times New Roman"/>
          <w:szCs w:val="21"/>
        </w:rPr>
        <w:tab/>
      </w:r>
      <w:r>
        <w:rPr>
          <w:rFonts w:hint="eastAsia" w:ascii="Times New Roman" w:hAnsi="Times New Roman"/>
          <w:szCs w:val="21"/>
        </w:rPr>
        <w:t>视频主站、录波主站系统</w:t>
      </w:r>
    </w:p>
    <w:p>
      <w:pPr>
        <w:pStyle w:val="15"/>
        <w:spacing w:line="360" w:lineRule="auto"/>
        <w:ind w:firstLine="420" w:firstLineChars="200"/>
        <w:rPr>
          <w:rFonts w:hint="eastAsia" w:ascii="Times New Roman" w:hAnsi="Times New Roman"/>
          <w:szCs w:val="21"/>
        </w:rPr>
      </w:pPr>
      <w:r>
        <w:rPr>
          <w:rFonts w:hint="eastAsia" w:ascii="Times New Roman" w:hAnsi="Times New Roman"/>
          <w:szCs w:val="21"/>
        </w:rPr>
        <w:t>⑪态势感知、IPS、IDS、防火墙及堡垒机、交换机、路由器等二次安防设备</w:t>
      </w:r>
    </w:p>
    <w:p>
      <w:pPr>
        <w:pStyle w:val="15"/>
        <w:spacing w:line="360" w:lineRule="auto"/>
        <w:outlineLvl w:val="1"/>
        <w:rPr>
          <w:rFonts w:ascii="Times New Roman" w:hAnsi="Times New Roman"/>
          <w:szCs w:val="21"/>
        </w:rPr>
      </w:pPr>
      <w:bookmarkStart w:id="97" w:name="_Toc31757"/>
      <w:r>
        <w:rPr>
          <w:rFonts w:hint="eastAsia" w:ascii="Times New Roman" w:hAnsi="Times New Roman"/>
          <w:szCs w:val="21"/>
        </w:rPr>
        <w:t>8.2服务需求一览表</w:t>
      </w:r>
      <w:bookmarkEnd w:id="97"/>
    </w:p>
    <w:tbl>
      <w:tblPr>
        <w:tblStyle w:val="26"/>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0"/>
        <w:gridCol w:w="2731"/>
        <w:gridCol w:w="1041"/>
        <w:gridCol w:w="1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D7D7D7"/>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本需求所含服务内容</w:t>
            </w:r>
          </w:p>
        </w:tc>
        <w:tc>
          <w:tcPr>
            <w:tcW w:w="1041" w:type="dxa"/>
            <w:tcBorders>
              <w:top w:val="single" w:color="auto" w:sz="4" w:space="0"/>
              <w:left w:val="single" w:color="auto" w:sz="4" w:space="0"/>
              <w:bottom w:val="single" w:color="auto" w:sz="4" w:space="0"/>
              <w:right w:val="single" w:color="auto" w:sz="4" w:space="0"/>
            </w:tcBorders>
            <w:shd w:val="clear" w:color="auto" w:fill="D7D7D7"/>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单位</w:t>
            </w:r>
          </w:p>
        </w:tc>
        <w:tc>
          <w:tcPr>
            <w:tcW w:w="1886" w:type="dxa"/>
            <w:tcBorders>
              <w:top w:val="single" w:color="auto" w:sz="4" w:space="0"/>
              <w:left w:val="single" w:color="auto" w:sz="4" w:space="0"/>
              <w:bottom w:val="single" w:color="auto" w:sz="4" w:space="0"/>
              <w:right w:val="single" w:color="auto" w:sz="4" w:space="0"/>
            </w:tcBorders>
            <w:shd w:val="clear" w:color="auto" w:fill="D7D7D7"/>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服务频率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网络安全风险评估</w:t>
            </w:r>
          </w:p>
        </w:tc>
        <w:tc>
          <w:tcPr>
            <w:tcW w:w="104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网络安全培训及宣传服务</w:t>
            </w:r>
          </w:p>
        </w:tc>
        <w:tc>
          <w:tcPr>
            <w:tcW w:w="104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基础台账维护</w:t>
            </w:r>
          </w:p>
        </w:tc>
        <w:tc>
          <w:tcPr>
            <w:tcW w:w="104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按需进行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态势感知实用化指标提升</w:t>
            </w:r>
          </w:p>
        </w:tc>
        <w:tc>
          <w:tcPr>
            <w:tcW w:w="104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trPr>
        <w:tc>
          <w:tcPr>
            <w:tcW w:w="546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ascii="宋体" w:hAnsi="宋体" w:cs="宋体"/>
                <w:szCs w:val="21"/>
              </w:rPr>
              <w:t>等保、安评及密码测评发现问题整改</w:t>
            </w:r>
          </w:p>
        </w:tc>
        <w:tc>
          <w:tcPr>
            <w:tcW w:w="104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730" w:type="dxa"/>
            <w:vMerge w:val="restart"/>
            <w:tcBorders>
              <w:top w:val="single" w:color="auto" w:sz="4" w:space="0"/>
              <w:left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网络安全定期检查</w:t>
            </w:r>
          </w:p>
        </w:tc>
        <w:tc>
          <w:tcPr>
            <w:tcW w:w="273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安全漏洞扫描</w:t>
            </w:r>
          </w:p>
        </w:tc>
        <w:tc>
          <w:tcPr>
            <w:tcW w:w="1041" w:type="dxa"/>
            <w:vMerge w:val="restart"/>
            <w:tcBorders>
              <w:top w:val="single" w:color="auto" w:sz="4" w:space="0"/>
              <w:left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vMerge w:val="restart"/>
            <w:tcBorders>
              <w:top w:val="single" w:color="auto" w:sz="4" w:space="0"/>
              <w:left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730"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273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安全配置核查</w:t>
            </w:r>
          </w:p>
        </w:tc>
        <w:tc>
          <w:tcPr>
            <w:tcW w:w="1041"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1886"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730"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273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安全加固整改</w:t>
            </w:r>
          </w:p>
        </w:tc>
        <w:tc>
          <w:tcPr>
            <w:tcW w:w="1041"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1886"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730"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273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渗透测试</w:t>
            </w:r>
          </w:p>
        </w:tc>
        <w:tc>
          <w:tcPr>
            <w:tcW w:w="1041"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1886"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2730"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273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系统杀毒</w:t>
            </w:r>
          </w:p>
        </w:tc>
        <w:tc>
          <w:tcPr>
            <w:tcW w:w="1041"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c>
          <w:tcPr>
            <w:tcW w:w="1886" w:type="dxa"/>
            <w:vMerge w:val="continue"/>
            <w:tcBorders>
              <w:left w:val="single" w:color="auto" w:sz="4" w:space="0"/>
              <w:right w:val="single" w:color="auto" w:sz="4" w:space="0"/>
            </w:tcBorders>
            <w:vAlign w:val="center"/>
          </w:tcPr>
          <w:p>
            <w:pPr>
              <w:jc w:val="center"/>
              <w:rPr>
                <w:rFonts w:cs="仿宋_GB2312"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61" w:type="dxa"/>
            <w:gridSpan w:val="2"/>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安全策略定制、审查、优化</w:t>
            </w:r>
          </w:p>
        </w:tc>
        <w:tc>
          <w:tcPr>
            <w:tcW w:w="1041" w:type="dxa"/>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按需进行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61" w:type="dxa"/>
            <w:gridSpan w:val="2"/>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日常安防设备运维</w:t>
            </w:r>
          </w:p>
        </w:tc>
        <w:tc>
          <w:tcPr>
            <w:tcW w:w="1041" w:type="dxa"/>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按需进行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61" w:type="dxa"/>
            <w:gridSpan w:val="2"/>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特殊时期安全值守</w:t>
            </w:r>
          </w:p>
        </w:tc>
        <w:tc>
          <w:tcPr>
            <w:tcW w:w="104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按需进行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61" w:type="dxa"/>
            <w:gridSpan w:val="2"/>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网络安全应急响应、重大紧急缺陷处理</w:t>
            </w:r>
          </w:p>
          <w:p>
            <w:pPr>
              <w:jc w:val="center"/>
              <w:rPr>
                <w:rFonts w:cs="仿宋_GB2312" w:asciiTheme="minorEastAsia" w:hAnsiTheme="minorEastAsia" w:eastAsiaTheme="minorEastAsia"/>
                <w:szCs w:val="21"/>
              </w:rPr>
            </w:pPr>
          </w:p>
        </w:tc>
        <w:tc>
          <w:tcPr>
            <w:tcW w:w="104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根据事件情况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461" w:type="dxa"/>
            <w:gridSpan w:val="2"/>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新建及其他改造系统入网安全加固</w:t>
            </w:r>
          </w:p>
        </w:tc>
        <w:tc>
          <w:tcPr>
            <w:tcW w:w="1041"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次</w:t>
            </w:r>
          </w:p>
        </w:tc>
        <w:tc>
          <w:tcPr>
            <w:tcW w:w="1886" w:type="dxa"/>
            <w:tcBorders>
              <w:top w:val="single" w:color="auto" w:sz="4" w:space="0"/>
              <w:left w:val="single" w:color="auto" w:sz="4" w:space="0"/>
              <w:bottom w:val="single" w:color="auto" w:sz="4" w:space="0"/>
              <w:right w:val="single" w:color="auto" w:sz="4" w:space="0"/>
            </w:tcBorders>
            <w:vAlign w:val="center"/>
          </w:tcPr>
          <w:p>
            <w:pPr>
              <w:jc w:val="center"/>
              <w:rPr>
                <w:rFonts w:cs="仿宋_GB2312" w:asciiTheme="minorEastAsia" w:hAnsiTheme="minorEastAsia" w:eastAsiaTheme="minorEastAsia"/>
                <w:szCs w:val="21"/>
              </w:rPr>
            </w:pPr>
            <w:r>
              <w:rPr>
                <w:rFonts w:hint="eastAsia" w:cs="仿宋_GB2312" w:asciiTheme="minorEastAsia" w:hAnsiTheme="minorEastAsia" w:eastAsiaTheme="minorEastAsia"/>
                <w:szCs w:val="21"/>
              </w:rPr>
              <w:t>按需进行</w:t>
            </w:r>
          </w:p>
        </w:tc>
      </w:tr>
    </w:tbl>
    <w:p>
      <w:pPr>
        <w:pStyle w:val="3"/>
        <w:numPr>
          <w:ilvl w:val="0"/>
          <w:numId w:val="0"/>
        </w:numPr>
        <w:spacing w:before="312" w:after="312"/>
        <w:rPr>
          <w:rFonts w:ascii="黑体" w:hAnsi="黑体" w:eastAsia="黑体"/>
          <w:b w:val="0"/>
          <w:sz w:val="21"/>
          <w:szCs w:val="21"/>
        </w:rPr>
      </w:pPr>
      <w:bookmarkStart w:id="98" w:name="_Toc25541"/>
      <w:r>
        <w:rPr>
          <w:rFonts w:hint="eastAsia" w:ascii="黑体" w:hAnsi="黑体" w:eastAsia="黑体"/>
          <w:b w:val="0"/>
          <w:sz w:val="21"/>
          <w:szCs w:val="21"/>
        </w:rPr>
        <w:t>9</w:t>
      </w:r>
      <w:r>
        <w:rPr>
          <w:rFonts w:hint="eastAsia" w:ascii="黑体" w:hAnsi="黑体" w:eastAsia="黑体"/>
          <w:b w:val="0"/>
          <w:sz w:val="21"/>
          <w:szCs w:val="21"/>
          <w:lang w:val="en-US" w:eastAsia="zh-CN"/>
        </w:rPr>
        <w:t>.</w:t>
      </w:r>
      <w:r>
        <w:rPr>
          <w:rFonts w:hint="eastAsia" w:ascii="黑体" w:hAnsi="黑体" w:eastAsia="黑体"/>
          <w:b w:val="0"/>
          <w:sz w:val="21"/>
          <w:szCs w:val="21"/>
        </w:rPr>
        <w:t>项目验收、交付和技术服务</w:t>
      </w:r>
      <w:bookmarkEnd w:id="98"/>
    </w:p>
    <w:p>
      <w:pPr>
        <w:pStyle w:val="15"/>
        <w:spacing w:line="360" w:lineRule="auto"/>
        <w:outlineLvl w:val="1"/>
        <w:rPr>
          <w:rFonts w:ascii="Times New Roman" w:hAnsi="Times New Roman"/>
          <w:szCs w:val="21"/>
        </w:rPr>
      </w:pPr>
      <w:bookmarkStart w:id="99" w:name="_Toc18421"/>
      <w:bookmarkStart w:id="100" w:name="_Toc309593281"/>
      <w:bookmarkStart w:id="101" w:name="_Toc312827041"/>
      <w:bookmarkStart w:id="102" w:name="_Toc309593210"/>
      <w:bookmarkStart w:id="103" w:name="_Toc309805605"/>
      <w:r>
        <w:rPr>
          <w:rFonts w:hint="eastAsia" w:ascii="Times New Roman" w:hAnsi="Times New Roman"/>
          <w:szCs w:val="21"/>
        </w:rPr>
        <w:t>9.1项目验收</w:t>
      </w:r>
      <w:bookmarkEnd w:id="99"/>
    </w:p>
    <w:p>
      <w:pPr>
        <w:pStyle w:val="15"/>
        <w:spacing w:line="360" w:lineRule="auto"/>
        <w:ind w:firstLine="420" w:firstLineChars="200"/>
        <w:rPr>
          <w:rFonts w:ascii="Times New Roman" w:hAnsi="Times New Roman"/>
          <w:szCs w:val="21"/>
        </w:rPr>
      </w:pPr>
      <w:r>
        <w:rPr>
          <w:rFonts w:hint="eastAsia" w:ascii="Times New Roman" w:hAnsi="Times New Roman"/>
          <w:szCs w:val="21"/>
        </w:rPr>
        <w:t>双方确定以下标准和方式对中标方提交的网络安全运维服务项目工作成果进行验收。</w:t>
      </w:r>
    </w:p>
    <w:p>
      <w:pPr>
        <w:pStyle w:val="15"/>
        <w:spacing w:line="360" w:lineRule="auto"/>
        <w:ind w:firstLine="420" w:firstLineChars="200"/>
        <w:rPr>
          <w:rFonts w:ascii="Times New Roman" w:hAnsi="Times New Roman"/>
          <w:szCs w:val="21"/>
        </w:rPr>
      </w:pPr>
      <w:r>
        <w:rPr>
          <w:rFonts w:hint="eastAsia" w:ascii="Times New Roman" w:hAnsi="Times New Roman"/>
          <w:szCs w:val="21"/>
        </w:rPr>
        <w:t>（1）投标方提交网络安全运维服务项目工作成果的形式：通过现场、电话、邮件等方式进行项目服务实施工作开展，并在实施工作完成后形成详细实施报告提交招标方检验。</w:t>
      </w:r>
    </w:p>
    <w:p>
      <w:pPr>
        <w:pStyle w:val="15"/>
        <w:spacing w:line="360" w:lineRule="auto"/>
        <w:ind w:firstLine="420" w:firstLineChars="200"/>
        <w:rPr>
          <w:rFonts w:ascii="Times New Roman" w:hAnsi="Times New Roman"/>
          <w:szCs w:val="21"/>
        </w:rPr>
      </w:pPr>
      <w:r>
        <w:rPr>
          <w:rFonts w:hint="eastAsia" w:ascii="Times New Roman" w:hAnsi="Times New Roman"/>
          <w:szCs w:val="21"/>
        </w:rPr>
        <w:t>（2）网络安全运维服务项目工作成果的验收标准：①所涉及项目的过程的实施方案、现场报告、应急处理报告。②完成本项目服务要求内容实施。③竣工报告</w:t>
      </w:r>
    </w:p>
    <w:p>
      <w:pPr>
        <w:pStyle w:val="15"/>
        <w:spacing w:line="360" w:lineRule="auto"/>
        <w:ind w:firstLine="420" w:firstLineChars="200"/>
        <w:rPr>
          <w:rFonts w:ascii="Times New Roman" w:hAnsi="Times New Roman"/>
          <w:szCs w:val="21"/>
        </w:rPr>
      </w:pPr>
      <w:r>
        <w:rPr>
          <w:rFonts w:hint="eastAsia" w:ascii="Times New Roman" w:hAnsi="Times New Roman"/>
          <w:szCs w:val="21"/>
        </w:rPr>
        <w:t>（3）验收的时间和地点：项目期满后1个月内体提交验收申请，具体地点由招标方确定，按照本技术规范书的要求和标准组织开展验收。验收后，验收人员将根据实际情况提出验收报告，如若有需要整改的内容，投标方在验收后应主动配合招标方严格按照整改意见进行整改完善。</w:t>
      </w:r>
    </w:p>
    <w:p>
      <w:pPr>
        <w:pStyle w:val="15"/>
        <w:spacing w:line="360" w:lineRule="auto"/>
        <w:outlineLvl w:val="1"/>
        <w:rPr>
          <w:rFonts w:ascii="Times New Roman" w:hAnsi="Times New Roman"/>
          <w:szCs w:val="21"/>
        </w:rPr>
      </w:pPr>
      <w:bookmarkStart w:id="104" w:name="_Toc17293"/>
      <w:r>
        <w:rPr>
          <w:rFonts w:hint="eastAsia" w:ascii="Times New Roman" w:hAnsi="Times New Roman"/>
          <w:szCs w:val="21"/>
        </w:rPr>
        <w:t>9.2项目交付</w:t>
      </w:r>
      <w:bookmarkEnd w:id="104"/>
    </w:p>
    <w:p>
      <w:pPr>
        <w:pStyle w:val="15"/>
        <w:spacing w:line="360" w:lineRule="auto"/>
        <w:ind w:firstLine="420" w:firstLineChars="200"/>
        <w:rPr>
          <w:rFonts w:ascii="Times New Roman" w:hAnsi="Times New Roman"/>
          <w:szCs w:val="21"/>
        </w:rPr>
      </w:pPr>
      <w:r>
        <w:rPr>
          <w:rFonts w:hint="eastAsia" w:ascii="Times New Roman" w:hAnsi="Times New Roman"/>
          <w:szCs w:val="21"/>
        </w:rPr>
        <w:t>投标方应在合同规定时间内，将本技术规范书所界定的工作完成，并在通过双方认可的验收后，交付给招标方。</w:t>
      </w:r>
    </w:p>
    <w:p>
      <w:pPr>
        <w:pStyle w:val="15"/>
        <w:spacing w:line="360" w:lineRule="auto"/>
        <w:ind w:firstLine="420" w:firstLineChars="200"/>
        <w:rPr>
          <w:rFonts w:ascii="Times New Roman" w:hAnsi="Times New Roman"/>
          <w:szCs w:val="21"/>
        </w:rPr>
      </w:pPr>
      <w:r>
        <w:rPr>
          <w:rFonts w:hint="eastAsia" w:ascii="Times New Roman" w:hAnsi="Times New Roman"/>
          <w:szCs w:val="21"/>
        </w:rPr>
        <w:t>（1）投标方提供的资料应使用国际单位制（SI），语言为中文。</w:t>
      </w:r>
    </w:p>
    <w:p>
      <w:pPr>
        <w:pStyle w:val="15"/>
        <w:spacing w:line="360" w:lineRule="auto"/>
        <w:ind w:firstLine="420" w:firstLineChars="200"/>
        <w:rPr>
          <w:rFonts w:ascii="Times New Roman" w:hAnsi="Times New Roman"/>
          <w:szCs w:val="21"/>
        </w:rPr>
      </w:pPr>
      <w:r>
        <w:rPr>
          <w:rFonts w:hint="eastAsia" w:ascii="Times New Roman" w:hAnsi="Times New Roman"/>
          <w:szCs w:val="21"/>
        </w:rPr>
        <w:t>（2）资料的组织结构清晰、逻辑性强。资料内容要正确、准确、一致、清晰完整。如所供资料不能达到要求时，投标方应免费给予补充。</w:t>
      </w:r>
    </w:p>
    <w:p>
      <w:pPr>
        <w:pStyle w:val="15"/>
        <w:spacing w:line="360" w:lineRule="auto"/>
        <w:ind w:firstLine="420" w:firstLineChars="200"/>
        <w:rPr>
          <w:rFonts w:ascii="Times New Roman" w:hAnsi="Times New Roman"/>
          <w:szCs w:val="21"/>
        </w:rPr>
      </w:pPr>
      <w:r>
        <w:rPr>
          <w:rFonts w:hint="eastAsia" w:ascii="Times New Roman" w:hAnsi="Times New Roman"/>
          <w:szCs w:val="21"/>
        </w:rPr>
        <w:t>（3）投标方资料的提交应及时充分，满足项目进度要求。</w:t>
      </w:r>
    </w:p>
    <w:p>
      <w:pPr>
        <w:pStyle w:val="15"/>
        <w:spacing w:line="360" w:lineRule="auto"/>
        <w:ind w:firstLine="420" w:firstLineChars="200"/>
        <w:rPr>
          <w:rFonts w:ascii="Times New Roman" w:hAnsi="Times New Roman"/>
          <w:szCs w:val="21"/>
        </w:rPr>
      </w:pPr>
      <w:r>
        <w:rPr>
          <w:rFonts w:hint="eastAsia" w:ascii="Times New Roman" w:hAnsi="Times New Roman"/>
          <w:szCs w:val="21"/>
        </w:rPr>
        <w:t>（4）对于其它没有列入合同技术资料清单，却是项目所必需的文件和资料，一经发现，投标方应及时免费提供。</w:t>
      </w:r>
    </w:p>
    <w:p>
      <w:pPr>
        <w:pStyle w:val="15"/>
        <w:spacing w:line="360" w:lineRule="auto"/>
        <w:ind w:firstLine="420" w:firstLineChars="200"/>
        <w:rPr>
          <w:rFonts w:ascii="Times New Roman" w:hAnsi="Times New Roman"/>
          <w:szCs w:val="21"/>
        </w:rPr>
      </w:pPr>
      <w:r>
        <w:rPr>
          <w:rFonts w:hint="eastAsia" w:ascii="Times New Roman" w:hAnsi="Times New Roman"/>
          <w:szCs w:val="21"/>
        </w:rPr>
        <w:t>投标方每年完成项目后应提供电子版和正式版资料文档（包括不限于）如下：</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4269"/>
        <w:gridCol w:w="1866"/>
        <w:gridCol w:w="16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tcPr>
          <w:p>
            <w:pPr>
              <w:pStyle w:val="15"/>
              <w:spacing w:line="360" w:lineRule="auto"/>
              <w:jc w:val="center"/>
              <w:rPr>
                <w:rFonts w:ascii="Times New Roman" w:hAnsi="Times New Roman"/>
                <w:szCs w:val="21"/>
              </w:rPr>
            </w:pPr>
            <w:r>
              <w:rPr>
                <w:rFonts w:hint="eastAsia" w:ascii="Times New Roman" w:hAnsi="Times New Roman"/>
                <w:szCs w:val="21"/>
              </w:rPr>
              <w:t>序号</w:t>
            </w:r>
          </w:p>
        </w:tc>
        <w:tc>
          <w:tcPr>
            <w:tcW w:w="2494" w:type="pct"/>
          </w:tcPr>
          <w:p>
            <w:pPr>
              <w:pStyle w:val="15"/>
              <w:spacing w:line="360" w:lineRule="auto"/>
              <w:jc w:val="center"/>
              <w:rPr>
                <w:rFonts w:ascii="Times New Roman" w:hAnsi="Times New Roman"/>
                <w:szCs w:val="21"/>
              </w:rPr>
            </w:pPr>
            <w:r>
              <w:rPr>
                <w:rFonts w:hint="eastAsia" w:ascii="Times New Roman" w:hAnsi="Times New Roman"/>
                <w:szCs w:val="21"/>
              </w:rPr>
              <w:t>资料清单</w:t>
            </w:r>
          </w:p>
        </w:tc>
        <w:tc>
          <w:tcPr>
            <w:tcW w:w="1090" w:type="pct"/>
          </w:tcPr>
          <w:p>
            <w:pPr>
              <w:pStyle w:val="15"/>
              <w:spacing w:line="360" w:lineRule="auto"/>
              <w:jc w:val="center"/>
              <w:rPr>
                <w:rFonts w:ascii="Times New Roman" w:hAnsi="Times New Roman"/>
                <w:szCs w:val="21"/>
              </w:rPr>
            </w:pPr>
            <w:r>
              <w:rPr>
                <w:rFonts w:hint="eastAsia" w:ascii="Times New Roman" w:hAnsi="Times New Roman"/>
                <w:szCs w:val="21"/>
              </w:rPr>
              <w:t>提交时间</w:t>
            </w:r>
          </w:p>
        </w:tc>
        <w:tc>
          <w:tcPr>
            <w:tcW w:w="970" w:type="pct"/>
          </w:tcPr>
          <w:p>
            <w:pPr>
              <w:pStyle w:val="15"/>
              <w:spacing w:line="360" w:lineRule="auto"/>
              <w:jc w:val="center"/>
              <w:rPr>
                <w:rFonts w:ascii="Times New Roman" w:hAnsi="Times New Roman"/>
                <w:szCs w:val="21"/>
              </w:rPr>
            </w:pPr>
            <w:r>
              <w:rPr>
                <w:rFonts w:hint="eastAsia" w:ascii="Times New Roman" w:hAnsi="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1</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《项目实施方案》</w:t>
            </w:r>
          </w:p>
        </w:tc>
        <w:tc>
          <w:tcPr>
            <w:tcW w:w="109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签署合同后1周</w:t>
            </w:r>
          </w:p>
        </w:tc>
        <w:tc>
          <w:tcPr>
            <w:tcW w:w="97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正式版、电子版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2</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《电力监控系统漏洞扫描报告》</w:t>
            </w:r>
          </w:p>
        </w:tc>
        <w:tc>
          <w:tcPr>
            <w:tcW w:w="109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现场服务后3周</w:t>
            </w:r>
          </w:p>
        </w:tc>
        <w:tc>
          <w:tcPr>
            <w:tcW w:w="97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正式版、电子版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3</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《电力监控系统加固整改报告》</w:t>
            </w:r>
          </w:p>
        </w:tc>
        <w:tc>
          <w:tcPr>
            <w:tcW w:w="109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现场服务后3周</w:t>
            </w:r>
          </w:p>
        </w:tc>
        <w:tc>
          <w:tcPr>
            <w:tcW w:w="97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正式版、电子版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4</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《电力监控系统配置核查报告》</w:t>
            </w:r>
          </w:p>
        </w:tc>
        <w:tc>
          <w:tcPr>
            <w:tcW w:w="109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现场服务后3周</w:t>
            </w:r>
          </w:p>
        </w:tc>
        <w:tc>
          <w:tcPr>
            <w:tcW w:w="970" w:type="pct"/>
            <w:vAlign w:val="center"/>
          </w:tcPr>
          <w:p>
            <w:pPr>
              <w:pStyle w:val="15"/>
              <w:spacing w:line="360" w:lineRule="auto"/>
              <w:jc w:val="center"/>
              <w:rPr>
                <w:rFonts w:ascii="Times New Roman" w:hAnsi="Times New Roman"/>
                <w:szCs w:val="21"/>
              </w:rPr>
            </w:pPr>
            <w:r>
              <w:rPr>
                <w:rFonts w:hint="eastAsia" w:ascii="Times New Roman" w:hAnsi="Times New Roman"/>
                <w:szCs w:val="21"/>
              </w:rPr>
              <w:t>正式版、电子版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5</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《电力监控系统安全运维评估计划》</w:t>
            </w:r>
          </w:p>
        </w:tc>
        <w:tc>
          <w:tcPr>
            <w:tcW w:w="1090" w:type="pct"/>
            <w:vAlign w:val="center"/>
          </w:tcPr>
          <w:p>
            <w:pPr>
              <w:pStyle w:val="15"/>
              <w:spacing w:line="360" w:lineRule="auto"/>
              <w:jc w:val="center"/>
              <w:rPr>
                <w:rFonts w:ascii="Times New Roman" w:hAnsi="Times New Roman"/>
                <w:szCs w:val="21"/>
              </w:rPr>
            </w:pPr>
          </w:p>
        </w:tc>
        <w:tc>
          <w:tcPr>
            <w:tcW w:w="970" w:type="pct"/>
            <w:vAlign w:val="center"/>
          </w:tcPr>
          <w:p>
            <w:pPr>
              <w:pStyle w:val="15"/>
              <w:spacing w:line="360"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6" w:type="pct"/>
            <w:vAlign w:val="center"/>
          </w:tcPr>
          <w:p>
            <w:pPr>
              <w:pStyle w:val="15"/>
              <w:spacing w:line="360" w:lineRule="auto"/>
              <w:jc w:val="center"/>
              <w:rPr>
                <w:rFonts w:ascii="Times New Roman" w:hAnsi="Times New Roman"/>
                <w:szCs w:val="21"/>
              </w:rPr>
            </w:pPr>
            <w:r>
              <w:rPr>
                <w:rFonts w:hint="eastAsia" w:ascii="Times New Roman" w:hAnsi="Times New Roman"/>
                <w:szCs w:val="21"/>
              </w:rPr>
              <w:t>6</w:t>
            </w:r>
          </w:p>
        </w:tc>
        <w:tc>
          <w:tcPr>
            <w:tcW w:w="2494" w:type="pct"/>
            <w:vAlign w:val="center"/>
          </w:tcPr>
          <w:p>
            <w:pPr>
              <w:pStyle w:val="15"/>
              <w:spacing w:line="360" w:lineRule="auto"/>
              <w:jc w:val="center"/>
              <w:rPr>
                <w:rFonts w:ascii="Times New Roman" w:hAnsi="Times New Roman"/>
                <w:szCs w:val="21"/>
              </w:rPr>
            </w:pPr>
            <w:r>
              <w:rPr>
                <w:rFonts w:hint="eastAsia" w:ascii="Times New Roman" w:hAnsi="Times New Roman"/>
                <w:szCs w:val="21"/>
              </w:rPr>
              <w:t>其他招标方要求提供的资料</w:t>
            </w:r>
          </w:p>
        </w:tc>
        <w:tc>
          <w:tcPr>
            <w:tcW w:w="1090" w:type="pct"/>
            <w:vAlign w:val="center"/>
          </w:tcPr>
          <w:p>
            <w:pPr>
              <w:pStyle w:val="15"/>
              <w:spacing w:line="360" w:lineRule="auto"/>
              <w:jc w:val="center"/>
              <w:rPr>
                <w:rFonts w:ascii="Times New Roman" w:hAnsi="Times New Roman"/>
                <w:szCs w:val="21"/>
              </w:rPr>
            </w:pPr>
          </w:p>
        </w:tc>
        <w:tc>
          <w:tcPr>
            <w:tcW w:w="970" w:type="pct"/>
            <w:vAlign w:val="center"/>
          </w:tcPr>
          <w:p>
            <w:pPr>
              <w:pStyle w:val="15"/>
              <w:spacing w:line="360" w:lineRule="auto"/>
              <w:jc w:val="center"/>
              <w:rPr>
                <w:rFonts w:ascii="Times New Roman" w:hAnsi="Times New Roman"/>
                <w:szCs w:val="21"/>
              </w:rPr>
            </w:pPr>
          </w:p>
        </w:tc>
      </w:tr>
    </w:tbl>
    <w:p>
      <w:pPr>
        <w:pStyle w:val="3"/>
        <w:numPr>
          <w:ilvl w:val="0"/>
          <w:numId w:val="0"/>
        </w:numPr>
        <w:spacing w:before="0" w:after="0" w:line="579" w:lineRule="auto"/>
        <w:rPr>
          <w:rFonts w:ascii="黑体" w:hAnsi="黑体" w:eastAsia="黑体"/>
          <w:b w:val="0"/>
          <w:sz w:val="21"/>
          <w:szCs w:val="21"/>
        </w:rPr>
      </w:pPr>
      <w:bookmarkStart w:id="105" w:name="_Toc10692"/>
      <w:r>
        <w:rPr>
          <w:rFonts w:hint="eastAsia" w:ascii="黑体" w:hAnsi="黑体" w:eastAsia="黑体"/>
          <w:b w:val="0"/>
          <w:sz w:val="21"/>
          <w:szCs w:val="21"/>
          <w:lang w:val="en-US" w:eastAsia="zh-CN"/>
        </w:rPr>
        <w:t>10.</w:t>
      </w:r>
      <w:r>
        <w:rPr>
          <w:rFonts w:hint="eastAsia" w:ascii="黑体" w:hAnsi="黑体" w:eastAsia="黑体"/>
          <w:b w:val="0"/>
          <w:sz w:val="21"/>
          <w:szCs w:val="21"/>
        </w:rPr>
        <w:t>其他</w:t>
      </w:r>
      <w:bookmarkEnd w:id="100"/>
      <w:bookmarkEnd w:id="101"/>
      <w:bookmarkEnd w:id="102"/>
      <w:bookmarkEnd w:id="103"/>
      <w:bookmarkEnd w:id="105"/>
    </w:p>
    <w:p>
      <w:pPr>
        <w:pStyle w:val="1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szCs w:val="21"/>
        </w:rPr>
      </w:pPr>
      <w:r>
        <w:rPr>
          <w:rFonts w:hint="eastAsia" w:ascii="Times New Roman" w:hAnsi="Times New Roman"/>
          <w:szCs w:val="21"/>
        </w:rPr>
        <w:t>本技术规范书中的未尽事宜，请与中国南方电网超高压输电公司联系。</w:t>
      </w:r>
    </w:p>
    <w:sectPr>
      <w:headerReference r:id="rId9" w:type="default"/>
      <w:footerReference r:id="rId10" w:type="default"/>
      <w:pgSz w:w="11906" w:h="16838"/>
      <w:pgMar w:top="1440" w:right="1780" w:bottom="1440" w:left="1780" w:header="720" w:footer="720" w:gutter="0"/>
      <w:pgNumType w:start="1"/>
      <w:cols w:space="720" w:num="1"/>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29"/>
      </w:rPr>
    </w:pPr>
    <w:r>
      <w:fldChar w:fldCharType="begin"/>
    </w:r>
    <w:r>
      <w:rPr>
        <w:rStyle w:val="29"/>
      </w:rPr>
      <w:instrText xml:space="preserve">PAGE  </w:instrText>
    </w:r>
    <w:r>
      <w:fldChar w:fldCharType="end"/>
    </w:r>
  </w:p>
  <w:p>
    <w:pPr>
      <w:pStyle w:val="18"/>
    </w:pPr>
    <w:r>
      <w:rPr>
        <w:rStyle w:val="29"/>
        <w:rFonts w:hint="eastAsia"/>
      </w:rPr>
      <w:t>II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w:pict>
        <v:shape id="PowerPlusWaterMarkObject32411" o:spid="_x0000_s2049" o:spt="136" type="#_x0000_t136" style="position:absolute;left:0pt;height:92.3pt;width:494.95pt;mso-position-horizontal:center;mso-position-horizontal-relative:margin;mso-position-vertical:center;mso-position-vertical-relative:margin;rotation:-2949120f;z-index:-251657216;mso-width-relative:page;mso-height-relative:page;" fillcolor="#C0C0C0" filled="t" stroked="f" coordsize="21600,21600" adj="10800">
          <v:path/>
          <v:fill on="t" opacity="32768f" focussize="0,0"/>
          <v:stroke on="f"/>
          <v:imagedata o:title=""/>
          <o:lock v:ext="edit" aspectratio="t"/>
          <v:textpath on="t" fitshape="t" fitpath="t" trim="t" xscale="f" string="南网超高压公司" style="font-family:微软雅黑;font-size:36pt;v-same-letter-heights:f;v-text-align:center;"/>
        </v:shape>
      </w:pict>
    </w:r>
    <w:r>
      <w:rPr>
        <w:rFonts w:hint="eastAsia"/>
      </w:rPr>
      <w:t>超高压输电公司电力监控系统网络安全运维服务技术规范书（通用部分）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Ansi="宋体"/>
        <w:bCs/>
        <w:szCs w:val="21"/>
      </w:rPr>
      <w:t>Q/GD1 1130.12-2009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18"/>
      </w:rPr>
      <w:pict>
        <v:shape id="_x0000_s2050" o:spid="_x0000_s2050" o:spt="136" type="#_x0000_t136" style="position:absolute;left:0pt;height:92.3pt;width:494.95pt;mso-position-horizontal:center;mso-position-horizontal-relative:margin;mso-position-vertical:center;mso-position-vertical-relative:margin;rotation:-2949120f;z-index:-251656192;mso-width-relative:page;mso-height-relative:page;" fillcolor="#C0C0C0" filled="t" stroked="f" coordsize="21600,21600" adj="10800">
          <v:path/>
          <v:fill on="t" opacity="32768f" focussize="0,0"/>
          <v:stroke on="f"/>
          <v:imagedata o:title=""/>
          <o:lock v:ext="edit" aspectratio="t"/>
          <v:textpath on="t" fitshape="t" fitpath="t" trim="t" xscale="f" string="南网超高压公司" style="font-family:微软雅黑;font-size:36pt;v-same-letter-heights:f;v-text-align:center;"/>
        </v:shape>
      </w:pict>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w:pict>
        <v:shape id="_x0000_s2051" o:spid="_x0000_s2051" o:spt="136" type="#_x0000_t136" style="position:absolute;left:0pt;height:92.3pt;width:494.95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南网超高压公司" style="font-family:微软雅黑;font-size:36pt;v-same-letter-heights:f;v-text-align:center;"/>
        </v:shape>
      </w:pict>
    </w:r>
    <w:r>
      <w:rPr>
        <w:rFonts w:hint="eastAsia"/>
      </w:rPr>
      <w:t>超高压输电公司电力监控系统网络安全运维服务技术规范书（通用部分）</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w:pict>
        <v:shape id="_x0000_s2052" o:spid="_x0000_s2052" o:spt="136" type="#_x0000_t136" style="position:absolute;left:0pt;height:92.3pt;width:494.95pt;mso-position-horizontal:center;mso-position-horizontal-relative:margin;mso-position-vertical:center;mso-position-vertical-relative:margin;rotation:-2949120f;z-index:-251654144;mso-width-relative:page;mso-height-relative:page;" fillcolor="#C0C0C0" filled="t" stroked="f" coordsize="21600,21600" adj="10800">
          <v:path/>
          <v:fill on="t" opacity="32768f" focussize="0,0"/>
          <v:stroke on="f"/>
          <v:imagedata o:title=""/>
          <o:lock v:ext="edit" aspectratio="t"/>
          <v:textpath on="t" fitshape="t" fitpath="t" trim="t" xscale="f" string="南网超高压公司" style="font-family:微软雅黑;font-size:36pt;v-same-letter-heights:f;v-text-align:center;"/>
        </v:shape>
      </w:pict>
    </w:r>
    <w:r>
      <w:rPr>
        <w:rFonts w:hint="eastAsia"/>
      </w:rPr>
      <w:t>超高压输电公司电力监控系统网络安全运维服务技术规范书（通用部分）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pStyle w:val="6"/>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57"/>
      <w:suff w:val="nothing"/>
      <w:lvlText w:val="%1%2.%3　"/>
      <w:lvlJc w:val="left"/>
      <w:pPr>
        <w:ind w:left="0" w:firstLine="0"/>
      </w:pPr>
      <w:rPr>
        <w:rFonts w:hint="eastAsia" w:ascii="黑体" w:hAnsi="Times New Roman" w:eastAsia="黑体"/>
        <w:b w:val="0"/>
        <w:i w:val="0"/>
        <w:sz w:val="21"/>
      </w:rPr>
    </w:lvl>
    <w:lvl w:ilvl="3" w:tentative="0">
      <w:start w:val="1"/>
      <w:numFmt w:val="decimal"/>
      <w:pStyle w:val="98"/>
      <w:suff w:val="nothing"/>
      <w:lvlText w:val="%1%2.%3.%4　"/>
      <w:lvlJc w:val="left"/>
      <w:pPr>
        <w:ind w:left="0" w:firstLine="0"/>
      </w:pPr>
      <w:rPr>
        <w:rFonts w:hint="eastAsia" w:ascii="黑体" w:hAnsi="Times New Roman" w:eastAsia="黑体"/>
        <w:b w:val="0"/>
        <w:i w:val="0"/>
        <w:sz w:val="21"/>
      </w:rPr>
    </w:lvl>
    <w:lvl w:ilvl="4" w:tentative="0">
      <w:start w:val="1"/>
      <w:numFmt w:val="decimal"/>
      <w:pStyle w:val="58"/>
      <w:suff w:val="nothing"/>
      <w:lvlText w:val="%1%2.%3.%4.%5　"/>
      <w:lvlJc w:val="left"/>
      <w:pPr>
        <w:ind w:left="0" w:firstLine="0"/>
      </w:pPr>
      <w:rPr>
        <w:rFonts w:hint="eastAsia" w:ascii="黑体" w:hAnsi="Times New Roman" w:eastAsia="黑体"/>
        <w:b w:val="0"/>
        <w:i w:val="0"/>
        <w:sz w:val="21"/>
      </w:rPr>
    </w:lvl>
    <w:lvl w:ilvl="5" w:tentative="0">
      <w:start w:val="1"/>
      <w:numFmt w:val="decimal"/>
      <w:pStyle w:val="60"/>
      <w:suff w:val="nothing"/>
      <w:lvlText w:val="%1%2.%3.%4.%5.%6　"/>
      <w:lvlJc w:val="left"/>
      <w:pPr>
        <w:ind w:left="0" w:firstLine="0"/>
      </w:pPr>
      <w:rPr>
        <w:rFonts w:hint="eastAsia" w:ascii="黑体" w:hAnsi="Times New Roman" w:eastAsia="黑体"/>
        <w:b w:val="0"/>
        <w:i w:val="0"/>
        <w:sz w:val="21"/>
      </w:rPr>
    </w:lvl>
    <w:lvl w:ilvl="6" w:tentative="0">
      <w:start w:val="1"/>
      <w:numFmt w:val="decimal"/>
      <w:pStyle w:val="4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7852B6D"/>
    <w:multiLevelType w:val="multilevel"/>
    <w:tmpl w:val="07852B6D"/>
    <w:lvl w:ilvl="0" w:tentative="0">
      <w:start w:val="1"/>
      <w:numFmt w:val="decimal"/>
      <w:pStyle w:val="41"/>
      <w:suff w:val="space"/>
      <w:lvlText w:val="%1"/>
      <w:lvlJc w:val="left"/>
      <w:pPr>
        <w:ind w:left="432" w:hanging="432"/>
      </w:pPr>
      <w:rPr>
        <w:rFonts w:hint="default" w:ascii="Times New Roman" w:hAnsi="Times New Roman" w:eastAsia="黑体"/>
      </w:rPr>
    </w:lvl>
    <w:lvl w:ilvl="1" w:tentative="0">
      <w:start w:val="1"/>
      <w:numFmt w:val="decimal"/>
      <w:pStyle w:val="64"/>
      <w:suff w:val="space"/>
      <w:lvlText w:val="%1.%2"/>
      <w:lvlJc w:val="left"/>
      <w:pPr>
        <w:ind w:left="576" w:hanging="576"/>
      </w:pPr>
      <w:rPr>
        <w:rFonts w:hint="default" w:ascii="Times New Roman" w:hAnsi="Times New Roman" w:eastAsia="黑体"/>
      </w:rPr>
    </w:lvl>
    <w:lvl w:ilvl="2" w:tentative="0">
      <w:start w:val="1"/>
      <w:numFmt w:val="decimal"/>
      <w:pStyle w:val="53"/>
      <w:suff w:val="space"/>
      <w:lvlText w:val="%1.%2.%3"/>
      <w:lvlJc w:val="left"/>
      <w:pPr>
        <w:ind w:left="720" w:hanging="720"/>
      </w:pPr>
      <w:rPr>
        <w:rFonts w:hint="default" w:ascii="Times New Roman" w:hAnsi="Times New Roman" w:eastAsia="宋体"/>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5A037C68"/>
    <w:multiLevelType w:val="multilevel"/>
    <w:tmpl w:val="5A037C68"/>
    <w:lvl w:ilvl="0" w:tentative="0">
      <w:start w:val="1"/>
      <w:numFmt w:val="chineseCountingThousand"/>
      <w:isLgl/>
      <w:suff w:val="space"/>
      <w:lvlText w:val="%1. "/>
      <w:lvlJc w:val="left"/>
      <w:pPr>
        <w:ind w:left="425" w:hanging="425"/>
      </w:pPr>
      <w:rPr>
        <w:rFonts w:hint="eastAsia"/>
      </w:rPr>
    </w:lvl>
    <w:lvl w:ilvl="1" w:tentative="0">
      <w:start w:val="1"/>
      <w:numFmt w:val="decimal"/>
      <w:pStyle w:val="119"/>
      <w:isLgl/>
      <w:suff w:val="space"/>
      <w:lvlText w:val="%1.%2."/>
      <w:lvlJc w:val="left"/>
      <w:pPr>
        <w:ind w:left="992" w:hanging="992"/>
      </w:pPr>
      <w:rPr>
        <w:rFonts w:hint="default" w:ascii="Calibri Light" w:hAnsi="Calibri Light"/>
        <w:color w:val="auto"/>
        <w:sz w:val="24"/>
        <w:szCs w:val="24"/>
      </w:rPr>
    </w:lvl>
    <w:lvl w:ilvl="2" w:tentative="0">
      <w:start w:val="1"/>
      <w:numFmt w:val="decimal"/>
      <w:isLgl/>
      <w:suff w:val="space"/>
      <w:lvlText w:val="%1.%2.%3."/>
      <w:lvlJc w:val="left"/>
      <w:pPr>
        <w:ind w:left="1898" w:hanging="1418"/>
      </w:pPr>
      <w:rPr>
        <w:rFonts w:hint="eastAsia"/>
      </w:rPr>
    </w:lvl>
    <w:lvl w:ilvl="3" w:tentative="0">
      <w:start w:val="1"/>
      <w:numFmt w:val="decimal"/>
      <w:isLgl/>
      <w:suff w:val="space"/>
      <w:lvlText w:val="%1.%2.%3.%4."/>
      <w:lvlJc w:val="left"/>
      <w:pPr>
        <w:ind w:left="1984" w:hanging="1984"/>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646260FA"/>
    <w:multiLevelType w:val="multilevel"/>
    <w:tmpl w:val="646260FA"/>
    <w:lvl w:ilvl="0" w:tentative="0">
      <w:start w:val="1"/>
      <w:numFmt w:val="decimal"/>
      <w:pStyle w:val="93"/>
      <w:suff w:val="nothing"/>
      <w:lvlText w:val="表%1　"/>
      <w:lvlJc w:val="left"/>
      <w:pPr>
        <w:ind w:left="5103"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657D3FBC"/>
    <w:multiLevelType w:val="multilevel"/>
    <w:tmpl w:val="657D3FBC"/>
    <w:lvl w:ilvl="0" w:tentative="0">
      <w:start w:val="1"/>
      <w:numFmt w:val="decimal"/>
      <w:pStyle w:val="78"/>
      <w:suff w:val="nothing"/>
      <w:lvlText w:val="附　表　%1"/>
      <w:lvlJc w:val="left"/>
      <w:pPr>
        <w:ind w:left="0" w:firstLine="0"/>
      </w:pPr>
      <w:rPr>
        <w:rFonts w:hint="eastAsia" w:ascii="黑体" w:hAnsi="Times New Roman" w:eastAsia="黑体"/>
        <w:b w:val="0"/>
        <w:i w:val="0"/>
        <w:sz w:val="21"/>
      </w:rPr>
    </w:lvl>
    <w:lvl w:ilvl="1" w:tentative="0">
      <w:start w:val="1"/>
      <w:numFmt w:val="decimal"/>
      <w:pStyle w:val="4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69"/>
      <w:suff w:val="nothing"/>
      <w:lvlText w:val="%1.%2.%3　"/>
      <w:lvlJc w:val="left"/>
      <w:pPr>
        <w:ind w:left="0" w:firstLine="0"/>
      </w:pPr>
      <w:rPr>
        <w:rFonts w:hint="eastAsia" w:ascii="黑体" w:hAnsi="Times New Roman" w:eastAsia="黑体"/>
        <w:b w:val="0"/>
        <w:i w:val="0"/>
        <w:sz w:val="21"/>
      </w:rPr>
    </w:lvl>
    <w:lvl w:ilvl="3" w:tentative="0">
      <w:start w:val="1"/>
      <w:numFmt w:val="decimal"/>
      <w:pStyle w:val="68"/>
      <w:suff w:val="nothing"/>
      <w:lvlText w:val="%1.%2.%3.%4　"/>
      <w:lvlJc w:val="left"/>
      <w:pPr>
        <w:ind w:left="0" w:firstLine="0"/>
      </w:pPr>
      <w:rPr>
        <w:rFonts w:hint="eastAsia" w:ascii="黑体" w:hAnsi="Times New Roman" w:eastAsia="黑体"/>
        <w:b w:val="0"/>
        <w:i w:val="0"/>
        <w:sz w:val="21"/>
      </w:rPr>
    </w:lvl>
    <w:lvl w:ilvl="4" w:tentative="0">
      <w:start w:val="1"/>
      <w:numFmt w:val="decimal"/>
      <w:pStyle w:val="67"/>
      <w:suff w:val="nothing"/>
      <w:lvlText w:val="%1.%2.%3.%4.%5　"/>
      <w:lvlJc w:val="left"/>
      <w:pPr>
        <w:ind w:left="0" w:firstLine="0"/>
      </w:pPr>
      <w:rPr>
        <w:rFonts w:hint="eastAsia" w:ascii="黑体" w:hAnsi="Times New Roman" w:eastAsia="黑体"/>
        <w:b w:val="0"/>
        <w:i w:val="0"/>
        <w:sz w:val="21"/>
      </w:rPr>
    </w:lvl>
    <w:lvl w:ilvl="5" w:tentative="0">
      <w:start w:val="1"/>
      <w:numFmt w:val="decimal"/>
      <w:pStyle w:val="74"/>
      <w:suff w:val="nothing"/>
      <w:lvlText w:val="%1.%2.%3.%4.%5.%6　"/>
      <w:lvlJc w:val="left"/>
      <w:pPr>
        <w:ind w:left="0" w:firstLine="0"/>
      </w:pPr>
      <w:rPr>
        <w:rFonts w:hint="eastAsia" w:ascii="黑体" w:hAnsi="Times New Roman" w:eastAsia="黑体"/>
        <w:b w:val="0"/>
        <w:i w:val="0"/>
        <w:sz w:val="21"/>
      </w:rPr>
    </w:lvl>
    <w:lvl w:ilvl="6" w:tentative="0">
      <w:start w:val="1"/>
      <w:numFmt w:val="decimal"/>
      <w:pStyle w:val="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CEA2025"/>
    <w:multiLevelType w:val="multilevel"/>
    <w:tmpl w:val="6CEA2025"/>
    <w:lvl w:ilvl="0" w:tentative="0">
      <w:start w:val="1"/>
      <w:numFmt w:val="none"/>
      <w:pStyle w:val="47"/>
      <w:suff w:val="nothing"/>
      <w:lvlText w:val="%1"/>
      <w:lvlJc w:val="left"/>
      <w:pPr>
        <w:ind w:left="0" w:firstLine="0"/>
      </w:pPr>
      <w:rPr>
        <w:rFonts w:hint="default" w:ascii="Times New Roman" w:hAnsi="Times New Roman"/>
        <w:b/>
        <w:i w:val="0"/>
        <w:sz w:val="21"/>
      </w:rPr>
    </w:lvl>
    <w:lvl w:ilvl="1" w:tentative="0">
      <w:start w:val="1"/>
      <w:numFmt w:val="decimal"/>
      <w:pStyle w:val="40"/>
      <w:suff w:val="nothing"/>
      <w:lvlText w:val="%1%2　"/>
      <w:lvlJc w:val="left"/>
      <w:pPr>
        <w:ind w:left="0" w:firstLine="0"/>
      </w:pPr>
      <w:rPr>
        <w:rFonts w:hint="default" w:ascii="Times New Roman" w:hAnsi="Times New Roman" w:eastAsia="黑体" w:cs="Times New Roman"/>
        <w:b/>
        <w:i w:val="0"/>
        <w:sz w:val="21"/>
      </w:rPr>
    </w:lvl>
    <w:lvl w:ilvl="2" w:tentative="0">
      <w:start w:val="1"/>
      <w:numFmt w:val="decimal"/>
      <w:pStyle w:val="39"/>
      <w:suff w:val="nothing"/>
      <w:lvlText w:val="%1%2.%3　"/>
      <w:lvlJc w:val="left"/>
      <w:pPr>
        <w:ind w:left="1389" w:hanging="113"/>
      </w:pPr>
      <w:rPr>
        <w:rFonts w:hint="default" w:ascii="黑体" w:hAnsi="黑体" w:eastAsia="黑体" w:cs="黑体"/>
        <w:b w:val="0"/>
        <w:bCs/>
        <w:i w:val="0"/>
        <w:sz w:val="21"/>
      </w:rPr>
    </w:lvl>
    <w:lvl w:ilvl="3" w:tentative="0">
      <w:start w:val="1"/>
      <w:numFmt w:val="decimal"/>
      <w:pStyle w:val="38"/>
      <w:suff w:val="nothing"/>
      <w:lvlText w:val="%1%2.%3.%4　"/>
      <w:lvlJc w:val="left"/>
      <w:pPr>
        <w:ind w:left="936" w:hanging="227"/>
      </w:pPr>
      <w:rPr>
        <w:rFonts w:hint="default" w:ascii="黑体" w:hAnsi="黑体" w:eastAsia="黑体" w:cs="黑体"/>
        <w:b w:val="0"/>
        <w:bCs/>
        <w:i w:val="0"/>
        <w:color w:val="auto"/>
        <w:sz w:val="21"/>
      </w:rPr>
    </w:lvl>
    <w:lvl w:ilvl="4" w:tentative="0">
      <w:start w:val="1"/>
      <w:numFmt w:val="decimal"/>
      <w:pStyle w:val="37"/>
      <w:isLgl/>
      <w:suff w:val="nothing"/>
      <w:lvlText w:val="%1%2.%3.%4.%5　"/>
      <w:lvlJc w:val="left"/>
      <w:pPr>
        <w:ind w:left="113" w:hanging="113"/>
      </w:pPr>
      <w:rPr>
        <w:rFonts w:hint="default" w:ascii="Times New Roman" w:hAnsi="Times New Roman" w:eastAsia="宋体" w:cs="Times New Roman"/>
        <w:b/>
        <w:i w:val="0"/>
        <w:sz w:val="21"/>
        <w:szCs w:val="21"/>
      </w:rPr>
    </w:lvl>
    <w:lvl w:ilvl="5" w:tentative="0">
      <w:start w:val="1"/>
      <w:numFmt w:val="decimal"/>
      <w:pStyle w:val="36"/>
      <w:suff w:val="nothing"/>
      <w:lvlText w:val="%1%2.%3.%4.%5.%6　"/>
      <w:lvlJc w:val="left"/>
      <w:pPr>
        <w:ind w:left="0" w:firstLine="0"/>
      </w:pPr>
      <w:rPr>
        <w:rFonts w:hint="eastAsia" w:ascii="黑体" w:hAnsi="Times New Roman" w:eastAsia="黑体"/>
        <w:b w:val="0"/>
        <w:i w:val="0"/>
        <w:sz w:val="21"/>
      </w:rPr>
    </w:lvl>
    <w:lvl w:ilvl="6" w:tentative="0">
      <w:start w:val="1"/>
      <w:numFmt w:val="decimal"/>
      <w:pStyle w:val="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6DBF04F4"/>
    <w:multiLevelType w:val="multilevel"/>
    <w:tmpl w:val="6DBF04F4"/>
    <w:lvl w:ilvl="0" w:tentative="0">
      <w:start w:val="1"/>
      <w:numFmt w:val="decimal"/>
      <w:pStyle w:val="56"/>
      <w:lvlText w:val="注%1："/>
      <w:lvlJc w:val="left"/>
      <w:pPr>
        <w:tabs>
          <w:tab w:val="left" w:pos="567"/>
        </w:tabs>
        <w:ind w:left="794" w:hanging="624"/>
      </w:pPr>
      <w:rPr>
        <w:rFonts w:hint="eastAsia" w:ascii="宋体" w:hAnsi="Times New Roman"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6"/>
  </w:num>
  <w:num w:numId="3">
    <w:abstractNumId w:val="2"/>
  </w:num>
  <w:num w:numId="4">
    <w:abstractNumId w:val="1"/>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FWordEnv" w:val="ViewFaWen"/>
    <w:docVar w:name="commondata" w:val="eyJoZGlkIjoiZTY1MzlmMTE5ODY4M2IzMWI1NjEyYmZiZDhlMGYwYWMifQ=="/>
    <w:docVar w:name="flditemNameflag" w:val="fldHasZDFawen"/>
    <w:docVar w:name="fldQXXXDBName" w:val="qxxxzd20090728.nsf"/>
    <w:docVar w:name="fldQXXXDBPath" w:val="oak\"/>
    <w:docVar w:name="fldQxxxFileName" w:val="zdfawen.doc"/>
    <w:docVar w:name="fldQXXXID" w:val="44C136FFC2427C5F4825763B002109C7"/>
    <w:docVar w:name="fldQxxxItemName" w:val="fldZDFaWen"/>
    <w:docVar w:name="fldQXXXserver" w:val="CN=GEPHQ01APD/OU=servers/O=Geph"/>
    <w:docVar w:name="Temp" w:val="over"/>
  </w:docVars>
  <w:rsids>
    <w:rsidRoot w:val="00172A27"/>
    <w:rsid w:val="0000369A"/>
    <w:rsid w:val="00003BC9"/>
    <w:rsid w:val="0000437A"/>
    <w:rsid w:val="00005621"/>
    <w:rsid w:val="00013273"/>
    <w:rsid w:val="0001424F"/>
    <w:rsid w:val="000155E4"/>
    <w:rsid w:val="00016F48"/>
    <w:rsid w:val="00020AB7"/>
    <w:rsid w:val="00022391"/>
    <w:rsid w:val="000241C1"/>
    <w:rsid w:val="00025241"/>
    <w:rsid w:val="00030839"/>
    <w:rsid w:val="00033CF4"/>
    <w:rsid w:val="000365CC"/>
    <w:rsid w:val="000375C0"/>
    <w:rsid w:val="0004194D"/>
    <w:rsid w:val="00061D99"/>
    <w:rsid w:val="00063B69"/>
    <w:rsid w:val="000661DC"/>
    <w:rsid w:val="000667FC"/>
    <w:rsid w:val="000678F6"/>
    <w:rsid w:val="00071D77"/>
    <w:rsid w:val="00074AC7"/>
    <w:rsid w:val="000829EF"/>
    <w:rsid w:val="0008410A"/>
    <w:rsid w:val="000976A0"/>
    <w:rsid w:val="000A0296"/>
    <w:rsid w:val="000A4012"/>
    <w:rsid w:val="000A4C92"/>
    <w:rsid w:val="000C0162"/>
    <w:rsid w:val="000C3E5E"/>
    <w:rsid w:val="000C6498"/>
    <w:rsid w:val="000D13F5"/>
    <w:rsid w:val="000D637B"/>
    <w:rsid w:val="000E37F1"/>
    <w:rsid w:val="000E4ACC"/>
    <w:rsid w:val="000E4D37"/>
    <w:rsid w:val="000F2863"/>
    <w:rsid w:val="000F5E0F"/>
    <w:rsid w:val="0010090A"/>
    <w:rsid w:val="00125AF2"/>
    <w:rsid w:val="00131204"/>
    <w:rsid w:val="001322F6"/>
    <w:rsid w:val="00132A66"/>
    <w:rsid w:val="0013507F"/>
    <w:rsid w:val="00135A9E"/>
    <w:rsid w:val="001366E5"/>
    <w:rsid w:val="00136B13"/>
    <w:rsid w:val="0014377B"/>
    <w:rsid w:val="00147037"/>
    <w:rsid w:val="00154BFD"/>
    <w:rsid w:val="00154E43"/>
    <w:rsid w:val="001633AE"/>
    <w:rsid w:val="00163C22"/>
    <w:rsid w:val="0017168A"/>
    <w:rsid w:val="00172A27"/>
    <w:rsid w:val="00172E3C"/>
    <w:rsid w:val="00176BBB"/>
    <w:rsid w:val="00177A0B"/>
    <w:rsid w:val="001823C2"/>
    <w:rsid w:val="001A5270"/>
    <w:rsid w:val="001A5B39"/>
    <w:rsid w:val="001B41A1"/>
    <w:rsid w:val="001C06C2"/>
    <w:rsid w:val="001C4839"/>
    <w:rsid w:val="001C72FA"/>
    <w:rsid w:val="001D330F"/>
    <w:rsid w:val="001D36C8"/>
    <w:rsid w:val="001D4EE8"/>
    <w:rsid w:val="001D4F4B"/>
    <w:rsid w:val="001D5E6B"/>
    <w:rsid w:val="001D77CD"/>
    <w:rsid w:val="001E119F"/>
    <w:rsid w:val="001F0EA2"/>
    <w:rsid w:val="001F3A69"/>
    <w:rsid w:val="00201657"/>
    <w:rsid w:val="00203D14"/>
    <w:rsid w:val="00204A77"/>
    <w:rsid w:val="00217F17"/>
    <w:rsid w:val="00220427"/>
    <w:rsid w:val="002211FB"/>
    <w:rsid w:val="0022337F"/>
    <w:rsid w:val="002269A4"/>
    <w:rsid w:val="00241450"/>
    <w:rsid w:val="002421C2"/>
    <w:rsid w:val="00243575"/>
    <w:rsid w:val="00247400"/>
    <w:rsid w:val="00254B61"/>
    <w:rsid w:val="00257449"/>
    <w:rsid w:val="00257CF9"/>
    <w:rsid w:val="00272849"/>
    <w:rsid w:val="00293530"/>
    <w:rsid w:val="00294592"/>
    <w:rsid w:val="00295F6E"/>
    <w:rsid w:val="002A1C16"/>
    <w:rsid w:val="002A4171"/>
    <w:rsid w:val="002B4723"/>
    <w:rsid w:val="002C36A4"/>
    <w:rsid w:val="002C7971"/>
    <w:rsid w:val="002D0A48"/>
    <w:rsid w:val="002D15CA"/>
    <w:rsid w:val="002D2544"/>
    <w:rsid w:val="002E623A"/>
    <w:rsid w:val="002F1A36"/>
    <w:rsid w:val="0030091E"/>
    <w:rsid w:val="00303F10"/>
    <w:rsid w:val="00304F81"/>
    <w:rsid w:val="00306200"/>
    <w:rsid w:val="00306E80"/>
    <w:rsid w:val="003071AA"/>
    <w:rsid w:val="00311F9F"/>
    <w:rsid w:val="00316CE1"/>
    <w:rsid w:val="003202C8"/>
    <w:rsid w:val="00323F84"/>
    <w:rsid w:val="00323FC2"/>
    <w:rsid w:val="00333C1F"/>
    <w:rsid w:val="003360AC"/>
    <w:rsid w:val="00342A4A"/>
    <w:rsid w:val="00351BBE"/>
    <w:rsid w:val="00352740"/>
    <w:rsid w:val="00356567"/>
    <w:rsid w:val="00356FD0"/>
    <w:rsid w:val="00362A49"/>
    <w:rsid w:val="003641FE"/>
    <w:rsid w:val="0037176C"/>
    <w:rsid w:val="00374AB5"/>
    <w:rsid w:val="003752C4"/>
    <w:rsid w:val="00376FEC"/>
    <w:rsid w:val="00380FC2"/>
    <w:rsid w:val="003833F1"/>
    <w:rsid w:val="00386A62"/>
    <w:rsid w:val="00387434"/>
    <w:rsid w:val="00391E16"/>
    <w:rsid w:val="00393C59"/>
    <w:rsid w:val="003960E2"/>
    <w:rsid w:val="003A0A01"/>
    <w:rsid w:val="003A145F"/>
    <w:rsid w:val="003A4695"/>
    <w:rsid w:val="003A4DDA"/>
    <w:rsid w:val="003A60EB"/>
    <w:rsid w:val="003B0FE3"/>
    <w:rsid w:val="003C3D6F"/>
    <w:rsid w:val="003E2FB5"/>
    <w:rsid w:val="003E40A2"/>
    <w:rsid w:val="003F2504"/>
    <w:rsid w:val="003F63D0"/>
    <w:rsid w:val="003F7D3F"/>
    <w:rsid w:val="00403039"/>
    <w:rsid w:val="004033B8"/>
    <w:rsid w:val="00422E71"/>
    <w:rsid w:val="00425E13"/>
    <w:rsid w:val="0043169D"/>
    <w:rsid w:val="00442DAC"/>
    <w:rsid w:val="004436B3"/>
    <w:rsid w:val="004533BB"/>
    <w:rsid w:val="00455D81"/>
    <w:rsid w:val="0045685A"/>
    <w:rsid w:val="00461417"/>
    <w:rsid w:val="004650E1"/>
    <w:rsid w:val="00465A55"/>
    <w:rsid w:val="004804B7"/>
    <w:rsid w:val="004835C6"/>
    <w:rsid w:val="00493B0B"/>
    <w:rsid w:val="00495DD6"/>
    <w:rsid w:val="004A1A4A"/>
    <w:rsid w:val="004A26F2"/>
    <w:rsid w:val="004A2A45"/>
    <w:rsid w:val="004A45C0"/>
    <w:rsid w:val="004A52B0"/>
    <w:rsid w:val="004A61AE"/>
    <w:rsid w:val="004A6257"/>
    <w:rsid w:val="004A787E"/>
    <w:rsid w:val="004B426D"/>
    <w:rsid w:val="004B698F"/>
    <w:rsid w:val="004B7111"/>
    <w:rsid w:val="004B75DE"/>
    <w:rsid w:val="004C0301"/>
    <w:rsid w:val="004C6C7E"/>
    <w:rsid w:val="004D05E5"/>
    <w:rsid w:val="004D40E1"/>
    <w:rsid w:val="004D550D"/>
    <w:rsid w:val="004E1059"/>
    <w:rsid w:val="004E24F7"/>
    <w:rsid w:val="004E2CC0"/>
    <w:rsid w:val="004E71AE"/>
    <w:rsid w:val="004E787B"/>
    <w:rsid w:val="004F1687"/>
    <w:rsid w:val="004F750B"/>
    <w:rsid w:val="00501C4B"/>
    <w:rsid w:val="00502FD2"/>
    <w:rsid w:val="00521841"/>
    <w:rsid w:val="00524F89"/>
    <w:rsid w:val="00530809"/>
    <w:rsid w:val="0053633A"/>
    <w:rsid w:val="00540552"/>
    <w:rsid w:val="00541B91"/>
    <w:rsid w:val="00542867"/>
    <w:rsid w:val="00547163"/>
    <w:rsid w:val="00547EB3"/>
    <w:rsid w:val="00550C77"/>
    <w:rsid w:val="00565296"/>
    <w:rsid w:val="005674F9"/>
    <w:rsid w:val="00573D59"/>
    <w:rsid w:val="005748C1"/>
    <w:rsid w:val="00576306"/>
    <w:rsid w:val="00576C29"/>
    <w:rsid w:val="00576D96"/>
    <w:rsid w:val="00577BB7"/>
    <w:rsid w:val="00583F04"/>
    <w:rsid w:val="00586762"/>
    <w:rsid w:val="00587549"/>
    <w:rsid w:val="00592FEF"/>
    <w:rsid w:val="005B30F7"/>
    <w:rsid w:val="005B49F3"/>
    <w:rsid w:val="005B72A7"/>
    <w:rsid w:val="005C04B5"/>
    <w:rsid w:val="005C1C26"/>
    <w:rsid w:val="005C3F8E"/>
    <w:rsid w:val="005C6641"/>
    <w:rsid w:val="005C758F"/>
    <w:rsid w:val="005D43C8"/>
    <w:rsid w:val="005D4B8E"/>
    <w:rsid w:val="005E0A5C"/>
    <w:rsid w:val="005E1381"/>
    <w:rsid w:val="005E505F"/>
    <w:rsid w:val="005E50CF"/>
    <w:rsid w:val="005E742E"/>
    <w:rsid w:val="005F002E"/>
    <w:rsid w:val="005F0EA6"/>
    <w:rsid w:val="005F63B2"/>
    <w:rsid w:val="005F663C"/>
    <w:rsid w:val="00603963"/>
    <w:rsid w:val="006043C3"/>
    <w:rsid w:val="00605C94"/>
    <w:rsid w:val="00611F40"/>
    <w:rsid w:val="00624E0F"/>
    <w:rsid w:val="006347FF"/>
    <w:rsid w:val="00635B82"/>
    <w:rsid w:val="00640659"/>
    <w:rsid w:val="00643DC6"/>
    <w:rsid w:val="006465EB"/>
    <w:rsid w:val="0064739A"/>
    <w:rsid w:val="006527C8"/>
    <w:rsid w:val="006614C4"/>
    <w:rsid w:val="00663A1A"/>
    <w:rsid w:val="00663E32"/>
    <w:rsid w:val="00664BBF"/>
    <w:rsid w:val="00666487"/>
    <w:rsid w:val="0067026F"/>
    <w:rsid w:val="006720FF"/>
    <w:rsid w:val="00674DA6"/>
    <w:rsid w:val="00684A14"/>
    <w:rsid w:val="00686CC9"/>
    <w:rsid w:val="00690C79"/>
    <w:rsid w:val="00694442"/>
    <w:rsid w:val="006A1B37"/>
    <w:rsid w:val="006A3AB5"/>
    <w:rsid w:val="006A5F24"/>
    <w:rsid w:val="006B1C3F"/>
    <w:rsid w:val="006D0766"/>
    <w:rsid w:val="006D09A5"/>
    <w:rsid w:val="006E1CFF"/>
    <w:rsid w:val="006E504C"/>
    <w:rsid w:val="006F06D7"/>
    <w:rsid w:val="006F0818"/>
    <w:rsid w:val="006F16F1"/>
    <w:rsid w:val="006F716F"/>
    <w:rsid w:val="00704FFB"/>
    <w:rsid w:val="00714366"/>
    <w:rsid w:val="00715DE1"/>
    <w:rsid w:val="00716DF2"/>
    <w:rsid w:val="00726260"/>
    <w:rsid w:val="00727E5F"/>
    <w:rsid w:val="00735174"/>
    <w:rsid w:val="0073656F"/>
    <w:rsid w:val="00737CBC"/>
    <w:rsid w:val="007410A0"/>
    <w:rsid w:val="00742999"/>
    <w:rsid w:val="007450AF"/>
    <w:rsid w:val="00754642"/>
    <w:rsid w:val="00755013"/>
    <w:rsid w:val="00756663"/>
    <w:rsid w:val="00757EB9"/>
    <w:rsid w:val="00762B2D"/>
    <w:rsid w:val="00780E41"/>
    <w:rsid w:val="0078142C"/>
    <w:rsid w:val="0078493C"/>
    <w:rsid w:val="0079120D"/>
    <w:rsid w:val="007929D8"/>
    <w:rsid w:val="00793465"/>
    <w:rsid w:val="007A310B"/>
    <w:rsid w:val="007A7100"/>
    <w:rsid w:val="007B24B8"/>
    <w:rsid w:val="007B6C7B"/>
    <w:rsid w:val="007C069B"/>
    <w:rsid w:val="007C1BD8"/>
    <w:rsid w:val="007D6389"/>
    <w:rsid w:val="00806471"/>
    <w:rsid w:val="008066D6"/>
    <w:rsid w:val="00815540"/>
    <w:rsid w:val="008241BB"/>
    <w:rsid w:val="008260EC"/>
    <w:rsid w:val="0083007F"/>
    <w:rsid w:val="008352AA"/>
    <w:rsid w:val="0083788E"/>
    <w:rsid w:val="00845973"/>
    <w:rsid w:val="00846AA2"/>
    <w:rsid w:val="00860200"/>
    <w:rsid w:val="00861C16"/>
    <w:rsid w:val="008620D3"/>
    <w:rsid w:val="00863C96"/>
    <w:rsid w:val="00870AD3"/>
    <w:rsid w:val="00875D55"/>
    <w:rsid w:val="00883972"/>
    <w:rsid w:val="00886FF0"/>
    <w:rsid w:val="00887CEC"/>
    <w:rsid w:val="0089316A"/>
    <w:rsid w:val="0089739E"/>
    <w:rsid w:val="008A1B26"/>
    <w:rsid w:val="008A200A"/>
    <w:rsid w:val="008A26C4"/>
    <w:rsid w:val="008A3D30"/>
    <w:rsid w:val="008A5A2F"/>
    <w:rsid w:val="008A67A8"/>
    <w:rsid w:val="008B2B92"/>
    <w:rsid w:val="008B3AC1"/>
    <w:rsid w:val="008C41D6"/>
    <w:rsid w:val="008C49EA"/>
    <w:rsid w:val="008C5401"/>
    <w:rsid w:val="008C78A2"/>
    <w:rsid w:val="008D0517"/>
    <w:rsid w:val="008D6C94"/>
    <w:rsid w:val="008D6FC5"/>
    <w:rsid w:val="008E6438"/>
    <w:rsid w:val="008F063A"/>
    <w:rsid w:val="008F617B"/>
    <w:rsid w:val="00901B92"/>
    <w:rsid w:val="0090496A"/>
    <w:rsid w:val="009103BA"/>
    <w:rsid w:val="00916536"/>
    <w:rsid w:val="009228EE"/>
    <w:rsid w:val="00926D7D"/>
    <w:rsid w:val="00930B31"/>
    <w:rsid w:val="00931100"/>
    <w:rsid w:val="00932304"/>
    <w:rsid w:val="0093639B"/>
    <w:rsid w:val="00952B0C"/>
    <w:rsid w:val="00956A42"/>
    <w:rsid w:val="00957FFE"/>
    <w:rsid w:val="009650BC"/>
    <w:rsid w:val="00965F42"/>
    <w:rsid w:val="00974013"/>
    <w:rsid w:val="00976AA9"/>
    <w:rsid w:val="00982F16"/>
    <w:rsid w:val="00991017"/>
    <w:rsid w:val="00991DBC"/>
    <w:rsid w:val="00991F09"/>
    <w:rsid w:val="00995FFE"/>
    <w:rsid w:val="009A156E"/>
    <w:rsid w:val="009A3F77"/>
    <w:rsid w:val="009A4B81"/>
    <w:rsid w:val="009A59AE"/>
    <w:rsid w:val="009C772B"/>
    <w:rsid w:val="009C7E9B"/>
    <w:rsid w:val="009D288E"/>
    <w:rsid w:val="009D5305"/>
    <w:rsid w:val="009D7B2C"/>
    <w:rsid w:val="009E1CD6"/>
    <w:rsid w:val="009E5542"/>
    <w:rsid w:val="009E6DEC"/>
    <w:rsid w:val="009F6C08"/>
    <w:rsid w:val="00A0588D"/>
    <w:rsid w:val="00A07C7E"/>
    <w:rsid w:val="00A162C5"/>
    <w:rsid w:val="00A20072"/>
    <w:rsid w:val="00A20AF2"/>
    <w:rsid w:val="00A2378A"/>
    <w:rsid w:val="00A24EBB"/>
    <w:rsid w:val="00A30EA9"/>
    <w:rsid w:val="00A35AE6"/>
    <w:rsid w:val="00A35F7A"/>
    <w:rsid w:val="00A364F4"/>
    <w:rsid w:val="00A418E6"/>
    <w:rsid w:val="00A436AB"/>
    <w:rsid w:val="00A505C9"/>
    <w:rsid w:val="00A603C4"/>
    <w:rsid w:val="00A626BE"/>
    <w:rsid w:val="00A63149"/>
    <w:rsid w:val="00A65521"/>
    <w:rsid w:val="00A719A8"/>
    <w:rsid w:val="00A73A6E"/>
    <w:rsid w:val="00A8134F"/>
    <w:rsid w:val="00A82707"/>
    <w:rsid w:val="00A82A57"/>
    <w:rsid w:val="00A835FF"/>
    <w:rsid w:val="00A92ECB"/>
    <w:rsid w:val="00AA2CBE"/>
    <w:rsid w:val="00AA46A1"/>
    <w:rsid w:val="00AB1496"/>
    <w:rsid w:val="00AB37DA"/>
    <w:rsid w:val="00AB7658"/>
    <w:rsid w:val="00AC3423"/>
    <w:rsid w:val="00AC378C"/>
    <w:rsid w:val="00AC4CBD"/>
    <w:rsid w:val="00AC524D"/>
    <w:rsid w:val="00AC7934"/>
    <w:rsid w:val="00AD6C1F"/>
    <w:rsid w:val="00AD79D3"/>
    <w:rsid w:val="00AE31C7"/>
    <w:rsid w:val="00AE39B4"/>
    <w:rsid w:val="00AE3F75"/>
    <w:rsid w:val="00AE3FEB"/>
    <w:rsid w:val="00AF2E55"/>
    <w:rsid w:val="00AF58A8"/>
    <w:rsid w:val="00AF68AC"/>
    <w:rsid w:val="00AF789D"/>
    <w:rsid w:val="00AF79E4"/>
    <w:rsid w:val="00B01F48"/>
    <w:rsid w:val="00B162B9"/>
    <w:rsid w:val="00B177F7"/>
    <w:rsid w:val="00B201C0"/>
    <w:rsid w:val="00B215B1"/>
    <w:rsid w:val="00B24223"/>
    <w:rsid w:val="00B24410"/>
    <w:rsid w:val="00B3263C"/>
    <w:rsid w:val="00B332CE"/>
    <w:rsid w:val="00B33BE6"/>
    <w:rsid w:val="00B351DE"/>
    <w:rsid w:val="00B35FC6"/>
    <w:rsid w:val="00B36049"/>
    <w:rsid w:val="00B40C90"/>
    <w:rsid w:val="00B54361"/>
    <w:rsid w:val="00B57F38"/>
    <w:rsid w:val="00B603AD"/>
    <w:rsid w:val="00B706C8"/>
    <w:rsid w:val="00B717AF"/>
    <w:rsid w:val="00B73310"/>
    <w:rsid w:val="00B77C83"/>
    <w:rsid w:val="00B82761"/>
    <w:rsid w:val="00B86ED3"/>
    <w:rsid w:val="00B90271"/>
    <w:rsid w:val="00B90F7D"/>
    <w:rsid w:val="00B91F60"/>
    <w:rsid w:val="00B9604D"/>
    <w:rsid w:val="00BA0F38"/>
    <w:rsid w:val="00BA1118"/>
    <w:rsid w:val="00BA656D"/>
    <w:rsid w:val="00BB2BCC"/>
    <w:rsid w:val="00BC548E"/>
    <w:rsid w:val="00BD2F05"/>
    <w:rsid w:val="00BD7C8A"/>
    <w:rsid w:val="00BE0F3B"/>
    <w:rsid w:val="00BE4E80"/>
    <w:rsid w:val="00BF41E6"/>
    <w:rsid w:val="00BF7A41"/>
    <w:rsid w:val="00BF7F25"/>
    <w:rsid w:val="00C00AC5"/>
    <w:rsid w:val="00C01331"/>
    <w:rsid w:val="00C10686"/>
    <w:rsid w:val="00C200AC"/>
    <w:rsid w:val="00C2052C"/>
    <w:rsid w:val="00C2098D"/>
    <w:rsid w:val="00C239B6"/>
    <w:rsid w:val="00C25FFB"/>
    <w:rsid w:val="00C33991"/>
    <w:rsid w:val="00C34795"/>
    <w:rsid w:val="00C34B44"/>
    <w:rsid w:val="00C40379"/>
    <w:rsid w:val="00C41CF3"/>
    <w:rsid w:val="00C425D0"/>
    <w:rsid w:val="00C518B3"/>
    <w:rsid w:val="00C5585D"/>
    <w:rsid w:val="00C57E58"/>
    <w:rsid w:val="00C61F69"/>
    <w:rsid w:val="00C649C7"/>
    <w:rsid w:val="00C65581"/>
    <w:rsid w:val="00C81D19"/>
    <w:rsid w:val="00C81FBA"/>
    <w:rsid w:val="00C8444B"/>
    <w:rsid w:val="00C957C8"/>
    <w:rsid w:val="00C96C27"/>
    <w:rsid w:val="00CA5B44"/>
    <w:rsid w:val="00CA669D"/>
    <w:rsid w:val="00CB225F"/>
    <w:rsid w:val="00CB5DF8"/>
    <w:rsid w:val="00CB69BD"/>
    <w:rsid w:val="00CC37CD"/>
    <w:rsid w:val="00CC4517"/>
    <w:rsid w:val="00CD0954"/>
    <w:rsid w:val="00CE3171"/>
    <w:rsid w:val="00CF5CDB"/>
    <w:rsid w:val="00D02874"/>
    <w:rsid w:val="00D0728A"/>
    <w:rsid w:val="00D10909"/>
    <w:rsid w:val="00D128C4"/>
    <w:rsid w:val="00D151EE"/>
    <w:rsid w:val="00D171E9"/>
    <w:rsid w:val="00D2068C"/>
    <w:rsid w:val="00D211FA"/>
    <w:rsid w:val="00D26CB1"/>
    <w:rsid w:val="00D3179C"/>
    <w:rsid w:val="00D3524D"/>
    <w:rsid w:val="00D44867"/>
    <w:rsid w:val="00D50238"/>
    <w:rsid w:val="00D53CE5"/>
    <w:rsid w:val="00D54434"/>
    <w:rsid w:val="00D56A80"/>
    <w:rsid w:val="00D60E56"/>
    <w:rsid w:val="00D614AD"/>
    <w:rsid w:val="00D62B77"/>
    <w:rsid w:val="00D648FC"/>
    <w:rsid w:val="00D65E93"/>
    <w:rsid w:val="00D70F81"/>
    <w:rsid w:val="00D73197"/>
    <w:rsid w:val="00D8234A"/>
    <w:rsid w:val="00D83284"/>
    <w:rsid w:val="00D87C9D"/>
    <w:rsid w:val="00D9274B"/>
    <w:rsid w:val="00D931CB"/>
    <w:rsid w:val="00D96C24"/>
    <w:rsid w:val="00D96F67"/>
    <w:rsid w:val="00DA1481"/>
    <w:rsid w:val="00DA4D82"/>
    <w:rsid w:val="00DA4F6C"/>
    <w:rsid w:val="00DD0480"/>
    <w:rsid w:val="00DD5107"/>
    <w:rsid w:val="00DE3610"/>
    <w:rsid w:val="00DE3965"/>
    <w:rsid w:val="00DE437B"/>
    <w:rsid w:val="00DF3B5B"/>
    <w:rsid w:val="00DF40A8"/>
    <w:rsid w:val="00DF7E49"/>
    <w:rsid w:val="00E00318"/>
    <w:rsid w:val="00E013F7"/>
    <w:rsid w:val="00E0603D"/>
    <w:rsid w:val="00E066FA"/>
    <w:rsid w:val="00E067AC"/>
    <w:rsid w:val="00E06D98"/>
    <w:rsid w:val="00E1026B"/>
    <w:rsid w:val="00E11B14"/>
    <w:rsid w:val="00E15CC6"/>
    <w:rsid w:val="00E2018C"/>
    <w:rsid w:val="00E31031"/>
    <w:rsid w:val="00E33293"/>
    <w:rsid w:val="00E36C2B"/>
    <w:rsid w:val="00E3752A"/>
    <w:rsid w:val="00E43E15"/>
    <w:rsid w:val="00E44283"/>
    <w:rsid w:val="00E46070"/>
    <w:rsid w:val="00E466B1"/>
    <w:rsid w:val="00E544BD"/>
    <w:rsid w:val="00E56FAD"/>
    <w:rsid w:val="00E57793"/>
    <w:rsid w:val="00E654A6"/>
    <w:rsid w:val="00E71F89"/>
    <w:rsid w:val="00E766E9"/>
    <w:rsid w:val="00E7760D"/>
    <w:rsid w:val="00E824C9"/>
    <w:rsid w:val="00E83AA1"/>
    <w:rsid w:val="00E909DB"/>
    <w:rsid w:val="00E948D0"/>
    <w:rsid w:val="00EA0622"/>
    <w:rsid w:val="00EA5886"/>
    <w:rsid w:val="00EA7B05"/>
    <w:rsid w:val="00EB09B4"/>
    <w:rsid w:val="00EB59D9"/>
    <w:rsid w:val="00EB6F0F"/>
    <w:rsid w:val="00EB7F24"/>
    <w:rsid w:val="00EC042B"/>
    <w:rsid w:val="00EC06E4"/>
    <w:rsid w:val="00EC1745"/>
    <w:rsid w:val="00EC5A37"/>
    <w:rsid w:val="00EC6FA4"/>
    <w:rsid w:val="00ED259A"/>
    <w:rsid w:val="00F026A0"/>
    <w:rsid w:val="00F04041"/>
    <w:rsid w:val="00F15929"/>
    <w:rsid w:val="00F23D41"/>
    <w:rsid w:val="00F24BF4"/>
    <w:rsid w:val="00F36CBB"/>
    <w:rsid w:val="00F371D1"/>
    <w:rsid w:val="00F42F98"/>
    <w:rsid w:val="00F453A3"/>
    <w:rsid w:val="00F45765"/>
    <w:rsid w:val="00F514CE"/>
    <w:rsid w:val="00F56CB4"/>
    <w:rsid w:val="00F60E8A"/>
    <w:rsid w:val="00F646A9"/>
    <w:rsid w:val="00F66038"/>
    <w:rsid w:val="00F66C42"/>
    <w:rsid w:val="00F7552C"/>
    <w:rsid w:val="00F76293"/>
    <w:rsid w:val="00F770D1"/>
    <w:rsid w:val="00F8122F"/>
    <w:rsid w:val="00F9710D"/>
    <w:rsid w:val="00FA06AE"/>
    <w:rsid w:val="00FA167A"/>
    <w:rsid w:val="00FA3E24"/>
    <w:rsid w:val="00FA4DE5"/>
    <w:rsid w:val="00FB4855"/>
    <w:rsid w:val="00FB5955"/>
    <w:rsid w:val="00FD2F83"/>
    <w:rsid w:val="00FD4CD9"/>
    <w:rsid w:val="00FD508A"/>
    <w:rsid w:val="00FD6122"/>
    <w:rsid w:val="00FD6CBC"/>
    <w:rsid w:val="00FD70F1"/>
    <w:rsid w:val="00FE40D8"/>
    <w:rsid w:val="00FE679C"/>
    <w:rsid w:val="00FE710B"/>
    <w:rsid w:val="00FE7E40"/>
    <w:rsid w:val="00FF080A"/>
    <w:rsid w:val="00FF0D3A"/>
    <w:rsid w:val="00FF438C"/>
    <w:rsid w:val="01002D88"/>
    <w:rsid w:val="012D44F1"/>
    <w:rsid w:val="0163461B"/>
    <w:rsid w:val="01976187"/>
    <w:rsid w:val="019A2EDE"/>
    <w:rsid w:val="01B56CA5"/>
    <w:rsid w:val="01EA423E"/>
    <w:rsid w:val="022879F9"/>
    <w:rsid w:val="022B1714"/>
    <w:rsid w:val="028B3AC1"/>
    <w:rsid w:val="028C6669"/>
    <w:rsid w:val="02950436"/>
    <w:rsid w:val="02A714F2"/>
    <w:rsid w:val="02A91969"/>
    <w:rsid w:val="02BE0466"/>
    <w:rsid w:val="02D02881"/>
    <w:rsid w:val="02F3151A"/>
    <w:rsid w:val="032952CF"/>
    <w:rsid w:val="03325A88"/>
    <w:rsid w:val="03793FF4"/>
    <w:rsid w:val="03A25603"/>
    <w:rsid w:val="03AA7EF5"/>
    <w:rsid w:val="03D37A53"/>
    <w:rsid w:val="04042D25"/>
    <w:rsid w:val="042C59C2"/>
    <w:rsid w:val="04583327"/>
    <w:rsid w:val="046A21BF"/>
    <w:rsid w:val="048A488B"/>
    <w:rsid w:val="04CE52F6"/>
    <w:rsid w:val="04F07E4E"/>
    <w:rsid w:val="04FA4895"/>
    <w:rsid w:val="050D1C32"/>
    <w:rsid w:val="05210AF0"/>
    <w:rsid w:val="052F7D10"/>
    <w:rsid w:val="0555004E"/>
    <w:rsid w:val="05691EAF"/>
    <w:rsid w:val="05BC4365"/>
    <w:rsid w:val="05E67A60"/>
    <w:rsid w:val="05F7179A"/>
    <w:rsid w:val="06093367"/>
    <w:rsid w:val="060B130A"/>
    <w:rsid w:val="061102FB"/>
    <w:rsid w:val="062812E2"/>
    <w:rsid w:val="06325DC4"/>
    <w:rsid w:val="06722155"/>
    <w:rsid w:val="06870158"/>
    <w:rsid w:val="06D72A97"/>
    <w:rsid w:val="06E357D3"/>
    <w:rsid w:val="06E74474"/>
    <w:rsid w:val="06F731A8"/>
    <w:rsid w:val="070C0E57"/>
    <w:rsid w:val="072866D5"/>
    <w:rsid w:val="074D3D12"/>
    <w:rsid w:val="07B24ED8"/>
    <w:rsid w:val="07B65A5C"/>
    <w:rsid w:val="07BD7C97"/>
    <w:rsid w:val="07D0659F"/>
    <w:rsid w:val="07E33193"/>
    <w:rsid w:val="07E67599"/>
    <w:rsid w:val="08362BCB"/>
    <w:rsid w:val="087C24CF"/>
    <w:rsid w:val="08833675"/>
    <w:rsid w:val="089B57AE"/>
    <w:rsid w:val="08AD0921"/>
    <w:rsid w:val="08BD3CE9"/>
    <w:rsid w:val="090318C7"/>
    <w:rsid w:val="090906E0"/>
    <w:rsid w:val="09326F30"/>
    <w:rsid w:val="09431C57"/>
    <w:rsid w:val="095D7858"/>
    <w:rsid w:val="09732581"/>
    <w:rsid w:val="098950AB"/>
    <w:rsid w:val="09B82B1C"/>
    <w:rsid w:val="09BC3307"/>
    <w:rsid w:val="09BD6FC1"/>
    <w:rsid w:val="09C37FB4"/>
    <w:rsid w:val="09E0595A"/>
    <w:rsid w:val="09E83D5E"/>
    <w:rsid w:val="09EA4F85"/>
    <w:rsid w:val="0A006A10"/>
    <w:rsid w:val="0A387EEF"/>
    <w:rsid w:val="0A3D1CBC"/>
    <w:rsid w:val="0A4E3F00"/>
    <w:rsid w:val="0A551BF3"/>
    <w:rsid w:val="0A625452"/>
    <w:rsid w:val="0A68239A"/>
    <w:rsid w:val="0A942ECB"/>
    <w:rsid w:val="0A9E3E7E"/>
    <w:rsid w:val="0AE51BC1"/>
    <w:rsid w:val="0AE60654"/>
    <w:rsid w:val="0AEF162F"/>
    <w:rsid w:val="0AF5033D"/>
    <w:rsid w:val="0AF87F79"/>
    <w:rsid w:val="0B115CA1"/>
    <w:rsid w:val="0B424C57"/>
    <w:rsid w:val="0B9E3E05"/>
    <w:rsid w:val="0BA26B89"/>
    <w:rsid w:val="0BBE4162"/>
    <w:rsid w:val="0BBFCF69"/>
    <w:rsid w:val="0BDB60AE"/>
    <w:rsid w:val="0BE45398"/>
    <w:rsid w:val="0BF43779"/>
    <w:rsid w:val="0C0071A1"/>
    <w:rsid w:val="0C3E7FE9"/>
    <w:rsid w:val="0C5362B5"/>
    <w:rsid w:val="0C5D2CD3"/>
    <w:rsid w:val="0C766BED"/>
    <w:rsid w:val="0C8A2C23"/>
    <w:rsid w:val="0C9E138E"/>
    <w:rsid w:val="0CA512B7"/>
    <w:rsid w:val="0CC31A08"/>
    <w:rsid w:val="0CCA4BFC"/>
    <w:rsid w:val="0CDA4A9D"/>
    <w:rsid w:val="0CE952B1"/>
    <w:rsid w:val="0CE96D62"/>
    <w:rsid w:val="0CEF1A4A"/>
    <w:rsid w:val="0D0228D7"/>
    <w:rsid w:val="0D211FA9"/>
    <w:rsid w:val="0D21698A"/>
    <w:rsid w:val="0D220B04"/>
    <w:rsid w:val="0D2F5D97"/>
    <w:rsid w:val="0D6A2220"/>
    <w:rsid w:val="0D734A1C"/>
    <w:rsid w:val="0D7E92B6"/>
    <w:rsid w:val="0DE7599C"/>
    <w:rsid w:val="0DEE6D19"/>
    <w:rsid w:val="0E07141A"/>
    <w:rsid w:val="0E496FC1"/>
    <w:rsid w:val="0E5D0D26"/>
    <w:rsid w:val="0E8E3B6F"/>
    <w:rsid w:val="0ECC6028"/>
    <w:rsid w:val="0EE136B9"/>
    <w:rsid w:val="0EE13D80"/>
    <w:rsid w:val="0EED40AF"/>
    <w:rsid w:val="0F196698"/>
    <w:rsid w:val="0F7D5940"/>
    <w:rsid w:val="0F9852CB"/>
    <w:rsid w:val="0F9C0875"/>
    <w:rsid w:val="0FC8371E"/>
    <w:rsid w:val="0FFD2D7C"/>
    <w:rsid w:val="0FFF3886"/>
    <w:rsid w:val="10292681"/>
    <w:rsid w:val="103E4420"/>
    <w:rsid w:val="10602E51"/>
    <w:rsid w:val="106054B9"/>
    <w:rsid w:val="106174B0"/>
    <w:rsid w:val="107136F4"/>
    <w:rsid w:val="10B2159E"/>
    <w:rsid w:val="10B37376"/>
    <w:rsid w:val="10B50060"/>
    <w:rsid w:val="10C272BF"/>
    <w:rsid w:val="10E436DE"/>
    <w:rsid w:val="10E87D56"/>
    <w:rsid w:val="10ED0AE4"/>
    <w:rsid w:val="1124702B"/>
    <w:rsid w:val="116628FA"/>
    <w:rsid w:val="1167185F"/>
    <w:rsid w:val="118312D7"/>
    <w:rsid w:val="11892464"/>
    <w:rsid w:val="11DB78CB"/>
    <w:rsid w:val="11E144FB"/>
    <w:rsid w:val="120035E9"/>
    <w:rsid w:val="12537080"/>
    <w:rsid w:val="127679F1"/>
    <w:rsid w:val="12AA3EB6"/>
    <w:rsid w:val="12C35C33"/>
    <w:rsid w:val="12E214CB"/>
    <w:rsid w:val="13692A10"/>
    <w:rsid w:val="137432E2"/>
    <w:rsid w:val="13880854"/>
    <w:rsid w:val="13B21AC8"/>
    <w:rsid w:val="13C261B4"/>
    <w:rsid w:val="140401B7"/>
    <w:rsid w:val="14125C26"/>
    <w:rsid w:val="141814EE"/>
    <w:rsid w:val="14316BFC"/>
    <w:rsid w:val="14364AE8"/>
    <w:rsid w:val="14407B72"/>
    <w:rsid w:val="14450D7D"/>
    <w:rsid w:val="1468250F"/>
    <w:rsid w:val="149C7278"/>
    <w:rsid w:val="14AB6363"/>
    <w:rsid w:val="14B54013"/>
    <w:rsid w:val="14BD7F6D"/>
    <w:rsid w:val="14D1303C"/>
    <w:rsid w:val="14E345D1"/>
    <w:rsid w:val="14E62475"/>
    <w:rsid w:val="14E632DA"/>
    <w:rsid w:val="14EE36DE"/>
    <w:rsid w:val="15022B18"/>
    <w:rsid w:val="155354EC"/>
    <w:rsid w:val="155B5882"/>
    <w:rsid w:val="157E14B3"/>
    <w:rsid w:val="15917488"/>
    <w:rsid w:val="15C24923"/>
    <w:rsid w:val="15C733BD"/>
    <w:rsid w:val="16002CEE"/>
    <w:rsid w:val="161B7EE4"/>
    <w:rsid w:val="16222EA0"/>
    <w:rsid w:val="16516DB5"/>
    <w:rsid w:val="16605067"/>
    <w:rsid w:val="16D210EF"/>
    <w:rsid w:val="16FD2CFF"/>
    <w:rsid w:val="170934C8"/>
    <w:rsid w:val="170C6DC5"/>
    <w:rsid w:val="171A64C3"/>
    <w:rsid w:val="17333066"/>
    <w:rsid w:val="174921DF"/>
    <w:rsid w:val="17564A30"/>
    <w:rsid w:val="17578FA8"/>
    <w:rsid w:val="176934AD"/>
    <w:rsid w:val="1775423D"/>
    <w:rsid w:val="17755019"/>
    <w:rsid w:val="177F48E5"/>
    <w:rsid w:val="17803F9A"/>
    <w:rsid w:val="17AF7E47"/>
    <w:rsid w:val="18256FFC"/>
    <w:rsid w:val="184E0CEC"/>
    <w:rsid w:val="186739AB"/>
    <w:rsid w:val="187B1656"/>
    <w:rsid w:val="187B2F24"/>
    <w:rsid w:val="18935F5E"/>
    <w:rsid w:val="18AC43FD"/>
    <w:rsid w:val="18C57A32"/>
    <w:rsid w:val="18D26F37"/>
    <w:rsid w:val="193B3635"/>
    <w:rsid w:val="19A07079"/>
    <w:rsid w:val="19B2281F"/>
    <w:rsid w:val="19C41B53"/>
    <w:rsid w:val="19E93F70"/>
    <w:rsid w:val="19EA3894"/>
    <w:rsid w:val="1A0C0586"/>
    <w:rsid w:val="1A107DFA"/>
    <w:rsid w:val="1A110D24"/>
    <w:rsid w:val="1A1B3368"/>
    <w:rsid w:val="1A5C04D4"/>
    <w:rsid w:val="1A8D4029"/>
    <w:rsid w:val="1A9C25E0"/>
    <w:rsid w:val="1AA061B9"/>
    <w:rsid w:val="1ABA18DE"/>
    <w:rsid w:val="1ABF24C2"/>
    <w:rsid w:val="1AF65748"/>
    <w:rsid w:val="1B22750F"/>
    <w:rsid w:val="1B336016"/>
    <w:rsid w:val="1B831461"/>
    <w:rsid w:val="1BE55D51"/>
    <w:rsid w:val="1BF44559"/>
    <w:rsid w:val="1BFDCAC4"/>
    <w:rsid w:val="1C234812"/>
    <w:rsid w:val="1C696F58"/>
    <w:rsid w:val="1C776245"/>
    <w:rsid w:val="1C834C39"/>
    <w:rsid w:val="1CA1639E"/>
    <w:rsid w:val="1CAB3196"/>
    <w:rsid w:val="1CBFC0AD"/>
    <w:rsid w:val="1CC77DFD"/>
    <w:rsid w:val="1CD53A47"/>
    <w:rsid w:val="1CEB225E"/>
    <w:rsid w:val="1CFA36AC"/>
    <w:rsid w:val="1D0770EE"/>
    <w:rsid w:val="1D0D5EFC"/>
    <w:rsid w:val="1D51616A"/>
    <w:rsid w:val="1D546A6B"/>
    <w:rsid w:val="1D78143D"/>
    <w:rsid w:val="1D9B163D"/>
    <w:rsid w:val="1D9B508C"/>
    <w:rsid w:val="1D9D3348"/>
    <w:rsid w:val="1DB23D88"/>
    <w:rsid w:val="1DC67A05"/>
    <w:rsid w:val="1DED9FE1"/>
    <w:rsid w:val="1E113961"/>
    <w:rsid w:val="1E1A27B2"/>
    <w:rsid w:val="1E2B271A"/>
    <w:rsid w:val="1E3B6775"/>
    <w:rsid w:val="1E3F1EDF"/>
    <w:rsid w:val="1E410165"/>
    <w:rsid w:val="1E4835D4"/>
    <w:rsid w:val="1E663B03"/>
    <w:rsid w:val="1E6D4F53"/>
    <w:rsid w:val="1E8E3FAF"/>
    <w:rsid w:val="1EA57B0E"/>
    <w:rsid w:val="1EAE3340"/>
    <w:rsid w:val="1EBB1291"/>
    <w:rsid w:val="1ECA6189"/>
    <w:rsid w:val="1EEB3DD2"/>
    <w:rsid w:val="1F465426"/>
    <w:rsid w:val="1F66421E"/>
    <w:rsid w:val="1F7D4A52"/>
    <w:rsid w:val="1F7FDC3E"/>
    <w:rsid w:val="1F946C5E"/>
    <w:rsid w:val="1FB8B71F"/>
    <w:rsid w:val="1FCDCD82"/>
    <w:rsid w:val="1FCE7056"/>
    <w:rsid w:val="1FD23D6C"/>
    <w:rsid w:val="1FE357F9"/>
    <w:rsid w:val="1FEFEA4C"/>
    <w:rsid w:val="1FFBEA77"/>
    <w:rsid w:val="20171AA3"/>
    <w:rsid w:val="203474BF"/>
    <w:rsid w:val="20464C58"/>
    <w:rsid w:val="207872B1"/>
    <w:rsid w:val="209305D6"/>
    <w:rsid w:val="20937670"/>
    <w:rsid w:val="209E4F65"/>
    <w:rsid w:val="20A16781"/>
    <w:rsid w:val="20BC33C2"/>
    <w:rsid w:val="20BE79AA"/>
    <w:rsid w:val="20DB0FD4"/>
    <w:rsid w:val="211B39F2"/>
    <w:rsid w:val="212C1039"/>
    <w:rsid w:val="213C0B5C"/>
    <w:rsid w:val="2196398C"/>
    <w:rsid w:val="21B120E3"/>
    <w:rsid w:val="21C71012"/>
    <w:rsid w:val="21F87211"/>
    <w:rsid w:val="21FC22AE"/>
    <w:rsid w:val="220060D2"/>
    <w:rsid w:val="22261BE1"/>
    <w:rsid w:val="224736E6"/>
    <w:rsid w:val="2254368D"/>
    <w:rsid w:val="2268126C"/>
    <w:rsid w:val="226F58DE"/>
    <w:rsid w:val="22725BCE"/>
    <w:rsid w:val="22D91665"/>
    <w:rsid w:val="22E16F8C"/>
    <w:rsid w:val="22EF1185"/>
    <w:rsid w:val="2335655E"/>
    <w:rsid w:val="235513F0"/>
    <w:rsid w:val="23633FA8"/>
    <w:rsid w:val="2363679C"/>
    <w:rsid w:val="23A754CD"/>
    <w:rsid w:val="23F7027D"/>
    <w:rsid w:val="241B7329"/>
    <w:rsid w:val="2432177A"/>
    <w:rsid w:val="243333EC"/>
    <w:rsid w:val="24344044"/>
    <w:rsid w:val="24344325"/>
    <w:rsid w:val="243F128D"/>
    <w:rsid w:val="245D4BCA"/>
    <w:rsid w:val="248A5E01"/>
    <w:rsid w:val="24AD6D6B"/>
    <w:rsid w:val="24CC66AD"/>
    <w:rsid w:val="251C27EF"/>
    <w:rsid w:val="25537D26"/>
    <w:rsid w:val="256B2396"/>
    <w:rsid w:val="25A577BB"/>
    <w:rsid w:val="25CA25DA"/>
    <w:rsid w:val="25ED7DA6"/>
    <w:rsid w:val="25F560F9"/>
    <w:rsid w:val="26090FE6"/>
    <w:rsid w:val="26134BFA"/>
    <w:rsid w:val="26251888"/>
    <w:rsid w:val="262C3EBB"/>
    <w:rsid w:val="262F027A"/>
    <w:rsid w:val="26320418"/>
    <w:rsid w:val="264D333B"/>
    <w:rsid w:val="26C276FA"/>
    <w:rsid w:val="26D91BBE"/>
    <w:rsid w:val="27093F3C"/>
    <w:rsid w:val="273C4E85"/>
    <w:rsid w:val="274A2B7F"/>
    <w:rsid w:val="274D1E5F"/>
    <w:rsid w:val="274F2EE1"/>
    <w:rsid w:val="27724B17"/>
    <w:rsid w:val="278032AA"/>
    <w:rsid w:val="278F6978"/>
    <w:rsid w:val="27AD1652"/>
    <w:rsid w:val="27DD31D6"/>
    <w:rsid w:val="27EB5691"/>
    <w:rsid w:val="280E3EEA"/>
    <w:rsid w:val="281302FD"/>
    <w:rsid w:val="285F3B67"/>
    <w:rsid w:val="289C05DD"/>
    <w:rsid w:val="289F3243"/>
    <w:rsid w:val="28A632AB"/>
    <w:rsid w:val="28B576FB"/>
    <w:rsid w:val="28CA650E"/>
    <w:rsid w:val="28D23A10"/>
    <w:rsid w:val="28DA2647"/>
    <w:rsid w:val="291657D9"/>
    <w:rsid w:val="291D048C"/>
    <w:rsid w:val="292227F3"/>
    <w:rsid w:val="29256FD9"/>
    <w:rsid w:val="292C54D5"/>
    <w:rsid w:val="29385AE4"/>
    <w:rsid w:val="29387373"/>
    <w:rsid w:val="29434DDF"/>
    <w:rsid w:val="29795BE6"/>
    <w:rsid w:val="298D5D7F"/>
    <w:rsid w:val="299324D9"/>
    <w:rsid w:val="29962EF6"/>
    <w:rsid w:val="29A42DAF"/>
    <w:rsid w:val="29BB1B3C"/>
    <w:rsid w:val="29E91BDD"/>
    <w:rsid w:val="2A0B49BE"/>
    <w:rsid w:val="2A0E0F54"/>
    <w:rsid w:val="2A5C77A6"/>
    <w:rsid w:val="2A707ABF"/>
    <w:rsid w:val="2A905ABB"/>
    <w:rsid w:val="2A9C47D3"/>
    <w:rsid w:val="2AD94EDC"/>
    <w:rsid w:val="2AE330C5"/>
    <w:rsid w:val="2AE862B7"/>
    <w:rsid w:val="2B1BF4AE"/>
    <w:rsid w:val="2B482320"/>
    <w:rsid w:val="2BBA2EF0"/>
    <w:rsid w:val="2BD30AF4"/>
    <w:rsid w:val="2BE22608"/>
    <w:rsid w:val="2BFF741E"/>
    <w:rsid w:val="2C146A9E"/>
    <w:rsid w:val="2C1646E8"/>
    <w:rsid w:val="2C16604C"/>
    <w:rsid w:val="2C197BFF"/>
    <w:rsid w:val="2C3757FD"/>
    <w:rsid w:val="2C5E3F98"/>
    <w:rsid w:val="2C6B5B24"/>
    <w:rsid w:val="2C7F83EA"/>
    <w:rsid w:val="2C9E6C09"/>
    <w:rsid w:val="2CAB60F3"/>
    <w:rsid w:val="2CB12DAD"/>
    <w:rsid w:val="2CB433FC"/>
    <w:rsid w:val="2CBD63EE"/>
    <w:rsid w:val="2D1C1D90"/>
    <w:rsid w:val="2D1F2403"/>
    <w:rsid w:val="2D510F65"/>
    <w:rsid w:val="2D5E1481"/>
    <w:rsid w:val="2D6A0067"/>
    <w:rsid w:val="2DB57FA1"/>
    <w:rsid w:val="2DC56D26"/>
    <w:rsid w:val="2DCF4C1A"/>
    <w:rsid w:val="2E35323E"/>
    <w:rsid w:val="2E6846FA"/>
    <w:rsid w:val="2E8345A7"/>
    <w:rsid w:val="2E8F2D0C"/>
    <w:rsid w:val="2EA35A90"/>
    <w:rsid w:val="2EB81B39"/>
    <w:rsid w:val="2ED642A3"/>
    <w:rsid w:val="2EF311E1"/>
    <w:rsid w:val="2F0D2697"/>
    <w:rsid w:val="2F244248"/>
    <w:rsid w:val="2F561E20"/>
    <w:rsid w:val="2F6F036D"/>
    <w:rsid w:val="2F805CBD"/>
    <w:rsid w:val="2F8677F8"/>
    <w:rsid w:val="2F87EA24"/>
    <w:rsid w:val="2FDB13BC"/>
    <w:rsid w:val="2FF23395"/>
    <w:rsid w:val="300D7F15"/>
    <w:rsid w:val="300F3517"/>
    <w:rsid w:val="301017C3"/>
    <w:rsid w:val="30726BC4"/>
    <w:rsid w:val="30824D35"/>
    <w:rsid w:val="30BE3A3C"/>
    <w:rsid w:val="30C7315D"/>
    <w:rsid w:val="30E46F45"/>
    <w:rsid w:val="30E56F17"/>
    <w:rsid w:val="30E70CE4"/>
    <w:rsid w:val="30F12EFB"/>
    <w:rsid w:val="310A6AC6"/>
    <w:rsid w:val="31576BA0"/>
    <w:rsid w:val="31726C8F"/>
    <w:rsid w:val="31913908"/>
    <w:rsid w:val="31942C0A"/>
    <w:rsid w:val="319722C6"/>
    <w:rsid w:val="31CA6C73"/>
    <w:rsid w:val="31D30BB7"/>
    <w:rsid w:val="320B4C68"/>
    <w:rsid w:val="320C0188"/>
    <w:rsid w:val="32480412"/>
    <w:rsid w:val="327078E5"/>
    <w:rsid w:val="328834DD"/>
    <w:rsid w:val="32940808"/>
    <w:rsid w:val="32C26FA9"/>
    <w:rsid w:val="32CB4C68"/>
    <w:rsid w:val="32CC5508"/>
    <w:rsid w:val="32D30343"/>
    <w:rsid w:val="32DC448C"/>
    <w:rsid w:val="32E323EB"/>
    <w:rsid w:val="32F3311D"/>
    <w:rsid w:val="332D0DF4"/>
    <w:rsid w:val="334409F0"/>
    <w:rsid w:val="335A66D9"/>
    <w:rsid w:val="336C7767"/>
    <w:rsid w:val="33A26C05"/>
    <w:rsid w:val="33AA1364"/>
    <w:rsid w:val="33B739EB"/>
    <w:rsid w:val="33B995B8"/>
    <w:rsid w:val="33BB3E6D"/>
    <w:rsid w:val="33E06FB8"/>
    <w:rsid w:val="34095CFB"/>
    <w:rsid w:val="340D3A05"/>
    <w:rsid w:val="34291DCB"/>
    <w:rsid w:val="34474DD2"/>
    <w:rsid w:val="344B17C4"/>
    <w:rsid w:val="344D7FF9"/>
    <w:rsid w:val="34995709"/>
    <w:rsid w:val="34D92AF3"/>
    <w:rsid w:val="351E6CFC"/>
    <w:rsid w:val="352D36C6"/>
    <w:rsid w:val="353811F3"/>
    <w:rsid w:val="35494579"/>
    <w:rsid w:val="355035D6"/>
    <w:rsid w:val="355BACD4"/>
    <w:rsid w:val="3564664C"/>
    <w:rsid w:val="35710841"/>
    <w:rsid w:val="35DB4D03"/>
    <w:rsid w:val="35E451E3"/>
    <w:rsid w:val="35FA4268"/>
    <w:rsid w:val="35FDA590"/>
    <w:rsid w:val="35FE1E60"/>
    <w:rsid w:val="362E0920"/>
    <w:rsid w:val="36391A1A"/>
    <w:rsid w:val="363C1647"/>
    <w:rsid w:val="363C73A8"/>
    <w:rsid w:val="363E78E2"/>
    <w:rsid w:val="367643DB"/>
    <w:rsid w:val="367934FE"/>
    <w:rsid w:val="368A5919"/>
    <w:rsid w:val="36A25A6B"/>
    <w:rsid w:val="36AE60CA"/>
    <w:rsid w:val="36C57385"/>
    <w:rsid w:val="371535DD"/>
    <w:rsid w:val="37193A4D"/>
    <w:rsid w:val="37273DD1"/>
    <w:rsid w:val="37682591"/>
    <w:rsid w:val="376A7A76"/>
    <w:rsid w:val="37835C1E"/>
    <w:rsid w:val="379C4F26"/>
    <w:rsid w:val="37A4179C"/>
    <w:rsid w:val="37AD4B01"/>
    <w:rsid w:val="37AE35A6"/>
    <w:rsid w:val="37C73147"/>
    <w:rsid w:val="37E057C2"/>
    <w:rsid w:val="37E90433"/>
    <w:rsid w:val="37F90E9F"/>
    <w:rsid w:val="3809783C"/>
    <w:rsid w:val="383E04A5"/>
    <w:rsid w:val="38766F0F"/>
    <w:rsid w:val="38B83CB3"/>
    <w:rsid w:val="38BB6DFF"/>
    <w:rsid w:val="38C31DA6"/>
    <w:rsid w:val="38E27DF4"/>
    <w:rsid w:val="38ED1654"/>
    <w:rsid w:val="39054216"/>
    <w:rsid w:val="39141B8D"/>
    <w:rsid w:val="39370065"/>
    <w:rsid w:val="396F564B"/>
    <w:rsid w:val="398868B3"/>
    <w:rsid w:val="399D07E0"/>
    <w:rsid w:val="39B37F8A"/>
    <w:rsid w:val="39B57AF8"/>
    <w:rsid w:val="39C0349E"/>
    <w:rsid w:val="39D956EC"/>
    <w:rsid w:val="39E34209"/>
    <w:rsid w:val="3A0E31C3"/>
    <w:rsid w:val="3A1C7AD2"/>
    <w:rsid w:val="3A7F35C7"/>
    <w:rsid w:val="3A832F5C"/>
    <w:rsid w:val="3A866FC5"/>
    <w:rsid w:val="3A9A2B79"/>
    <w:rsid w:val="3ABD202A"/>
    <w:rsid w:val="3ADED05C"/>
    <w:rsid w:val="3AF17754"/>
    <w:rsid w:val="3B14087D"/>
    <w:rsid w:val="3B161D2D"/>
    <w:rsid w:val="3B19332B"/>
    <w:rsid w:val="3B197E1F"/>
    <w:rsid w:val="3B4B4294"/>
    <w:rsid w:val="3B4B5AFF"/>
    <w:rsid w:val="3B583A94"/>
    <w:rsid w:val="3B6169C8"/>
    <w:rsid w:val="3B6A5D88"/>
    <w:rsid w:val="3B7C6829"/>
    <w:rsid w:val="3BB7CEB9"/>
    <w:rsid w:val="3BEA5044"/>
    <w:rsid w:val="3C083E49"/>
    <w:rsid w:val="3C0A4079"/>
    <w:rsid w:val="3C111A19"/>
    <w:rsid w:val="3C2D4F53"/>
    <w:rsid w:val="3C52315C"/>
    <w:rsid w:val="3CC82C16"/>
    <w:rsid w:val="3CD31057"/>
    <w:rsid w:val="3D1146E8"/>
    <w:rsid w:val="3D145299"/>
    <w:rsid w:val="3D1C4662"/>
    <w:rsid w:val="3D48075F"/>
    <w:rsid w:val="3D4D11DA"/>
    <w:rsid w:val="3D5FEFF2"/>
    <w:rsid w:val="3DD368C5"/>
    <w:rsid w:val="3DE78146"/>
    <w:rsid w:val="3E0569D1"/>
    <w:rsid w:val="3E1E1916"/>
    <w:rsid w:val="3E303E35"/>
    <w:rsid w:val="3E3A2A39"/>
    <w:rsid w:val="3E5FA9C8"/>
    <w:rsid w:val="3E6BD6BA"/>
    <w:rsid w:val="3E797E9B"/>
    <w:rsid w:val="3E9514E9"/>
    <w:rsid w:val="3EA550B7"/>
    <w:rsid w:val="3EA61813"/>
    <w:rsid w:val="3EB32338"/>
    <w:rsid w:val="3EC6258B"/>
    <w:rsid w:val="3EF0527D"/>
    <w:rsid w:val="3EF637F9"/>
    <w:rsid w:val="3EFBC43B"/>
    <w:rsid w:val="3F092BE0"/>
    <w:rsid w:val="3F1276C3"/>
    <w:rsid w:val="3F3E7A73"/>
    <w:rsid w:val="3F3F4CAE"/>
    <w:rsid w:val="3F5A7C68"/>
    <w:rsid w:val="3F5E751A"/>
    <w:rsid w:val="3F5EF150"/>
    <w:rsid w:val="3F6F1681"/>
    <w:rsid w:val="3F781761"/>
    <w:rsid w:val="3F8730FE"/>
    <w:rsid w:val="3F9E0A7F"/>
    <w:rsid w:val="3FA5B208"/>
    <w:rsid w:val="3FBE7107"/>
    <w:rsid w:val="3FEED0FE"/>
    <w:rsid w:val="3FF7BCFA"/>
    <w:rsid w:val="3FF979AB"/>
    <w:rsid w:val="3FFB5C1E"/>
    <w:rsid w:val="3FFBA270"/>
    <w:rsid w:val="40023BE4"/>
    <w:rsid w:val="40254D2E"/>
    <w:rsid w:val="40305D73"/>
    <w:rsid w:val="403C5DD4"/>
    <w:rsid w:val="4060796E"/>
    <w:rsid w:val="40685584"/>
    <w:rsid w:val="4074305F"/>
    <w:rsid w:val="407441CC"/>
    <w:rsid w:val="40E3692E"/>
    <w:rsid w:val="40E5576F"/>
    <w:rsid w:val="40F67794"/>
    <w:rsid w:val="40FF209F"/>
    <w:rsid w:val="411D0302"/>
    <w:rsid w:val="41204896"/>
    <w:rsid w:val="418B491A"/>
    <w:rsid w:val="419E1FD1"/>
    <w:rsid w:val="41AD4FD9"/>
    <w:rsid w:val="41ED5DCA"/>
    <w:rsid w:val="42045C90"/>
    <w:rsid w:val="42227512"/>
    <w:rsid w:val="42357425"/>
    <w:rsid w:val="424535E9"/>
    <w:rsid w:val="427A72D4"/>
    <w:rsid w:val="427A73F0"/>
    <w:rsid w:val="42992BFC"/>
    <w:rsid w:val="42A33387"/>
    <w:rsid w:val="42A339E3"/>
    <w:rsid w:val="42A35BE3"/>
    <w:rsid w:val="42B735F9"/>
    <w:rsid w:val="42C24FD0"/>
    <w:rsid w:val="42CD288F"/>
    <w:rsid w:val="43030D90"/>
    <w:rsid w:val="4313348C"/>
    <w:rsid w:val="43282BDB"/>
    <w:rsid w:val="433C115C"/>
    <w:rsid w:val="43955A42"/>
    <w:rsid w:val="43B119B5"/>
    <w:rsid w:val="43B78398"/>
    <w:rsid w:val="43EB6A10"/>
    <w:rsid w:val="43FB5253"/>
    <w:rsid w:val="441B271B"/>
    <w:rsid w:val="442D6088"/>
    <w:rsid w:val="44385851"/>
    <w:rsid w:val="4453109B"/>
    <w:rsid w:val="447A255B"/>
    <w:rsid w:val="448D7DCD"/>
    <w:rsid w:val="448E3BA1"/>
    <w:rsid w:val="44A85B0F"/>
    <w:rsid w:val="44BA057D"/>
    <w:rsid w:val="44C75CCB"/>
    <w:rsid w:val="44CD4436"/>
    <w:rsid w:val="44D203AB"/>
    <w:rsid w:val="44D3086F"/>
    <w:rsid w:val="45636945"/>
    <w:rsid w:val="45640647"/>
    <w:rsid w:val="457733FB"/>
    <w:rsid w:val="45860BEE"/>
    <w:rsid w:val="458651FD"/>
    <w:rsid w:val="45905A5D"/>
    <w:rsid w:val="459675E6"/>
    <w:rsid w:val="45B87F9F"/>
    <w:rsid w:val="45C51FF7"/>
    <w:rsid w:val="45D15D2C"/>
    <w:rsid w:val="45EAA132"/>
    <w:rsid w:val="45F17B8B"/>
    <w:rsid w:val="46025616"/>
    <w:rsid w:val="46240221"/>
    <w:rsid w:val="463B57C4"/>
    <w:rsid w:val="464A4B43"/>
    <w:rsid w:val="468D2A38"/>
    <w:rsid w:val="469C6D0A"/>
    <w:rsid w:val="46E7692D"/>
    <w:rsid w:val="471657F4"/>
    <w:rsid w:val="472328D7"/>
    <w:rsid w:val="47250153"/>
    <w:rsid w:val="47320EA6"/>
    <w:rsid w:val="47507AEC"/>
    <w:rsid w:val="47926444"/>
    <w:rsid w:val="47961570"/>
    <w:rsid w:val="47AC4555"/>
    <w:rsid w:val="47DB0756"/>
    <w:rsid w:val="480B7AF9"/>
    <w:rsid w:val="481A1887"/>
    <w:rsid w:val="48215813"/>
    <w:rsid w:val="482D6957"/>
    <w:rsid w:val="482D7D82"/>
    <w:rsid w:val="486D7761"/>
    <w:rsid w:val="487F361A"/>
    <w:rsid w:val="488309F1"/>
    <w:rsid w:val="48A76074"/>
    <w:rsid w:val="48E400EA"/>
    <w:rsid w:val="48E96AB3"/>
    <w:rsid w:val="48FC4CD7"/>
    <w:rsid w:val="490C47F7"/>
    <w:rsid w:val="493E7FA8"/>
    <w:rsid w:val="49702F21"/>
    <w:rsid w:val="49995981"/>
    <w:rsid w:val="49AA0D5C"/>
    <w:rsid w:val="49B9480D"/>
    <w:rsid w:val="49CF6E0D"/>
    <w:rsid w:val="49DFB350"/>
    <w:rsid w:val="4A345178"/>
    <w:rsid w:val="4A570140"/>
    <w:rsid w:val="4A7A16B4"/>
    <w:rsid w:val="4A8D008E"/>
    <w:rsid w:val="4AB14921"/>
    <w:rsid w:val="4ACA3CCF"/>
    <w:rsid w:val="4AE21AF5"/>
    <w:rsid w:val="4AE91700"/>
    <w:rsid w:val="4B482B26"/>
    <w:rsid w:val="4B4D2985"/>
    <w:rsid w:val="4B73494A"/>
    <w:rsid w:val="4B951E89"/>
    <w:rsid w:val="4B9BEAFE"/>
    <w:rsid w:val="4BC06CA9"/>
    <w:rsid w:val="4BCC412B"/>
    <w:rsid w:val="4BD46CDA"/>
    <w:rsid w:val="4BEF55AE"/>
    <w:rsid w:val="4C0041BE"/>
    <w:rsid w:val="4C0C6F15"/>
    <w:rsid w:val="4CBC3DEE"/>
    <w:rsid w:val="4CD56F37"/>
    <w:rsid w:val="4CFB2FCD"/>
    <w:rsid w:val="4D3F5784"/>
    <w:rsid w:val="4D405A55"/>
    <w:rsid w:val="4D6D2711"/>
    <w:rsid w:val="4D717E9D"/>
    <w:rsid w:val="4D734A87"/>
    <w:rsid w:val="4D8C6A55"/>
    <w:rsid w:val="4DA36F9B"/>
    <w:rsid w:val="4DAF6C19"/>
    <w:rsid w:val="4DB151E5"/>
    <w:rsid w:val="4DEE3D7C"/>
    <w:rsid w:val="4DFF59D9"/>
    <w:rsid w:val="4E37925B"/>
    <w:rsid w:val="4E391A0F"/>
    <w:rsid w:val="4E4D4571"/>
    <w:rsid w:val="4E702259"/>
    <w:rsid w:val="4E8D5E7F"/>
    <w:rsid w:val="4ECF1307"/>
    <w:rsid w:val="4EE112CF"/>
    <w:rsid w:val="4EFBBCB5"/>
    <w:rsid w:val="4F025D5D"/>
    <w:rsid w:val="4F140D37"/>
    <w:rsid w:val="4F150B11"/>
    <w:rsid w:val="4F330E2D"/>
    <w:rsid w:val="4F6E2910"/>
    <w:rsid w:val="4F9E6223"/>
    <w:rsid w:val="4FBD59F0"/>
    <w:rsid w:val="4FC62B4D"/>
    <w:rsid w:val="4FD32A17"/>
    <w:rsid w:val="4FFF1F62"/>
    <w:rsid w:val="50085DD0"/>
    <w:rsid w:val="500A109A"/>
    <w:rsid w:val="50A405A6"/>
    <w:rsid w:val="50AD20B7"/>
    <w:rsid w:val="510A7168"/>
    <w:rsid w:val="511E15F3"/>
    <w:rsid w:val="516E3886"/>
    <w:rsid w:val="519D5F70"/>
    <w:rsid w:val="51C37072"/>
    <w:rsid w:val="51CA4B66"/>
    <w:rsid w:val="51DC46D2"/>
    <w:rsid w:val="51EC7478"/>
    <w:rsid w:val="51F762BC"/>
    <w:rsid w:val="522E194F"/>
    <w:rsid w:val="522E7901"/>
    <w:rsid w:val="52330839"/>
    <w:rsid w:val="52595A9E"/>
    <w:rsid w:val="52767F75"/>
    <w:rsid w:val="52980084"/>
    <w:rsid w:val="52CF293A"/>
    <w:rsid w:val="52DD6F43"/>
    <w:rsid w:val="52FEE132"/>
    <w:rsid w:val="530114C5"/>
    <w:rsid w:val="531719D4"/>
    <w:rsid w:val="53AD09C8"/>
    <w:rsid w:val="53BD0F08"/>
    <w:rsid w:val="53E056A3"/>
    <w:rsid w:val="53E678D0"/>
    <w:rsid w:val="53F51D4A"/>
    <w:rsid w:val="53FFD435"/>
    <w:rsid w:val="540671EA"/>
    <w:rsid w:val="54085802"/>
    <w:rsid w:val="54215078"/>
    <w:rsid w:val="54367C29"/>
    <w:rsid w:val="54786E7D"/>
    <w:rsid w:val="54C91899"/>
    <w:rsid w:val="54F34418"/>
    <w:rsid w:val="54F7291E"/>
    <w:rsid w:val="54FE3C5E"/>
    <w:rsid w:val="55150C47"/>
    <w:rsid w:val="55A363E5"/>
    <w:rsid w:val="55A76B5C"/>
    <w:rsid w:val="55AE3C1C"/>
    <w:rsid w:val="55BC5787"/>
    <w:rsid w:val="55BD4FB6"/>
    <w:rsid w:val="55D160CD"/>
    <w:rsid w:val="55D76B15"/>
    <w:rsid w:val="55E425D3"/>
    <w:rsid w:val="55F82C88"/>
    <w:rsid w:val="55FBD008"/>
    <w:rsid w:val="55FF9F39"/>
    <w:rsid w:val="560E5966"/>
    <w:rsid w:val="563503F2"/>
    <w:rsid w:val="564A756C"/>
    <w:rsid w:val="56794722"/>
    <w:rsid w:val="567D7059"/>
    <w:rsid w:val="569232DD"/>
    <w:rsid w:val="56AA70D5"/>
    <w:rsid w:val="56C55963"/>
    <w:rsid w:val="56CF2093"/>
    <w:rsid w:val="56FA69D5"/>
    <w:rsid w:val="574E9D34"/>
    <w:rsid w:val="574EBBF3"/>
    <w:rsid w:val="5760610B"/>
    <w:rsid w:val="57770285"/>
    <w:rsid w:val="579AEF06"/>
    <w:rsid w:val="579D764D"/>
    <w:rsid w:val="579E792B"/>
    <w:rsid w:val="57B458B3"/>
    <w:rsid w:val="57C277C1"/>
    <w:rsid w:val="57CB56D7"/>
    <w:rsid w:val="57E519F4"/>
    <w:rsid w:val="57FB32BB"/>
    <w:rsid w:val="57FB542F"/>
    <w:rsid w:val="57FB6BEA"/>
    <w:rsid w:val="57FF6D5C"/>
    <w:rsid w:val="580F6948"/>
    <w:rsid w:val="58403B5E"/>
    <w:rsid w:val="584936A2"/>
    <w:rsid w:val="58746B55"/>
    <w:rsid w:val="589853D4"/>
    <w:rsid w:val="589F65E3"/>
    <w:rsid w:val="58BB507E"/>
    <w:rsid w:val="58C26583"/>
    <w:rsid w:val="58F53701"/>
    <w:rsid w:val="59147A04"/>
    <w:rsid w:val="59274689"/>
    <w:rsid w:val="5937D5BD"/>
    <w:rsid w:val="59487D26"/>
    <w:rsid w:val="594A506A"/>
    <w:rsid w:val="59867777"/>
    <w:rsid w:val="59C2789D"/>
    <w:rsid w:val="59D81DCD"/>
    <w:rsid w:val="59DC0702"/>
    <w:rsid w:val="59DDF513"/>
    <w:rsid w:val="59E20D57"/>
    <w:rsid w:val="59E76446"/>
    <w:rsid w:val="59FD5EB2"/>
    <w:rsid w:val="5A097C07"/>
    <w:rsid w:val="5A2F2359"/>
    <w:rsid w:val="5A430025"/>
    <w:rsid w:val="5A474093"/>
    <w:rsid w:val="5A667D31"/>
    <w:rsid w:val="5A68330D"/>
    <w:rsid w:val="5A793253"/>
    <w:rsid w:val="5A8D1853"/>
    <w:rsid w:val="5A946B65"/>
    <w:rsid w:val="5AA94DB8"/>
    <w:rsid w:val="5AABF9FD"/>
    <w:rsid w:val="5ACE6D65"/>
    <w:rsid w:val="5AE47FAF"/>
    <w:rsid w:val="5B0B09D5"/>
    <w:rsid w:val="5B1D3EDE"/>
    <w:rsid w:val="5B307540"/>
    <w:rsid w:val="5B5B74C1"/>
    <w:rsid w:val="5B665628"/>
    <w:rsid w:val="5B77185D"/>
    <w:rsid w:val="5B774359"/>
    <w:rsid w:val="5B9DDD4D"/>
    <w:rsid w:val="5BB73704"/>
    <w:rsid w:val="5BD83392"/>
    <w:rsid w:val="5BDFD054"/>
    <w:rsid w:val="5BEF5053"/>
    <w:rsid w:val="5BFF5A39"/>
    <w:rsid w:val="5C3C23FF"/>
    <w:rsid w:val="5C3D2C9A"/>
    <w:rsid w:val="5C8C73AB"/>
    <w:rsid w:val="5C974BDD"/>
    <w:rsid w:val="5CF64BCC"/>
    <w:rsid w:val="5CF7DD0D"/>
    <w:rsid w:val="5D281792"/>
    <w:rsid w:val="5D2974E3"/>
    <w:rsid w:val="5D413B33"/>
    <w:rsid w:val="5D7F4965"/>
    <w:rsid w:val="5D907F8D"/>
    <w:rsid w:val="5DA577A9"/>
    <w:rsid w:val="5DB50AA1"/>
    <w:rsid w:val="5DBD6993"/>
    <w:rsid w:val="5DCB3AEE"/>
    <w:rsid w:val="5DDE06BC"/>
    <w:rsid w:val="5DE3CD9B"/>
    <w:rsid w:val="5DEAF861"/>
    <w:rsid w:val="5DEB576E"/>
    <w:rsid w:val="5DEC52C6"/>
    <w:rsid w:val="5DF5EE2F"/>
    <w:rsid w:val="5DF76BC5"/>
    <w:rsid w:val="5DFCBDCF"/>
    <w:rsid w:val="5DFFE09E"/>
    <w:rsid w:val="5E040D23"/>
    <w:rsid w:val="5E1B312A"/>
    <w:rsid w:val="5E1E44DB"/>
    <w:rsid w:val="5E57EE8E"/>
    <w:rsid w:val="5E5A12D3"/>
    <w:rsid w:val="5EB1452A"/>
    <w:rsid w:val="5EC72C46"/>
    <w:rsid w:val="5EEE374C"/>
    <w:rsid w:val="5EF2204D"/>
    <w:rsid w:val="5EF60184"/>
    <w:rsid w:val="5EFF2DF5"/>
    <w:rsid w:val="5EFFE975"/>
    <w:rsid w:val="5F055638"/>
    <w:rsid w:val="5F3B282E"/>
    <w:rsid w:val="5F402847"/>
    <w:rsid w:val="5F6B0859"/>
    <w:rsid w:val="5F6BE484"/>
    <w:rsid w:val="5F7675F5"/>
    <w:rsid w:val="5F79CDC1"/>
    <w:rsid w:val="5F8D10FC"/>
    <w:rsid w:val="5FB595A7"/>
    <w:rsid w:val="5FCF7CD9"/>
    <w:rsid w:val="5FD19A1C"/>
    <w:rsid w:val="5FDF3D4F"/>
    <w:rsid w:val="5FDF40B5"/>
    <w:rsid w:val="5FFC3909"/>
    <w:rsid w:val="5FFE30B8"/>
    <w:rsid w:val="5FFFA271"/>
    <w:rsid w:val="6013352F"/>
    <w:rsid w:val="601923FE"/>
    <w:rsid w:val="60193C62"/>
    <w:rsid w:val="60354758"/>
    <w:rsid w:val="60371378"/>
    <w:rsid w:val="604274A8"/>
    <w:rsid w:val="60686236"/>
    <w:rsid w:val="60BB1D97"/>
    <w:rsid w:val="6102786E"/>
    <w:rsid w:val="61656A67"/>
    <w:rsid w:val="6186599B"/>
    <w:rsid w:val="618E1C40"/>
    <w:rsid w:val="619C31B9"/>
    <w:rsid w:val="619D3F7B"/>
    <w:rsid w:val="61B9359D"/>
    <w:rsid w:val="61C73802"/>
    <w:rsid w:val="62084674"/>
    <w:rsid w:val="62120774"/>
    <w:rsid w:val="621240C7"/>
    <w:rsid w:val="62347983"/>
    <w:rsid w:val="623D6D28"/>
    <w:rsid w:val="623E78AA"/>
    <w:rsid w:val="623F6B87"/>
    <w:rsid w:val="627A5E9C"/>
    <w:rsid w:val="62807395"/>
    <w:rsid w:val="62EE18FB"/>
    <w:rsid w:val="62FA067F"/>
    <w:rsid w:val="62FE78DE"/>
    <w:rsid w:val="631E6991"/>
    <w:rsid w:val="632E0BB6"/>
    <w:rsid w:val="63402DB5"/>
    <w:rsid w:val="636D6FDD"/>
    <w:rsid w:val="639D1C6B"/>
    <w:rsid w:val="63AB2F6A"/>
    <w:rsid w:val="63CF28A6"/>
    <w:rsid w:val="641A2AA9"/>
    <w:rsid w:val="64280881"/>
    <w:rsid w:val="643723CD"/>
    <w:rsid w:val="64377137"/>
    <w:rsid w:val="64393666"/>
    <w:rsid w:val="64561F2A"/>
    <w:rsid w:val="64593389"/>
    <w:rsid w:val="645D2C84"/>
    <w:rsid w:val="646A1DE9"/>
    <w:rsid w:val="646E7800"/>
    <w:rsid w:val="64721F87"/>
    <w:rsid w:val="64D72FAD"/>
    <w:rsid w:val="656E1203"/>
    <w:rsid w:val="65775884"/>
    <w:rsid w:val="657F8903"/>
    <w:rsid w:val="6585287B"/>
    <w:rsid w:val="65900C73"/>
    <w:rsid w:val="659D2A82"/>
    <w:rsid w:val="65A9569B"/>
    <w:rsid w:val="65B3384D"/>
    <w:rsid w:val="65BC2582"/>
    <w:rsid w:val="65D65755"/>
    <w:rsid w:val="65EE2974"/>
    <w:rsid w:val="661573AB"/>
    <w:rsid w:val="663455BC"/>
    <w:rsid w:val="664B1E03"/>
    <w:rsid w:val="664B296A"/>
    <w:rsid w:val="667A4D8B"/>
    <w:rsid w:val="667D2B4C"/>
    <w:rsid w:val="66850F7D"/>
    <w:rsid w:val="669F269A"/>
    <w:rsid w:val="66BF3D72"/>
    <w:rsid w:val="66EF3478"/>
    <w:rsid w:val="66EF790F"/>
    <w:rsid w:val="66F128B2"/>
    <w:rsid w:val="66FF7240"/>
    <w:rsid w:val="6714734F"/>
    <w:rsid w:val="671B65E7"/>
    <w:rsid w:val="672A540E"/>
    <w:rsid w:val="673BF82D"/>
    <w:rsid w:val="67685FED"/>
    <w:rsid w:val="67695330"/>
    <w:rsid w:val="6774353A"/>
    <w:rsid w:val="67863AB5"/>
    <w:rsid w:val="67887B08"/>
    <w:rsid w:val="67A015AC"/>
    <w:rsid w:val="67BB6CAA"/>
    <w:rsid w:val="67BF2D23"/>
    <w:rsid w:val="67EB1F17"/>
    <w:rsid w:val="67FFE2EF"/>
    <w:rsid w:val="6803438C"/>
    <w:rsid w:val="68052908"/>
    <w:rsid w:val="68560EFD"/>
    <w:rsid w:val="686E4D7B"/>
    <w:rsid w:val="68934CE5"/>
    <w:rsid w:val="68BC7E90"/>
    <w:rsid w:val="68C239C7"/>
    <w:rsid w:val="68CD1E00"/>
    <w:rsid w:val="691961F1"/>
    <w:rsid w:val="691E26DB"/>
    <w:rsid w:val="69430DBD"/>
    <w:rsid w:val="69687FF8"/>
    <w:rsid w:val="69754C2A"/>
    <w:rsid w:val="697F35D6"/>
    <w:rsid w:val="69976DC9"/>
    <w:rsid w:val="69A01DEF"/>
    <w:rsid w:val="69C65304"/>
    <w:rsid w:val="69D91ED0"/>
    <w:rsid w:val="69E91CF1"/>
    <w:rsid w:val="69FB4281"/>
    <w:rsid w:val="6A0B6885"/>
    <w:rsid w:val="6A0C3285"/>
    <w:rsid w:val="6A15022A"/>
    <w:rsid w:val="6A1FC04C"/>
    <w:rsid w:val="6A457166"/>
    <w:rsid w:val="6A5A5AE4"/>
    <w:rsid w:val="6A5C6427"/>
    <w:rsid w:val="6A61548A"/>
    <w:rsid w:val="6A785EF8"/>
    <w:rsid w:val="6A890808"/>
    <w:rsid w:val="6AB86D2D"/>
    <w:rsid w:val="6AE90F89"/>
    <w:rsid w:val="6B145B82"/>
    <w:rsid w:val="6B147051"/>
    <w:rsid w:val="6B3FE736"/>
    <w:rsid w:val="6B43739A"/>
    <w:rsid w:val="6B812BEC"/>
    <w:rsid w:val="6B8D568A"/>
    <w:rsid w:val="6BBE0ED3"/>
    <w:rsid w:val="6BE33BB5"/>
    <w:rsid w:val="6BF77ACC"/>
    <w:rsid w:val="6BFFB7AB"/>
    <w:rsid w:val="6C2C828A"/>
    <w:rsid w:val="6C3D2EE3"/>
    <w:rsid w:val="6C526B47"/>
    <w:rsid w:val="6C8C4544"/>
    <w:rsid w:val="6C9448B6"/>
    <w:rsid w:val="6C9B2F65"/>
    <w:rsid w:val="6CBF6D5C"/>
    <w:rsid w:val="6CFED4BF"/>
    <w:rsid w:val="6D081862"/>
    <w:rsid w:val="6D2F00AE"/>
    <w:rsid w:val="6D326151"/>
    <w:rsid w:val="6D711C0F"/>
    <w:rsid w:val="6D7D5BDC"/>
    <w:rsid w:val="6D7FEC16"/>
    <w:rsid w:val="6D8F5AC9"/>
    <w:rsid w:val="6D925A51"/>
    <w:rsid w:val="6D940550"/>
    <w:rsid w:val="6D980FA7"/>
    <w:rsid w:val="6DA507B5"/>
    <w:rsid w:val="6DB5292C"/>
    <w:rsid w:val="6DE3D339"/>
    <w:rsid w:val="6DF564B0"/>
    <w:rsid w:val="6E0E7BD2"/>
    <w:rsid w:val="6E0F34F4"/>
    <w:rsid w:val="6E1D33FD"/>
    <w:rsid w:val="6E3A103C"/>
    <w:rsid w:val="6E4840C2"/>
    <w:rsid w:val="6E738843"/>
    <w:rsid w:val="6E745AFD"/>
    <w:rsid w:val="6E753854"/>
    <w:rsid w:val="6E813988"/>
    <w:rsid w:val="6E887017"/>
    <w:rsid w:val="6E9B2B83"/>
    <w:rsid w:val="6EA54B7C"/>
    <w:rsid w:val="6EC7539B"/>
    <w:rsid w:val="6ECA29CE"/>
    <w:rsid w:val="6EE65A0E"/>
    <w:rsid w:val="6F0E0990"/>
    <w:rsid w:val="6F1F5E1F"/>
    <w:rsid w:val="6F2B5C65"/>
    <w:rsid w:val="6F37114A"/>
    <w:rsid w:val="6F5DC937"/>
    <w:rsid w:val="6F737398"/>
    <w:rsid w:val="6F7FE307"/>
    <w:rsid w:val="6F9636AE"/>
    <w:rsid w:val="6F9F39C6"/>
    <w:rsid w:val="6FA062E2"/>
    <w:rsid w:val="6FBB509E"/>
    <w:rsid w:val="6FC763EA"/>
    <w:rsid w:val="6FD420FC"/>
    <w:rsid w:val="6FEBAFCF"/>
    <w:rsid w:val="6FF248CD"/>
    <w:rsid w:val="6FF64B66"/>
    <w:rsid w:val="6FFDED50"/>
    <w:rsid w:val="70040884"/>
    <w:rsid w:val="703123ED"/>
    <w:rsid w:val="703A331E"/>
    <w:rsid w:val="705F2A3C"/>
    <w:rsid w:val="7073020B"/>
    <w:rsid w:val="70843C97"/>
    <w:rsid w:val="7096455F"/>
    <w:rsid w:val="70AA455C"/>
    <w:rsid w:val="70F41C79"/>
    <w:rsid w:val="711FBDE3"/>
    <w:rsid w:val="712713EF"/>
    <w:rsid w:val="712E8274"/>
    <w:rsid w:val="712F6BB8"/>
    <w:rsid w:val="71A40D09"/>
    <w:rsid w:val="71A51049"/>
    <w:rsid w:val="71B46619"/>
    <w:rsid w:val="71C65A0B"/>
    <w:rsid w:val="71D42E39"/>
    <w:rsid w:val="71EE146E"/>
    <w:rsid w:val="71F7B4E6"/>
    <w:rsid w:val="721472C1"/>
    <w:rsid w:val="722318DF"/>
    <w:rsid w:val="72582C99"/>
    <w:rsid w:val="7272513B"/>
    <w:rsid w:val="72853B88"/>
    <w:rsid w:val="72873AAB"/>
    <w:rsid w:val="7296A2DC"/>
    <w:rsid w:val="72C137E7"/>
    <w:rsid w:val="72C72E44"/>
    <w:rsid w:val="72F4514E"/>
    <w:rsid w:val="72F9FE19"/>
    <w:rsid w:val="73004F32"/>
    <w:rsid w:val="73032136"/>
    <w:rsid w:val="73042D0D"/>
    <w:rsid w:val="7316395E"/>
    <w:rsid w:val="7334329D"/>
    <w:rsid w:val="734408A1"/>
    <w:rsid w:val="73A97617"/>
    <w:rsid w:val="73AA3BCA"/>
    <w:rsid w:val="73C06F03"/>
    <w:rsid w:val="73EA76E4"/>
    <w:rsid w:val="741228D0"/>
    <w:rsid w:val="742912DB"/>
    <w:rsid w:val="744A6535"/>
    <w:rsid w:val="74545FD0"/>
    <w:rsid w:val="74756EE0"/>
    <w:rsid w:val="75040F14"/>
    <w:rsid w:val="7509291A"/>
    <w:rsid w:val="752FC420"/>
    <w:rsid w:val="754F2678"/>
    <w:rsid w:val="75560DCF"/>
    <w:rsid w:val="75582D4E"/>
    <w:rsid w:val="755D73B3"/>
    <w:rsid w:val="7581078C"/>
    <w:rsid w:val="758A6EDC"/>
    <w:rsid w:val="759D34CD"/>
    <w:rsid w:val="75A618AA"/>
    <w:rsid w:val="75B90E34"/>
    <w:rsid w:val="75BD6DAB"/>
    <w:rsid w:val="75C05AAD"/>
    <w:rsid w:val="75DFFDD8"/>
    <w:rsid w:val="75F1775D"/>
    <w:rsid w:val="75F875B6"/>
    <w:rsid w:val="75FB19C3"/>
    <w:rsid w:val="75FE3261"/>
    <w:rsid w:val="763E627A"/>
    <w:rsid w:val="765B2DC1"/>
    <w:rsid w:val="765EB9AA"/>
    <w:rsid w:val="76C59198"/>
    <w:rsid w:val="76C93D80"/>
    <w:rsid w:val="76D8473C"/>
    <w:rsid w:val="76DB2D36"/>
    <w:rsid w:val="76DFC044"/>
    <w:rsid w:val="76F167EA"/>
    <w:rsid w:val="76F472E2"/>
    <w:rsid w:val="76F78C4D"/>
    <w:rsid w:val="77014F25"/>
    <w:rsid w:val="771D0C71"/>
    <w:rsid w:val="771F5467"/>
    <w:rsid w:val="77214A55"/>
    <w:rsid w:val="77280655"/>
    <w:rsid w:val="773EE96E"/>
    <w:rsid w:val="77480BA6"/>
    <w:rsid w:val="77497D41"/>
    <w:rsid w:val="774C5231"/>
    <w:rsid w:val="77772519"/>
    <w:rsid w:val="77853F96"/>
    <w:rsid w:val="7787D581"/>
    <w:rsid w:val="77882C45"/>
    <w:rsid w:val="77A3A2DE"/>
    <w:rsid w:val="77AC4DD4"/>
    <w:rsid w:val="77B38FD7"/>
    <w:rsid w:val="77B421C7"/>
    <w:rsid w:val="77BBBD60"/>
    <w:rsid w:val="77BE52B6"/>
    <w:rsid w:val="77C93810"/>
    <w:rsid w:val="77D77A65"/>
    <w:rsid w:val="77DFA7F5"/>
    <w:rsid w:val="77EA4BA6"/>
    <w:rsid w:val="77EDC416"/>
    <w:rsid w:val="77F7CFE0"/>
    <w:rsid w:val="77FA090E"/>
    <w:rsid w:val="77FA5C55"/>
    <w:rsid w:val="77FB81C8"/>
    <w:rsid w:val="77FE955D"/>
    <w:rsid w:val="77FFB139"/>
    <w:rsid w:val="78053EFE"/>
    <w:rsid w:val="781B4208"/>
    <w:rsid w:val="78406036"/>
    <w:rsid w:val="785D21CF"/>
    <w:rsid w:val="787EC5FC"/>
    <w:rsid w:val="78833555"/>
    <w:rsid w:val="78A56F1A"/>
    <w:rsid w:val="78DC0590"/>
    <w:rsid w:val="78DD01D0"/>
    <w:rsid w:val="78FD54E5"/>
    <w:rsid w:val="79063621"/>
    <w:rsid w:val="79161FDA"/>
    <w:rsid w:val="792603BF"/>
    <w:rsid w:val="795408E3"/>
    <w:rsid w:val="797D311E"/>
    <w:rsid w:val="797F0BCD"/>
    <w:rsid w:val="79974B03"/>
    <w:rsid w:val="79B90738"/>
    <w:rsid w:val="79BF1E29"/>
    <w:rsid w:val="79F91572"/>
    <w:rsid w:val="7A4D3B0C"/>
    <w:rsid w:val="7A4F48C9"/>
    <w:rsid w:val="7A662412"/>
    <w:rsid w:val="7A691FDF"/>
    <w:rsid w:val="7A6E7389"/>
    <w:rsid w:val="7A73D37E"/>
    <w:rsid w:val="7A77443C"/>
    <w:rsid w:val="7AA471CB"/>
    <w:rsid w:val="7AB91FBC"/>
    <w:rsid w:val="7ABA6EC7"/>
    <w:rsid w:val="7AC54839"/>
    <w:rsid w:val="7AD7D16A"/>
    <w:rsid w:val="7AEC76D0"/>
    <w:rsid w:val="7AEF46CD"/>
    <w:rsid w:val="7AFD5439"/>
    <w:rsid w:val="7AFFE037"/>
    <w:rsid w:val="7B101B6A"/>
    <w:rsid w:val="7B2FD6C1"/>
    <w:rsid w:val="7B461778"/>
    <w:rsid w:val="7B736DC4"/>
    <w:rsid w:val="7B7B1CBD"/>
    <w:rsid w:val="7B8A24A1"/>
    <w:rsid w:val="7B926ED1"/>
    <w:rsid w:val="7B982CB6"/>
    <w:rsid w:val="7BAD0716"/>
    <w:rsid w:val="7BB95494"/>
    <w:rsid w:val="7BBB2244"/>
    <w:rsid w:val="7BBEA0C5"/>
    <w:rsid w:val="7BCF9780"/>
    <w:rsid w:val="7BD3F66B"/>
    <w:rsid w:val="7BDA69BE"/>
    <w:rsid w:val="7BDC0593"/>
    <w:rsid w:val="7BDF8B72"/>
    <w:rsid w:val="7BE70DE4"/>
    <w:rsid w:val="7BF785FF"/>
    <w:rsid w:val="7BFD999B"/>
    <w:rsid w:val="7C0F02FC"/>
    <w:rsid w:val="7C1641ED"/>
    <w:rsid w:val="7C1C46DF"/>
    <w:rsid w:val="7C252C0C"/>
    <w:rsid w:val="7C3B2D08"/>
    <w:rsid w:val="7C990DD3"/>
    <w:rsid w:val="7CC87A4C"/>
    <w:rsid w:val="7CE348A9"/>
    <w:rsid w:val="7CEF4C35"/>
    <w:rsid w:val="7CF2CC23"/>
    <w:rsid w:val="7D074EFF"/>
    <w:rsid w:val="7D5A7288"/>
    <w:rsid w:val="7D6E9C32"/>
    <w:rsid w:val="7D8F7606"/>
    <w:rsid w:val="7D97F9FE"/>
    <w:rsid w:val="7D9A2159"/>
    <w:rsid w:val="7DBE3E5A"/>
    <w:rsid w:val="7DBFC002"/>
    <w:rsid w:val="7DCDE7CC"/>
    <w:rsid w:val="7DD232FE"/>
    <w:rsid w:val="7DD6587A"/>
    <w:rsid w:val="7DD73C6C"/>
    <w:rsid w:val="7DDBE7DB"/>
    <w:rsid w:val="7DDC2967"/>
    <w:rsid w:val="7DDF729C"/>
    <w:rsid w:val="7DF1811B"/>
    <w:rsid w:val="7DF36F7A"/>
    <w:rsid w:val="7DFEEE2E"/>
    <w:rsid w:val="7E0134A9"/>
    <w:rsid w:val="7E0613A6"/>
    <w:rsid w:val="7E2FB226"/>
    <w:rsid w:val="7E350D9C"/>
    <w:rsid w:val="7E594240"/>
    <w:rsid w:val="7E735325"/>
    <w:rsid w:val="7E7DDDFB"/>
    <w:rsid w:val="7E7F965A"/>
    <w:rsid w:val="7EA80218"/>
    <w:rsid w:val="7EAFE691"/>
    <w:rsid w:val="7EB7364B"/>
    <w:rsid w:val="7EB74EE1"/>
    <w:rsid w:val="7EBF7CAB"/>
    <w:rsid w:val="7EDD111C"/>
    <w:rsid w:val="7EE83D21"/>
    <w:rsid w:val="7EEE3431"/>
    <w:rsid w:val="7EEF36D7"/>
    <w:rsid w:val="7EF6F2D5"/>
    <w:rsid w:val="7EF73CB7"/>
    <w:rsid w:val="7EFDDF99"/>
    <w:rsid w:val="7EFF700F"/>
    <w:rsid w:val="7F0BC30A"/>
    <w:rsid w:val="7F150158"/>
    <w:rsid w:val="7F1B7745"/>
    <w:rsid w:val="7F325AB0"/>
    <w:rsid w:val="7F3536ED"/>
    <w:rsid w:val="7F399016"/>
    <w:rsid w:val="7F3C4804"/>
    <w:rsid w:val="7F3D7D7F"/>
    <w:rsid w:val="7F43A7E9"/>
    <w:rsid w:val="7F661A42"/>
    <w:rsid w:val="7F7C5272"/>
    <w:rsid w:val="7F7D9D8F"/>
    <w:rsid w:val="7F7F024E"/>
    <w:rsid w:val="7F7F553C"/>
    <w:rsid w:val="7F93D041"/>
    <w:rsid w:val="7F964253"/>
    <w:rsid w:val="7FA5779F"/>
    <w:rsid w:val="7FAF7C4F"/>
    <w:rsid w:val="7FB724A2"/>
    <w:rsid w:val="7FBBAD1F"/>
    <w:rsid w:val="7FBF3FE2"/>
    <w:rsid w:val="7FBFAB9B"/>
    <w:rsid w:val="7FBFE070"/>
    <w:rsid w:val="7FCB0ED0"/>
    <w:rsid w:val="7FCF0D0B"/>
    <w:rsid w:val="7FD7D4F8"/>
    <w:rsid w:val="7FDC645F"/>
    <w:rsid w:val="7FDF42EA"/>
    <w:rsid w:val="7FDFB077"/>
    <w:rsid w:val="7FE65C79"/>
    <w:rsid w:val="7FEF3048"/>
    <w:rsid w:val="7FEFF3D9"/>
    <w:rsid w:val="7FF74D50"/>
    <w:rsid w:val="7FF7E8A1"/>
    <w:rsid w:val="7FFCC0FB"/>
    <w:rsid w:val="7FFD287D"/>
    <w:rsid w:val="7FFD8920"/>
    <w:rsid w:val="7FFDB14E"/>
    <w:rsid w:val="7FFE83BE"/>
    <w:rsid w:val="7FFF230F"/>
    <w:rsid w:val="7FFF5EEF"/>
    <w:rsid w:val="7FFF6DBB"/>
    <w:rsid w:val="7FFFB1BB"/>
    <w:rsid w:val="7FFFC6AF"/>
    <w:rsid w:val="7FFFD0BE"/>
    <w:rsid w:val="82EC40F9"/>
    <w:rsid w:val="87BB4218"/>
    <w:rsid w:val="87ED2368"/>
    <w:rsid w:val="8BBE7B06"/>
    <w:rsid w:val="8F4F4C9A"/>
    <w:rsid w:val="8F6700D4"/>
    <w:rsid w:val="8F77277D"/>
    <w:rsid w:val="92FDC678"/>
    <w:rsid w:val="953F591A"/>
    <w:rsid w:val="97FF4B81"/>
    <w:rsid w:val="9ACF920D"/>
    <w:rsid w:val="9B7E9243"/>
    <w:rsid w:val="9DFEBE8D"/>
    <w:rsid w:val="9F25008A"/>
    <w:rsid w:val="A74D034B"/>
    <w:rsid w:val="A7FFF501"/>
    <w:rsid w:val="A9B59DE7"/>
    <w:rsid w:val="A9FDEFC9"/>
    <w:rsid w:val="AB77AAA9"/>
    <w:rsid w:val="ABDB215B"/>
    <w:rsid w:val="AD9E71A3"/>
    <w:rsid w:val="AEAEF3DC"/>
    <w:rsid w:val="AECADEEE"/>
    <w:rsid w:val="AF7BB9F4"/>
    <w:rsid w:val="AF8CB45E"/>
    <w:rsid w:val="AFCF0B7F"/>
    <w:rsid w:val="AFDD21B2"/>
    <w:rsid w:val="AFF61FBD"/>
    <w:rsid w:val="B56E276D"/>
    <w:rsid w:val="B6758152"/>
    <w:rsid w:val="B74DC15F"/>
    <w:rsid w:val="B7FBB100"/>
    <w:rsid w:val="B95BF533"/>
    <w:rsid w:val="B96F2C09"/>
    <w:rsid w:val="BABF5F28"/>
    <w:rsid w:val="BBB6AA18"/>
    <w:rsid w:val="BBFBE568"/>
    <w:rsid w:val="BBFF8F94"/>
    <w:rsid w:val="BBFF9364"/>
    <w:rsid w:val="BCADC7AA"/>
    <w:rsid w:val="BD1B2899"/>
    <w:rsid w:val="BD947F6C"/>
    <w:rsid w:val="BDD54320"/>
    <w:rsid w:val="BDE6E740"/>
    <w:rsid w:val="BE4F0F18"/>
    <w:rsid w:val="BE575D60"/>
    <w:rsid w:val="BE7FB341"/>
    <w:rsid w:val="BE968988"/>
    <w:rsid w:val="BEEA7697"/>
    <w:rsid w:val="BEF79BF7"/>
    <w:rsid w:val="BF47A43B"/>
    <w:rsid w:val="BF7D64B0"/>
    <w:rsid w:val="BF7F3203"/>
    <w:rsid w:val="BF8D8C53"/>
    <w:rsid w:val="BF939DC8"/>
    <w:rsid w:val="BF9B73AF"/>
    <w:rsid w:val="BFBBCF6E"/>
    <w:rsid w:val="BFBD68E3"/>
    <w:rsid w:val="BFE6E75E"/>
    <w:rsid w:val="BFEB4347"/>
    <w:rsid w:val="BFEEDEB7"/>
    <w:rsid w:val="C35F6E0F"/>
    <w:rsid w:val="C5F5DCA6"/>
    <w:rsid w:val="C75E6649"/>
    <w:rsid w:val="C7BA3F46"/>
    <w:rsid w:val="C7FF3565"/>
    <w:rsid w:val="C7FFEF09"/>
    <w:rsid w:val="CBFCCB7C"/>
    <w:rsid w:val="CDEE053D"/>
    <w:rsid w:val="CEDD31D0"/>
    <w:rsid w:val="CEEF2A03"/>
    <w:rsid w:val="CFA412F8"/>
    <w:rsid w:val="CFABB0F5"/>
    <w:rsid w:val="CFB7ACEE"/>
    <w:rsid w:val="D1F9A718"/>
    <w:rsid w:val="D37D7FEF"/>
    <w:rsid w:val="D3E96437"/>
    <w:rsid w:val="D3F30860"/>
    <w:rsid w:val="D3FE0B23"/>
    <w:rsid w:val="D5A46365"/>
    <w:rsid w:val="D5FB39AF"/>
    <w:rsid w:val="D5FFA50D"/>
    <w:rsid w:val="D71A7488"/>
    <w:rsid w:val="D77F5F81"/>
    <w:rsid w:val="D7BBF5BF"/>
    <w:rsid w:val="D7D44B67"/>
    <w:rsid w:val="D7E751EE"/>
    <w:rsid w:val="D7FF95D6"/>
    <w:rsid w:val="D9DFD52B"/>
    <w:rsid w:val="D9F8F0A7"/>
    <w:rsid w:val="DAE44A59"/>
    <w:rsid w:val="DB4DCC54"/>
    <w:rsid w:val="DB7EACEF"/>
    <w:rsid w:val="DBB97AE1"/>
    <w:rsid w:val="DBBF13F9"/>
    <w:rsid w:val="DBDC00A5"/>
    <w:rsid w:val="DBDECAB3"/>
    <w:rsid w:val="DBDFC3E4"/>
    <w:rsid w:val="DBF4A2E9"/>
    <w:rsid w:val="DBF8CDF7"/>
    <w:rsid w:val="DD6C1FA0"/>
    <w:rsid w:val="DDFD792A"/>
    <w:rsid w:val="DDFF35F0"/>
    <w:rsid w:val="DDFF5B9D"/>
    <w:rsid w:val="DE77A1D0"/>
    <w:rsid w:val="DECB71FF"/>
    <w:rsid w:val="DEFF6EC3"/>
    <w:rsid w:val="DF3DFFBD"/>
    <w:rsid w:val="DF4F7210"/>
    <w:rsid w:val="DF6DCB7F"/>
    <w:rsid w:val="DF76BEF5"/>
    <w:rsid w:val="DF7C97AC"/>
    <w:rsid w:val="DF7F7470"/>
    <w:rsid w:val="DF9E5363"/>
    <w:rsid w:val="DFAFE48D"/>
    <w:rsid w:val="DFB77B03"/>
    <w:rsid w:val="DFDEB628"/>
    <w:rsid w:val="DFEF1E2F"/>
    <w:rsid w:val="DFF77C2A"/>
    <w:rsid w:val="DFF7C840"/>
    <w:rsid w:val="DFFA0588"/>
    <w:rsid w:val="DFFA7C92"/>
    <w:rsid w:val="DFFED511"/>
    <w:rsid w:val="DFFFAC93"/>
    <w:rsid w:val="E2BD5223"/>
    <w:rsid w:val="E65DD352"/>
    <w:rsid w:val="E67BF416"/>
    <w:rsid w:val="E67D213C"/>
    <w:rsid w:val="E67E8793"/>
    <w:rsid w:val="E6FFA178"/>
    <w:rsid w:val="E72C7515"/>
    <w:rsid w:val="E797558D"/>
    <w:rsid w:val="E7DD2559"/>
    <w:rsid w:val="E7DDC1A4"/>
    <w:rsid w:val="E7EF951F"/>
    <w:rsid w:val="E7FCA9DE"/>
    <w:rsid w:val="E97B719D"/>
    <w:rsid w:val="E9CFC17A"/>
    <w:rsid w:val="EBF5D659"/>
    <w:rsid w:val="ECF7FBCB"/>
    <w:rsid w:val="ECFB4988"/>
    <w:rsid w:val="ECFD7172"/>
    <w:rsid w:val="EDADC6CA"/>
    <w:rsid w:val="EDFF3081"/>
    <w:rsid w:val="EDFFB2C9"/>
    <w:rsid w:val="EE316BC3"/>
    <w:rsid w:val="EE4F80E5"/>
    <w:rsid w:val="EE62DEF4"/>
    <w:rsid w:val="EECFA0FF"/>
    <w:rsid w:val="EEEDFB27"/>
    <w:rsid w:val="EF263AB6"/>
    <w:rsid w:val="EF2D989E"/>
    <w:rsid w:val="EF5B268A"/>
    <w:rsid w:val="EF8F4D4F"/>
    <w:rsid w:val="EFCFDD3A"/>
    <w:rsid w:val="EFD76BCF"/>
    <w:rsid w:val="EFDB6EFA"/>
    <w:rsid w:val="EFEE347A"/>
    <w:rsid w:val="EFEFC6F2"/>
    <w:rsid w:val="EFF3A979"/>
    <w:rsid w:val="EFF3DD4C"/>
    <w:rsid w:val="EFFD4508"/>
    <w:rsid w:val="EFFF2BDC"/>
    <w:rsid w:val="EFFF3229"/>
    <w:rsid w:val="F0FEADDA"/>
    <w:rsid w:val="F1BF2E54"/>
    <w:rsid w:val="F25D9AE0"/>
    <w:rsid w:val="F3598831"/>
    <w:rsid w:val="F37F8C92"/>
    <w:rsid w:val="F39D0D83"/>
    <w:rsid w:val="F3CD8789"/>
    <w:rsid w:val="F3F95E07"/>
    <w:rsid w:val="F4B062A8"/>
    <w:rsid w:val="F4BEE09A"/>
    <w:rsid w:val="F4FCADFD"/>
    <w:rsid w:val="F4FFAFE7"/>
    <w:rsid w:val="F53F20DA"/>
    <w:rsid w:val="F57F1F84"/>
    <w:rsid w:val="F5FC9720"/>
    <w:rsid w:val="F62D8F5C"/>
    <w:rsid w:val="F6BFDBB9"/>
    <w:rsid w:val="F6DCA460"/>
    <w:rsid w:val="F6EBBD0F"/>
    <w:rsid w:val="F72FE98B"/>
    <w:rsid w:val="F77EE9DE"/>
    <w:rsid w:val="F7B4031E"/>
    <w:rsid w:val="F7BF6034"/>
    <w:rsid w:val="F7DA1B67"/>
    <w:rsid w:val="F7DF47EF"/>
    <w:rsid w:val="F7DFF637"/>
    <w:rsid w:val="F7EA19F1"/>
    <w:rsid w:val="F7F1231A"/>
    <w:rsid w:val="F7FFD544"/>
    <w:rsid w:val="F7FFF462"/>
    <w:rsid w:val="F7FFF883"/>
    <w:rsid w:val="F8F3AD94"/>
    <w:rsid w:val="F8FF2F24"/>
    <w:rsid w:val="F95BAE3F"/>
    <w:rsid w:val="F95E6443"/>
    <w:rsid w:val="F9FA2284"/>
    <w:rsid w:val="FAF8DB90"/>
    <w:rsid w:val="FB2989D9"/>
    <w:rsid w:val="FB54EF2F"/>
    <w:rsid w:val="FB6F3149"/>
    <w:rsid w:val="FB775D9A"/>
    <w:rsid w:val="FB7EDC38"/>
    <w:rsid w:val="FB7FBA2C"/>
    <w:rsid w:val="FBAE42E8"/>
    <w:rsid w:val="FBB70A39"/>
    <w:rsid w:val="FBD7BAAB"/>
    <w:rsid w:val="FBDF6228"/>
    <w:rsid w:val="FBDFA130"/>
    <w:rsid w:val="FBE75394"/>
    <w:rsid w:val="FBEF430A"/>
    <w:rsid w:val="FBF1D3AE"/>
    <w:rsid w:val="FBF60FA9"/>
    <w:rsid w:val="FBF6EE41"/>
    <w:rsid w:val="FBFC6E78"/>
    <w:rsid w:val="FBFF265B"/>
    <w:rsid w:val="FBFFE141"/>
    <w:rsid w:val="FC6B7AE1"/>
    <w:rsid w:val="FCB9091D"/>
    <w:rsid w:val="FCD37348"/>
    <w:rsid w:val="FCDDFE8A"/>
    <w:rsid w:val="FCDF186A"/>
    <w:rsid w:val="FCF39E6E"/>
    <w:rsid w:val="FCFE6E2F"/>
    <w:rsid w:val="FD5FCC58"/>
    <w:rsid w:val="FD7EC693"/>
    <w:rsid w:val="FD7F8C18"/>
    <w:rsid w:val="FD7FB4D3"/>
    <w:rsid w:val="FD960949"/>
    <w:rsid w:val="FDBFB953"/>
    <w:rsid w:val="FDCCD039"/>
    <w:rsid w:val="FDCCEB8B"/>
    <w:rsid w:val="FDCFA121"/>
    <w:rsid w:val="FDD6AB38"/>
    <w:rsid w:val="FDD7055E"/>
    <w:rsid w:val="FDD7A3F4"/>
    <w:rsid w:val="FDDD295B"/>
    <w:rsid w:val="FDDF055C"/>
    <w:rsid w:val="FDDF56B4"/>
    <w:rsid w:val="FDDFEED5"/>
    <w:rsid w:val="FDEF6D33"/>
    <w:rsid w:val="FDF70B3B"/>
    <w:rsid w:val="FDFF8BFE"/>
    <w:rsid w:val="FE3FA0C2"/>
    <w:rsid w:val="FE6E0AB1"/>
    <w:rsid w:val="FE6E4291"/>
    <w:rsid w:val="FE77F9DE"/>
    <w:rsid w:val="FE7F3242"/>
    <w:rsid w:val="FE7F3F5C"/>
    <w:rsid w:val="FE7F81A0"/>
    <w:rsid w:val="FE8B6287"/>
    <w:rsid w:val="FEBC5A49"/>
    <w:rsid w:val="FEBEFEBF"/>
    <w:rsid w:val="FECF2C04"/>
    <w:rsid w:val="FEE2340C"/>
    <w:rsid w:val="FEEAE0DB"/>
    <w:rsid w:val="FEEF33EE"/>
    <w:rsid w:val="FEEFDCF6"/>
    <w:rsid w:val="FEF6328C"/>
    <w:rsid w:val="FEFE3DB4"/>
    <w:rsid w:val="FEFF0075"/>
    <w:rsid w:val="FEFFE35E"/>
    <w:rsid w:val="FF458C57"/>
    <w:rsid w:val="FF4F9BDF"/>
    <w:rsid w:val="FF5701FC"/>
    <w:rsid w:val="FF6EA01D"/>
    <w:rsid w:val="FF77E604"/>
    <w:rsid w:val="FF7B7013"/>
    <w:rsid w:val="FF7FED1E"/>
    <w:rsid w:val="FF8452F3"/>
    <w:rsid w:val="FF97A681"/>
    <w:rsid w:val="FF9BB303"/>
    <w:rsid w:val="FF9BD7F8"/>
    <w:rsid w:val="FF9E6B70"/>
    <w:rsid w:val="FFAF41D7"/>
    <w:rsid w:val="FFB53829"/>
    <w:rsid w:val="FFB704BA"/>
    <w:rsid w:val="FFCFD42D"/>
    <w:rsid w:val="FFD4F22A"/>
    <w:rsid w:val="FFD56263"/>
    <w:rsid w:val="FFDBD7EC"/>
    <w:rsid w:val="FFDCD64F"/>
    <w:rsid w:val="FFDF5AA4"/>
    <w:rsid w:val="FFE5D24C"/>
    <w:rsid w:val="FFEBF3BB"/>
    <w:rsid w:val="FFEF4347"/>
    <w:rsid w:val="FFF3156D"/>
    <w:rsid w:val="FFF56864"/>
    <w:rsid w:val="FFF5CEFD"/>
    <w:rsid w:val="FFF72F41"/>
    <w:rsid w:val="FFF79512"/>
    <w:rsid w:val="FFF9F315"/>
    <w:rsid w:val="FFFA248C"/>
    <w:rsid w:val="FFFA8344"/>
    <w:rsid w:val="FFFB36E1"/>
    <w:rsid w:val="FFFE2056"/>
    <w:rsid w:val="FFFF23E7"/>
    <w:rsid w:val="FFFF42A1"/>
    <w:rsid w:val="FFFF7016"/>
    <w:rsid w:val="FFFF99E9"/>
    <w:rsid w:val="FFFFF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99"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2"/>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109"/>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99"/>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link w:val="113"/>
    <w:qFormat/>
    <w:uiPriority w:val="0"/>
    <w:pPr>
      <w:spacing w:line="300" w:lineRule="auto"/>
      <w:ind w:firstLine="420" w:firstLineChars="200"/>
    </w:pPr>
    <w:rPr>
      <w:rFonts w:eastAsia="方正书宋简体"/>
      <w:kern w:val="0"/>
      <w:sz w:val="20"/>
      <w:szCs w:val="20"/>
    </w:rPr>
  </w:style>
  <w:style w:type="paragraph" w:styleId="7">
    <w:name w:val="Normal Indent"/>
    <w:basedOn w:val="1"/>
    <w:qFormat/>
    <w:uiPriority w:val="0"/>
    <w:pPr>
      <w:adjustRightInd w:val="0"/>
      <w:spacing w:line="300" w:lineRule="auto"/>
      <w:ind w:firstLine="420"/>
      <w:jc w:val="left"/>
      <w:textAlignment w:val="baseline"/>
    </w:pPr>
    <w:rPr>
      <w:rFonts w:ascii="仿宋_GB2312" w:eastAsia="仿宋_GB2312"/>
      <w:kern w:val="0"/>
      <w:sz w:val="28"/>
      <w:szCs w:val="20"/>
    </w:rPr>
  </w:style>
  <w:style w:type="paragraph" w:styleId="8">
    <w:name w:val="caption"/>
    <w:basedOn w:val="1"/>
    <w:next w:val="1"/>
    <w:qFormat/>
    <w:uiPriority w:val="0"/>
    <w:rPr>
      <w:rFonts w:ascii="宋体" w:hAnsi="Arial" w:cs="Arial"/>
      <w:szCs w:val="20"/>
    </w:rPr>
  </w:style>
  <w:style w:type="paragraph" w:styleId="9">
    <w:name w:val="Document Map"/>
    <w:basedOn w:val="1"/>
    <w:semiHidden/>
    <w:qFormat/>
    <w:uiPriority w:val="0"/>
    <w:pPr>
      <w:shd w:val="clear" w:color="auto" w:fill="000080"/>
    </w:pPr>
  </w:style>
  <w:style w:type="paragraph" w:styleId="10">
    <w:name w:val="annotation text"/>
    <w:basedOn w:val="1"/>
    <w:semiHidden/>
    <w:qFormat/>
    <w:uiPriority w:val="0"/>
    <w:pPr>
      <w:jc w:val="left"/>
    </w:pPr>
    <w:rPr>
      <w:szCs w:val="21"/>
    </w:rPr>
  </w:style>
  <w:style w:type="paragraph" w:styleId="11">
    <w:name w:val="Body Text"/>
    <w:basedOn w:val="12"/>
    <w:next w:val="12"/>
    <w:qFormat/>
    <w:uiPriority w:val="99"/>
    <w:pPr>
      <w:spacing w:after="120"/>
    </w:pPr>
  </w:style>
  <w:style w:type="paragraph" w:styleId="12">
    <w:name w:val="Title"/>
    <w:basedOn w:val="1"/>
    <w:next w:val="1"/>
    <w:link w:val="104"/>
    <w:qFormat/>
    <w:uiPriority w:val="0"/>
    <w:pPr>
      <w:spacing w:before="240" w:after="60"/>
      <w:jc w:val="center"/>
      <w:outlineLvl w:val="0"/>
    </w:pPr>
    <w:rPr>
      <w:rFonts w:ascii="Arial" w:hAnsi="Arial"/>
      <w:b/>
      <w:bCs/>
      <w:kern w:val="0"/>
      <w:sz w:val="32"/>
      <w:szCs w:val="32"/>
    </w:rPr>
  </w:style>
  <w:style w:type="paragraph" w:styleId="13">
    <w:name w:val="Body Text Indent"/>
    <w:basedOn w:val="1"/>
    <w:qFormat/>
    <w:uiPriority w:val="0"/>
    <w:pPr>
      <w:spacing w:after="120"/>
      <w:ind w:left="420" w:leftChars="200"/>
    </w:pPr>
  </w:style>
  <w:style w:type="paragraph" w:styleId="14">
    <w:name w:val="toc 3"/>
    <w:basedOn w:val="1"/>
    <w:next w:val="1"/>
    <w:qFormat/>
    <w:uiPriority w:val="39"/>
    <w:pPr>
      <w:tabs>
        <w:tab w:val="right" w:leader="dot" w:pos="8364"/>
      </w:tabs>
      <w:spacing w:line="360" w:lineRule="auto"/>
    </w:pPr>
  </w:style>
  <w:style w:type="paragraph" w:styleId="15">
    <w:name w:val="Plain Text"/>
    <w:basedOn w:val="1"/>
    <w:link w:val="99"/>
    <w:qFormat/>
    <w:uiPriority w:val="99"/>
    <w:rPr>
      <w:rFonts w:ascii="宋体" w:hAnsi="Courier New"/>
      <w:szCs w:val="20"/>
    </w:rPr>
  </w:style>
  <w:style w:type="paragraph" w:styleId="16">
    <w:name w:val="Date"/>
    <w:basedOn w:val="1"/>
    <w:next w:val="1"/>
    <w:link w:val="106"/>
    <w:qFormat/>
    <w:uiPriority w:val="0"/>
    <w:pPr>
      <w:adjustRightInd w:val="0"/>
      <w:spacing w:line="300" w:lineRule="auto"/>
      <w:textAlignment w:val="baseline"/>
    </w:pPr>
    <w:rPr>
      <w:rFonts w:ascii="仿宋_GB2312" w:eastAsia="仿宋_GB2312"/>
      <w:kern w:val="0"/>
      <w:sz w:val="24"/>
      <w:szCs w:val="20"/>
    </w:rPr>
  </w:style>
  <w:style w:type="paragraph" w:styleId="17">
    <w:name w:val="Balloon Text"/>
    <w:basedOn w:val="1"/>
    <w:link w:val="103"/>
    <w:semiHidden/>
    <w:qFormat/>
    <w:uiPriority w:val="99"/>
    <w:rPr>
      <w:sz w:val="18"/>
      <w:szCs w:val="18"/>
    </w:rPr>
  </w:style>
  <w:style w:type="paragraph" w:styleId="18">
    <w:name w:val="footer"/>
    <w:basedOn w:val="1"/>
    <w:link w:val="108"/>
    <w:qFormat/>
    <w:uiPriority w:val="99"/>
    <w:pPr>
      <w:tabs>
        <w:tab w:val="center" w:pos="4153"/>
        <w:tab w:val="right" w:pos="8306"/>
      </w:tabs>
      <w:snapToGrid w:val="0"/>
      <w:jc w:val="left"/>
    </w:pPr>
    <w:rPr>
      <w:sz w:val="18"/>
      <w:szCs w:val="18"/>
    </w:rPr>
  </w:style>
  <w:style w:type="paragraph" w:styleId="19">
    <w:name w:val="header"/>
    <w:basedOn w:val="1"/>
    <w:link w:val="34"/>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rPr>
      <w:rFonts w:ascii="黑体" w:hAnsi="黑体" w:eastAsia="黑体"/>
    </w:rPr>
  </w:style>
  <w:style w:type="paragraph" w:styleId="21">
    <w:name w:val="toc 4"/>
    <w:basedOn w:val="14"/>
    <w:next w:val="1"/>
    <w:semiHidden/>
    <w:qFormat/>
    <w:uiPriority w:val="0"/>
    <w:pPr>
      <w:widowControl/>
    </w:pPr>
    <w:rPr>
      <w:rFonts w:ascii="宋体"/>
      <w:kern w:val="0"/>
      <w:szCs w:val="20"/>
    </w:rPr>
  </w:style>
  <w:style w:type="paragraph" w:styleId="22">
    <w:name w:val="toc 2"/>
    <w:basedOn w:val="20"/>
    <w:next w:val="1"/>
    <w:qFormat/>
    <w:uiPriority w:val="39"/>
    <w:pPr>
      <w:widowControl/>
      <w:ind w:firstLine="200" w:firstLineChars="200"/>
    </w:pPr>
    <w:rPr>
      <w:rFonts w:ascii="Times New Roman" w:hAnsi="Times New Roman" w:eastAsia="宋体"/>
      <w:kern w:val="0"/>
      <w:szCs w:val="20"/>
    </w:rPr>
  </w:style>
  <w:style w:type="paragraph" w:styleId="23">
    <w:name w:val="Normal (Web)"/>
    <w:basedOn w:val="1"/>
    <w:qFormat/>
    <w:uiPriority w:val="99"/>
    <w:rPr>
      <w:sz w:val="24"/>
    </w:rPr>
  </w:style>
  <w:style w:type="paragraph" w:styleId="24">
    <w:name w:val="annotation subject"/>
    <w:basedOn w:val="10"/>
    <w:next w:val="10"/>
    <w:semiHidden/>
    <w:qFormat/>
    <w:uiPriority w:val="0"/>
    <w:rPr>
      <w:b/>
      <w:bCs/>
    </w:rPr>
  </w:style>
  <w:style w:type="paragraph" w:styleId="25">
    <w:name w:val="Body Text First Indent"/>
    <w:basedOn w:val="1"/>
    <w:qFormat/>
    <w:uiPriority w:val="0"/>
    <w:pPr>
      <w:ind w:firstLine="420" w:firstLineChars="100"/>
    </w:pPr>
  </w:style>
  <w:style w:type="table" w:styleId="27">
    <w:name w:val="Table Grid"/>
    <w:basedOn w:val="2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9">
    <w:name w:val="page number"/>
    <w:qFormat/>
    <w:uiPriority w:val="0"/>
    <w:rPr>
      <w:rFonts w:hint="default" w:ascii="Times New Roman" w:hAnsi="Times New Roman" w:eastAsia="宋体" w:cs="Times New Roman"/>
      <w:sz w:val="18"/>
    </w:rPr>
  </w:style>
  <w:style w:type="character" w:styleId="30">
    <w:name w:val="Emphasis"/>
    <w:qFormat/>
    <w:uiPriority w:val="99"/>
    <w:rPr>
      <w:i/>
      <w:iCs/>
    </w:rPr>
  </w:style>
  <w:style w:type="character" w:styleId="31">
    <w:name w:val="Hyperlink"/>
    <w:qFormat/>
    <w:uiPriority w:val="99"/>
    <w:rPr>
      <w:rFonts w:ascii="Times New Roman" w:hAnsi="Times New Roman" w:eastAsia="宋体"/>
      <w:color w:val="auto"/>
      <w:spacing w:val="0"/>
      <w:w w:val="100"/>
      <w:position w:val="0"/>
      <w:sz w:val="21"/>
      <w:u w:val="none"/>
      <w:vertAlign w:val="baseline"/>
    </w:rPr>
  </w:style>
  <w:style w:type="character" w:styleId="32">
    <w:name w:val="annotation reference"/>
    <w:semiHidden/>
    <w:qFormat/>
    <w:uiPriority w:val="0"/>
    <w:rPr>
      <w:sz w:val="21"/>
      <w:szCs w:val="21"/>
    </w:rPr>
  </w:style>
  <w:style w:type="character" w:styleId="33">
    <w:name w:val="HTML Cite"/>
    <w:qFormat/>
    <w:uiPriority w:val="0"/>
    <w:rPr>
      <w:i/>
      <w:iCs/>
    </w:rPr>
  </w:style>
  <w:style w:type="character" w:customStyle="1" w:styleId="34">
    <w:name w:val="页眉 Char"/>
    <w:link w:val="19"/>
    <w:qFormat/>
    <w:uiPriority w:val="99"/>
    <w:rPr>
      <w:kern w:val="2"/>
      <w:sz w:val="18"/>
      <w:szCs w:val="18"/>
    </w:rPr>
  </w:style>
  <w:style w:type="paragraph" w:customStyle="1" w:styleId="35">
    <w:name w:val="段"/>
    <w:qFormat/>
    <w:uiPriority w:val="0"/>
    <w:pPr>
      <w:autoSpaceDE w:val="0"/>
      <w:autoSpaceDN w:val="0"/>
      <w:ind w:firstLine="200" w:firstLineChars="200"/>
      <w:jc w:val="both"/>
    </w:pPr>
    <w:rPr>
      <w:rFonts w:ascii="宋体" w:hAnsi="Calibri" w:eastAsia="等线" w:cs="Times New Roman"/>
      <w:sz w:val="21"/>
      <w:lang w:val="en-US" w:eastAsia="zh-CN" w:bidi="ar-SA"/>
    </w:rPr>
  </w:style>
  <w:style w:type="paragraph" w:customStyle="1" w:styleId="36">
    <w:name w:val="四级条标题"/>
    <w:basedOn w:val="37"/>
    <w:next w:val="35"/>
    <w:qFormat/>
    <w:uiPriority w:val="0"/>
    <w:pPr>
      <w:numPr>
        <w:ilvl w:val="5"/>
      </w:numPr>
      <w:outlineLvl w:val="5"/>
    </w:pPr>
  </w:style>
  <w:style w:type="paragraph" w:customStyle="1" w:styleId="37">
    <w:name w:val="三级条标题"/>
    <w:basedOn w:val="38"/>
    <w:next w:val="35"/>
    <w:link w:val="100"/>
    <w:qFormat/>
    <w:uiPriority w:val="0"/>
    <w:pPr>
      <w:numPr>
        <w:ilvl w:val="4"/>
      </w:numPr>
      <w:outlineLvl w:val="4"/>
    </w:pPr>
  </w:style>
  <w:style w:type="paragraph" w:customStyle="1" w:styleId="38">
    <w:name w:val="二级条标题"/>
    <w:basedOn w:val="39"/>
    <w:next w:val="35"/>
    <w:link w:val="115"/>
    <w:qFormat/>
    <w:uiPriority w:val="0"/>
    <w:pPr>
      <w:numPr>
        <w:ilvl w:val="3"/>
      </w:numPr>
      <w:outlineLvl w:val="3"/>
    </w:pPr>
  </w:style>
  <w:style w:type="paragraph" w:customStyle="1" w:styleId="39">
    <w:name w:val="一级条标题"/>
    <w:basedOn w:val="40"/>
    <w:next w:val="35"/>
    <w:link w:val="110"/>
    <w:qFormat/>
    <w:uiPriority w:val="0"/>
    <w:pPr>
      <w:numPr>
        <w:ilvl w:val="2"/>
      </w:numPr>
      <w:spacing w:before="0" w:beforeLines="0" w:after="0" w:afterLines="0"/>
      <w:outlineLvl w:val="2"/>
    </w:pPr>
  </w:style>
  <w:style w:type="paragraph" w:customStyle="1" w:styleId="40">
    <w:name w:val="章标题"/>
    <w:next w:val="35"/>
    <w:link w:val="107"/>
    <w:qFormat/>
    <w:uiPriority w:val="0"/>
    <w:pPr>
      <w:numPr>
        <w:ilvl w:val="1"/>
        <w:numId w:val="2"/>
      </w:numPr>
      <w:spacing w:before="50" w:beforeLines="50" w:after="50" w:afterLines="50"/>
      <w:jc w:val="both"/>
      <w:outlineLvl w:val="1"/>
    </w:pPr>
    <w:rPr>
      <w:rFonts w:ascii="黑体" w:hAnsi="Calibri" w:eastAsia="黑体" w:cs="Times New Roman"/>
      <w:sz w:val="21"/>
      <w:lang w:val="en-US" w:eastAsia="zh-CN" w:bidi="ar-SA"/>
    </w:rPr>
  </w:style>
  <w:style w:type="paragraph" w:customStyle="1" w:styleId="41">
    <w:name w:val="*Z标题1"/>
    <w:qFormat/>
    <w:uiPriority w:val="0"/>
    <w:pPr>
      <w:numPr>
        <w:ilvl w:val="0"/>
        <w:numId w:val="3"/>
      </w:numPr>
      <w:spacing w:before="50" w:beforeLines="50" w:line="360" w:lineRule="auto"/>
      <w:outlineLvl w:val="0"/>
    </w:pPr>
    <w:rPr>
      <w:rFonts w:ascii="Times New Roman" w:hAnsi="Times New Roman" w:eastAsia="黑体" w:cs="Times New Roman"/>
      <w:b/>
      <w:bCs/>
      <w:kern w:val="2"/>
      <w:sz w:val="21"/>
      <w:szCs w:val="24"/>
      <w:lang w:val="en-US" w:eastAsia="zh-CN" w:bidi="ar-SA"/>
    </w:rPr>
  </w:style>
  <w:style w:type="paragraph" w:customStyle="1" w:styleId="42">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43">
    <w:name w:val="五级无标题条"/>
    <w:basedOn w:val="1"/>
    <w:qFormat/>
    <w:uiPriority w:val="0"/>
    <w:pPr>
      <w:numPr>
        <w:ilvl w:val="6"/>
        <w:numId w:val="4"/>
      </w:numPr>
    </w:pPr>
  </w:style>
  <w:style w:type="paragraph" w:customStyle="1" w:styleId="44">
    <w:name w:val="正文1_TB"/>
    <w:basedOn w:val="1"/>
    <w:link w:val="105"/>
    <w:qFormat/>
    <w:uiPriority w:val="0"/>
    <w:pPr>
      <w:adjustRightInd w:val="0"/>
      <w:spacing w:line="320" w:lineRule="exact"/>
      <w:ind w:firstLine="420" w:firstLineChars="200"/>
      <w:jc w:val="left"/>
      <w:textAlignment w:val="baseline"/>
    </w:pPr>
    <w:rPr>
      <w:rFonts w:ascii="宋体"/>
      <w:kern w:val="0"/>
      <w:szCs w:val="20"/>
    </w:rPr>
  </w:style>
  <w:style w:type="paragraph" w:customStyle="1" w:styleId="45">
    <w:name w:val="附录章标题"/>
    <w:next w:val="35"/>
    <w:qFormat/>
    <w:uiPriority w:val="0"/>
    <w:pPr>
      <w:numPr>
        <w:ilvl w:val="1"/>
        <w:numId w:val="5"/>
      </w:numPr>
      <w:wordWrap w:val="0"/>
      <w:overflowPunct w:val="0"/>
      <w:autoSpaceDE w:val="0"/>
      <w:spacing w:before="50" w:beforeLines="50" w:after="50" w:afterLines="50"/>
      <w:jc w:val="both"/>
      <w:textAlignment w:val="baseline"/>
      <w:outlineLvl w:val="1"/>
    </w:pPr>
    <w:rPr>
      <w:rFonts w:ascii="黑体" w:hAnsi="Calibri" w:eastAsia="黑体" w:cs="Times New Roman"/>
      <w:kern w:val="21"/>
      <w:sz w:val="21"/>
      <w:lang w:val="en-US" w:eastAsia="zh-CN" w:bidi="ar-SA"/>
    </w:rPr>
  </w:style>
  <w:style w:type="paragraph" w:customStyle="1" w:styleId="46">
    <w:name w:val="五级条标题"/>
    <w:basedOn w:val="36"/>
    <w:next w:val="35"/>
    <w:qFormat/>
    <w:uiPriority w:val="0"/>
    <w:pPr>
      <w:numPr>
        <w:ilvl w:val="6"/>
      </w:numPr>
      <w:outlineLvl w:val="6"/>
    </w:pPr>
  </w:style>
  <w:style w:type="paragraph" w:customStyle="1" w:styleId="47">
    <w:name w:val="前言、引言标题"/>
    <w:next w:val="1"/>
    <w:qFormat/>
    <w:uiPriority w:val="0"/>
    <w:pPr>
      <w:numPr>
        <w:ilvl w:val="0"/>
        <w:numId w:val="2"/>
      </w:numPr>
      <w:shd w:val="clear" w:color="FFFFFF" w:fill="FFFFFF"/>
      <w:spacing w:before="640" w:after="560"/>
      <w:jc w:val="center"/>
      <w:outlineLvl w:val="0"/>
    </w:pPr>
    <w:rPr>
      <w:rFonts w:ascii="黑体" w:hAnsi="Calibri" w:eastAsia="黑体" w:cs="Times New Roman"/>
      <w:sz w:val="32"/>
      <w:lang w:val="en-US" w:eastAsia="zh-CN" w:bidi="ar-SA"/>
    </w:rPr>
  </w:style>
  <w:style w:type="paragraph" w:customStyle="1" w:styleId="48">
    <w:name w:val="表格标题正常_制度头表格"/>
    <w:qFormat/>
    <w:uiPriority w:val="0"/>
    <w:pPr>
      <w:jc w:val="center"/>
    </w:pPr>
    <w:rPr>
      <w:rFonts w:ascii="Calibri" w:hAnsi="Calibri" w:eastAsia="等线" w:cs="Times New Roman"/>
      <w:sz w:val="21"/>
      <w:lang w:val="en-US" w:eastAsia="zh-CN" w:bidi="ar-SA"/>
    </w:rPr>
  </w:style>
  <w:style w:type="paragraph" w:customStyle="1" w:styleId="49">
    <w:name w:val="封面标准文稿编辑信息"/>
    <w:qFormat/>
    <w:uiPriority w:val="0"/>
    <w:pPr>
      <w:spacing w:before="180" w:line="180" w:lineRule="exact"/>
      <w:jc w:val="center"/>
    </w:pPr>
    <w:rPr>
      <w:rFonts w:ascii="宋体" w:hAnsi="Calibri" w:eastAsia="等线" w:cs="Times New Roman"/>
      <w:sz w:val="21"/>
      <w:lang w:val="en-US" w:eastAsia="zh-CN" w:bidi="ar-SA"/>
    </w:rPr>
  </w:style>
  <w:style w:type="paragraph" w:customStyle="1" w:styleId="50">
    <w:name w:val="封面标准号1"/>
    <w:qFormat/>
    <w:uiPriority w:val="0"/>
    <w:pPr>
      <w:widowControl w:val="0"/>
      <w:kinsoku w:val="0"/>
      <w:overflowPunct w:val="0"/>
      <w:autoSpaceDE w:val="0"/>
      <w:autoSpaceDN w:val="0"/>
      <w:spacing w:before="308"/>
      <w:jc w:val="right"/>
      <w:textAlignment w:val="center"/>
    </w:pPr>
    <w:rPr>
      <w:rFonts w:ascii="Calibri" w:hAnsi="Calibri" w:eastAsia="等线" w:cs="Times New Roman"/>
      <w:sz w:val="28"/>
      <w:lang w:val="en-US" w:eastAsia="zh-CN" w:bidi="ar-SA"/>
    </w:rPr>
  </w:style>
  <w:style w:type="paragraph" w:customStyle="1" w:styleId="51">
    <w:name w:val="附录表标题"/>
    <w:next w:val="35"/>
    <w:qFormat/>
    <w:uiPriority w:val="0"/>
    <w:pPr>
      <w:jc w:val="center"/>
      <w:textAlignment w:val="baseline"/>
    </w:pPr>
    <w:rPr>
      <w:rFonts w:ascii="黑体" w:hAnsi="Calibri" w:eastAsia="黑体" w:cs="Times New Roman"/>
      <w:kern w:val="21"/>
      <w:sz w:val="21"/>
      <w:lang w:val="en-US" w:eastAsia="zh-CN" w:bidi="ar-SA"/>
    </w:rPr>
  </w:style>
  <w:style w:type="paragraph" w:customStyle="1" w:styleId="52">
    <w:name w:val="封面标准代替信息"/>
    <w:basedOn w:val="1"/>
    <w:qFormat/>
    <w:uiPriority w:val="0"/>
    <w:pPr>
      <w:framePr w:w="9138" w:h="1244" w:hRule="exact" w:wrap="around" w:vAnchor="page" w:hAnchor="margin" w:y="2908" w:anchorLock="1"/>
      <w:kinsoku w:val="0"/>
      <w:overflowPunct w:val="0"/>
      <w:autoSpaceDE w:val="0"/>
      <w:autoSpaceDN w:val="0"/>
      <w:adjustRightInd w:val="0"/>
      <w:spacing w:before="57" w:line="280" w:lineRule="exact"/>
      <w:jc w:val="right"/>
      <w:textAlignment w:val="center"/>
    </w:pPr>
    <w:rPr>
      <w:rFonts w:ascii="宋体"/>
      <w:kern w:val="0"/>
      <w:szCs w:val="20"/>
    </w:rPr>
  </w:style>
  <w:style w:type="paragraph" w:customStyle="1" w:styleId="53">
    <w:name w:val="*Z标题3"/>
    <w:next w:val="54"/>
    <w:qFormat/>
    <w:uiPriority w:val="0"/>
    <w:pPr>
      <w:numPr>
        <w:ilvl w:val="2"/>
        <w:numId w:val="3"/>
      </w:numPr>
      <w:spacing w:line="360" w:lineRule="auto"/>
      <w:outlineLvl w:val="2"/>
    </w:pPr>
    <w:rPr>
      <w:rFonts w:ascii="Times New Roman" w:hAnsi="Times New Roman" w:eastAsia="宋体" w:cs="Times New Roman"/>
      <w:bCs/>
      <w:kern w:val="2"/>
      <w:sz w:val="21"/>
      <w:szCs w:val="24"/>
      <w:lang w:val="en-US" w:eastAsia="zh-CN" w:bidi="ar-SA"/>
    </w:rPr>
  </w:style>
  <w:style w:type="paragraph" w:customStyle="1" w:styleId="54">
    <w:name w:val="*Z正文2"/>
    <w:basedOn w:val="1"/>
    <w:qFormat/>
    <w:uiPriority w:val="0"/>
    <w:pPr>
      <w:adjustRightInd w:val="0"/>
      <w:snapToGrid w:val="0"/>
      <w:ind w:firstLine="200" w:firstLineChars="200"/>
    </w:pPr>
  </w:style>
  <w:style w:type="paragraph" w:customStyle="1" w:styleId="55">
    <w:name w:val="目次、标准名称标题"/>
    <w:basedOn w:val="47"/>
    <w:next w:val="35"/>
    <w:qFormat/>
    <w:uiPriority w:val="0"/>
    <w:pPr>
      <w:numPr>
        <w:numId w:val="0"/>
      </w:numPr>
      <w:spacing w:line="460" w:lineRule="exact"/>
    </w:pPr>
  </w:style>
  <w:style w:type="paragraph" w:customStyle="1" w:styleId="56">
    <w:name w:val="注："/>
    <w:next w:val="35"/>
    <w:qFormat/>
    <w:uiPriority w:val="0"/>
    <w:pPr>
      <w:widowControl w:val="0"/>
      <w:numPr>
        <w:ilvl w:val="0"/>
        <w:numId w:val="6"/>
      </w:numPr>
      <w:autoSpaceDE w:val="0"/>
      <w:autoSpaceDN w:val="0"/>
      <w:jc w:val="both"/>
    </w:pPr>
    <w:rPr>
      <w:rFonts w:ascii="宋体" w:hAnsi="Calibri" w:eastAsia="等线" w:cs="Times New Roman"/>
      <w:sz w:val="18"/>
      <w:lang w:val="en-US" w:eastAsia="zh-CN" w:bidi="ar-SA"/>
    </w:rPr>
  </w:style>
  <w:style w:type="paragraph" w:customStyle="1" w:styleId="57">
    <w:name w:val="一级无标题条"/>
    <w:basedOn w:val="1"/>
    <w:qFormat/>
    <w:uiPriority w:val="0"/>
    <w:pPr>
      <w:numPr>
        <w:ilvl w:val="2"/>
        <w:numId w:val="4"/>
      </w:numPr>
    </w:pPr>
  </w:style>
  <w:style w:type="paragraph" w:customStyle="1" w:styleId="58">
    <w:name w:val="三级无标题条"/>
    <w:basedOn w:val="1"/>
    <w:qFormat/>
    <w:uiPriority w:val="0"/>
    <w:pPr>
      <w:numPr>
        <w:ilvl w:val="4"/>
        <w:numId w:val="4"/>
      </w:numPr>
    </w:pPr>
  </w:style>
  <w:style w:type="paragraph" w:customStyle="1" w:styleId="59">
    <w:name w:val="标准1级标题"/>
    <w:basedOn w:val="1"/>
    <w:link w:val="101"/>
    <w:qFormat/>
    <w:uiPriority w:val="0"/>
    <w:pPr>
      <w:keepNext/>
      <w:keepLines/>
      <w:widowControl/>
      <w:spacing w:before="100" w:beforeLines="100" w:after="100" w:afterLines="100" w:line="416" w:lineRule="atLeast"/>
      <w:jc w:val="left"/>
      <w:outlineLvl w:val="0"/>
    </w:pPr>
    <w:rPr>
      <w:rFonts w:ascii="黑体" w:hAnsi="黑体" w:eastAsia="黑体"/>
      <w:kern w:val="0"/>
      <w:szCs w:val="20"/>
    </w:rPr>
  </w:style>
  <w:style w:type="paragraph" w:customStyle="1" w:styleId="60">
    <w:name w:val="四级无标题条"/>
    <w:basedOn w:val="1"/>
    <w:qFormat/>
    <w:uiPriority w:val="0"/>
    <w:pPr>
      <w:numPr>
        <w:ilvl w:val="5"/>
        <w:numId w:val="4"/>
      </w:numPr>
    </w:pPr>
  </w:style>
  <w:style w:type="paragraph" w:customStyle="1" w:styleId="61">
    <w:name w:val="目次、索引正文"/>
    <w:qFormat/>
    <w:uiPriority w:val="0"/>
    <w:pPr>
      <w:spacing w:line="320" w:lineRule="exact"/>
      <w:jc w:val="both"/>
    </w:pPr>
    <w:rPr>
      <w:rFonts w:ascii="宋体" w:hAnsi="Calibri" w:eastAsia="等线" w:cs="Times New Roman"/>
      <w:sz w:val="21"/>
      <w:lang w:val="en-US" w:eastAsia="zh-CN" w:bidi="ar-SA"/>
    </w:rPr>
  </w:style>
  <w:style w:type="paragraph" w:customStyle="1" w:styleId="62">
    <w:name w:val="封面标准英文名称"/>
    <w:qFormat/>
    <w:uiPriority w:val="0"/>
    <w:pPr>
      <w:widowControl w:val="0"/>
      <w:spacing w:before="370" w:line="400" w:lineRule="exact"/>
      <w:jc w:val="center"/>
    </w:pPr>
    <w:rPr>
      <w:rFonts w:ascii="Calibri" w:hAnsi="Calibri" w:eastAsia="等线" w:cs="Times New Roman"/>
      <w:sz w:val="28"/>
      <w:lang w:val="en-US" w:eastAsia="zh-CN" w:bidi="ar-SA"/>
    </w:rPr>
  </w:style>
  <w:style w:type="paragraph" w:customStyle="1" w:styleId="63">
    <w:name w:val="数字编号列项（二级）"/>
    <w:qFormat/>
    <w:uiPriority w:val="0"/>
    <w:pPr>
      <w:ind w:left="1260" w:leftChars="400" w:hanging="420" w:hangingChars="200"/>
      <w:jc w:val="both"/>
    </w:pPr>
    <w:rPr>
      <w:rFonts w:ascii="宋体" w:hAnsi="Calibri" w:eastAsia="等线" w:cs="Times New Roman"/>
      <w:sz w:val="21"/>
      <w:lang w:val="en-US" w:eastAsia="zh-CN" w:bidi="ar-SA"/>
    </w:rPr>
  </w:style>
  <w:style w:type="paragraph" w:customStyle="1" w:styleId="64">
    <w:name w:val="*Z标题2"/>
    <w:qFormat/>
    <w:uiPriority w:val="0"/>
    <w:pPr>
      <w:numPr>
        <w:ilvl w:val="1"/>
        <w:numId w:val="3"/>
      </w:numPr>
      <w:adjustRightInd w:val="0"/>
      <w:snapToGrid w:val="0"/>
      <w:spacing w:line="360" w:lineRule="auto"/>
      <w:outlineLvl w:val="1"/>
    </w:pPr>
    <w:rPr>
      <w:rFonts w:ascii="Times New Roman" w:hAnsi="Times New Roman" w:eastAsia="黑体" w:cs="Times New Roman"/>
      <w:bCs/>
      <w:kern w:val="2"/>
      <w:sz w:val="21"/>
      <w:szCs w:val="21"/>
      <w:lang w:val="en-US" w:eastAsia="zh-CN" w:bidi="ar-SA"/>
    </w:rPr>
  </w:style>
  <w:style w:type="paragraph" w:customStyle="1" w:styleId="65">
    <w:name w:val="无标题条"/>
    <w:next w:val="35"/>
    <w:qFormat/>
    <w:uiPriority w:val="0"/>
    <w:pPr>
      <w:jc w:val="both"/>
    </w:pPr>
    <w:rPr>
      <w:rFonts w:ascii="Calibri" w:hAnsi="Calibri" w:eastAsia="等线" w:cs="Times New Roman"/>
      <w:sz w:val="21"/>
      <w:lang w:val="en-US" w:eastAsia="zh-CN" w:bidi="ar-SA"/>
    </w:rPr>
  </w:style>
  <w:style w:type="paragraph" w:customStyle="1" w:styleId="66">
    <w:name w:val="表格名称"/>
    <w:basedOn w:val="1"/>
    <w:link w:val="114"/>
    <w:qFormat/>
    <w:uiPriority w:val="0"/>
    <w:pPr>
      <w:widowControl/>
      <w:jc w:val="center"/>
    </w:pPr>
    <w:rPr>
      <w:rFonts w:eastAsia="黑体"/>
      <w:kern w:val="0"/>
      <w:sz w:val="18"/>
      <w:szCs w:val="20"/>
    </w:rPr>
  </w:style>
  <w:style w:type="paragraph" w:customStyle="1" w:styleId="67">
    <w:name w:val="附录三级条标题"/>
    <w:basedOn w:val="68"/>
    <w:next w:val="35"/>
    <w:qFormat/>
    <w:uiPriority w:val="0"/>
    <w:pPr>
      <w:numPr>
        <w:ilvl w:val="4"/>
      </w:numPr>
      <w:outlineLvl w:val="4"/>
    </w:pPr>
  </w:style>
  <w:style w:type="paragraph" w:customStyle="1" w:styleId="68">
    <w:name w:val="附录二级条标题"/>
    <w:basedOn w:val="69"/>
    <w:next w:val="35"/>
    <w:qFormat/>
    <w:uiPriority w:val="0"/>
    <w:pPr>
      <w:numPr>
        <w:ilvl w:val="3"/>
      </w:numPr>
      <w:outlineLvl w:val="3"/>
    </w:pPr>
  </w:style>
  <w:style w:type="paragraph" w:customStyle="1" w:styleId="69">
    <w:name w:val="附录一级条标题"/>
    <w:basedOn w:val="45"/>
    <w:next w:val="35"/>
    <w:qFormat/>
    <w:uiPriority w:val="0"/>
    <w:pPr>
      <w:numPr>
        <w:ilvl w:val="2"/>
      </w:numPr>
      <w:autoSpaceDN w:val="0"/>
      <w:spacing w:before="0" w:beforeLines="0" w:after="0" w:afterLines="0"/>
      <w:outlineLvl w:val="2"/>
    </w:pPr>
  </w:style>
  <w:style w:type="paragraph" w:customStyle="1" w:styleId="70">
    <w:name w:val="标准书眉_奇数页"/>
    <w:next w:val="1"/>
    <w:qFormat/>
    <w:uiPriority w:val="0"/>
    <w:pPr>
      <w:tabs>
        <w:tab w:val="center" w:pos="4154"/>
        <w:tab w:val="right" w:pos="8306"/>
      </w:tabs>
      <w:spacing w:after="120"/>
      <w:jc w:val="right"/>
    </w:pPr>
    <w:rPr>
      <w:rFonts w:ascii="Calibri" w:hAnsi="Calibri" w:eastAsia="等线" w:cs="Times New Roman"/>
      <w:sz w:val="21"/>
      <w:lang w:val="en-US" w:eastAsia="zh-CN" w:bidi="ar-SA"/>
    </w:rPr>
  </w:style>
  <w:style w:type="paragraph" w:customStyle="1" w:styleId="71">
    <w:name w:val="_Style 67"/>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2">
    <w:name w:val="封面标准文稿类别"/>
    <w:qFormat/>
    <w:uiPriority w:val="0"/>
    <w:pPr>
      <w:spacing w:before="440" w:line="400" w:lineRule="exact"/>
      <w:jc w:val="center"/>
    </w:pPr>
    <w:rPr>
      <w:rFonts w:ascii="宋体" w:hAnsi="Calibri" w:eastAsia="等线" w:cs="Times New Roman"/>
      <w:sz w:val="24"/>
      <w:lang w:val="en-US" w:eastAsia="zh-CN" w:bidi="ar-SA"/>
    </w:rPr>
  </w:style>
  <w:style w:type="paragraph" w:customStyle="1" w:styleId="73">
    <w:name w:val="Char Char Char Char Char Char Char Char Char Char Char Char"/>
    <w:basedOn w:val="1"/>
    <w:qFormat/>
    <w:uiPriority w:val="0"/>
    <w:pPr>
      <w:spacing w:line="360" w:lineRule="auto"/>
    </w:pPr>
    <w:rPr>
      <w:rFonts w:ascii="Tahoma" w:hAnsi="Tahoma"/>
      <w:sz w:val="24"/>
      <w:szCs w:val="20"/>
    </w:rPr>
  </w:style>
  <w:style w:type="paragraph" w:customStyle="1" w:styleId="74">
    <w:name w:val="附录四级条标题"/>
    <w:basedOn w:val="67"/>
    <w:next w:val="35"/>
    <w:qFormat/>
    <w:uiPriority w:val="0"/>
    <w:pPr>
      <w:numPr>
        <w:ilvl w:val="5"/>
      </w:numPr>
      <w:outlineLvl w:val="5"/>
    </w:pPr>
  </w:style>
  <w:style w:type="paragraph" w:customStyle="1" w:styleId="75">
    <w:name w:val="附录五级条标题"/>
    <w:basedOn w:val="74"/>
    <w:next w:val="35"/>
    <w:qFormat/>
    <w:uiPriority w:val="0"/>
    <w:pPr>
      <w:numPr>
        <w:ilvl w:val="6"/>
      </w:numPr>
      <w:outlineLvl w:val="6"/>
    </w:pPr>
  </w:style>
  <w:style w:type="paragraph" w:customStyle="1" w:styleId="76">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eastAsia="等线" w:cs="Times New Roman"/>
      <w:b/>
      <w:bCs/>
      <w:spacing w:val="20"/>
      <w:w w:val="148"/>
      <w:sz w:val="52"/>
      <w:lang w:val="en-US" w:eastAsia="zh-CN" w:bidi="ar-SA"/>
    </w:rPr>
  </w:style>
  <w:style w:type="paragraph" w:customStyle="1" w:styleId="77">
    <w:name w:val="标准书脚_偶数页"/>
    <w:qFormat/>
    <w:uiPriority w:val="0"/>
    <w:pPr>
      <w:spacing w:before="120"/>
    </w:pPr>
    <w:rPr>
      <w:rFonts w:ascii="Calibri" w:hAnsi="Calibri" w:eastAsia="等线" w:cs="Times New Roman"/>
      <w:sz w:val="18"/>
      <w:lang w:val="en-US" w:eastAsia="zh-CN" w:bidi="ar-SA"/>
    </w:rPr>
  </w:style>
  <w:style w:type="paragraph" w:customStyle="1" w:styleId="78">
    <w:name w:val="附录标识"/>
    <w:basedOn w:val="47"/>
    <w:qFormat/>
    <w:uiPriority w:val="0"/>
    <w:pPr>
      <w:numPr>
        <w:ilvl w:val="0"/>
        <w:numId w:val="5"/>
      </w:numPr>
      <w:tabs>
        <w:tab w:val="left" w:pos="6405"/>
      </w:tabs>
      <w:spacing w:after="200"/>
    </w:pPr>
    <w:rPr>
      <w:sz w:val="21"/>
    </w:rPr>
  </w:style>
  <w:style w:type="paragraph" w:customStyle="1" w:styleId="79">
    <w:name w:val="表格内容居中正常_制度头表格"/>
    <w:qFormat/>
    <w:uiPriority w:val="0"/>
    <w:pPr>
      <w:jc w:val="center"/>
    </w:pPr>
    <w:rPr>
      <w:rFonts w:ascii="Calibri" w:hAnsi="Calibri" w:eastAsia="等线" w:cs="Times New Roman"/>
      <w:szCs w:val="21"/>
      <w:lang w:val="en-US" w:eastAsia="zh-CN" w:bidi="ar-SA"/>
    </w:rPr>
  </w:style>
  <w:style w:type="paragraph" w:customStyle="1" w:styleId="80">
    <w:name w:val="标准书眉_偶数页"/>
    <w:basedOn w:val="70"/>
    <w:next w:val="1"/>
    <w:qFormat/>
    <w:uiPriority w:val="0"/>
    <w:pPr>
      <w:jc w:val="left"/>
    </w:pPr>
  </w:style>
  <w:style w:type="paragraph" w:customStyle="1" w:styleId="81">
    <w:name w:val="标准书眉一"/>
    <w:qFormat/>
    <w:uiPriority w:val="0"/>
    <w:pPr>
      <w:jc w:val="both"/>
    </w:pPr>
    <w:rPr>
      <w:rFonts w:ascii="Calibri" w:hAnsi="Calibri" w:eastAsia="等线" w:cs="Times New Roman"/>
      <w:lang w:val="en-US" w:eastAsia="zh-CN" w:bidi="ar-SA"/>
    </w:rPr>
  </w:style>
  <w:style w:type="paragraph" w:styleId="82">
    <w:name w:val="List Paragraph"/>
    <w:basedOn w:val="1"/>
    <w:qFormat/>
    <w:uiPriority w:val="99"/>
    <w:pPr>
      <w:ind w:firstLine="420" w:firstLineChars="200"/>
    </w:pPr>
  </w:style>
  <w:style w:type="paragraph" w:customStyle="1" w:styleId="83">
    <w:name w:val="标准书脚_奇数页"/>
    <w:qFormat/>
    <w:uiPriority w:val="0"/>
    <w:pPr>
      <w:spacing w:before="120"/>
      <w:jc w:val="right"/>
    </w:pPr>
    <w:rPr>
      <w:rFonts w:ascii="Calibri" w:hAnsi="Calibri" w:eastAsia="等线" w:cs="Times New Roman"/>
      <w:sz w:val="18"/>
      <w:lang w:val="en-US" w:eastAsia="zh-CN" w:bidi="ar-SA"/>
    </w:rPr>
  </w:style>
  <w:style w:type="paragraph" w:customStyle="1" w:styleId="84">
    <w:name w:val="表格内容靠左粗体_制度头表格"/>
    <w:basedOn w:val="79"/>
    <w:qFormat/>
    <w:uiPriority w:val="0"/>
    <w:pPr>
      <w:jc w:val="both"/>
    </w:pPr>
    <w:rPr>
      <w:b/>
      <w:bCs/>
      <w:sz w:val="21"/>
    </w:rPr>
  </w:style>
  <w:style w:type="paragraph" w:customStyle="1" w:styleId="85">
    <w:name w:val="正文首行缩进1"/>
    <w:basedOn w:val="1"/>
    <w:qFormat/>
    <w:uiPriority w:val="0"/>
    <w:pPr>
      <w:spacing w:line="300" w:lineRule="auto"/>
      <w:ind w:firstLine="420"/>
    </w:pPr>
    <w:rPr>
      <w:rFonts w:eastAsia="方正书宋简体"/>
      <w:sz w:val="20"/>
    </w:rPr>
  </w:style>
  <w:style w:type="paragraph" w:customStyle="1" w:styleId="86">
    <w:name w:val="表格空行_制度头表格"/>
    <w:basedOn w:val="48"/>
    <w:qFormat/>
    <w:uiPriority w:val="0"/>
    <w:pPr>
      <w:tabs>
        <w:tab w:val="left" w:pos="2960"/>
      </w:tabs>
      <w:jc w:val="both"/>
    </w:pPr>
    <w:rPr>
      <w:rFonts w:eastAsia="黑体"/>
      <w:sz w:val="11"/>
      <w:szCs w:val="30"/>
    </w:rPr>
  </w:style>
  <w:style w:type="paragraph" w:customStyle="1" w:styleId="87">
    <w:name w:val="p0"/>
    <w:basedOn w:val="1"/>
    <w:qFormat/>
    <w:uiPriority w:val="0"/>
    <w:pPr>
      <w:widowControl/>
    </w:pPr>
    <w:rPr>
      <w:kern w:val="0"/>
    </w:rPr>
  </w:style>
  <w:style w:type="paragraph" w:customStyle="1" w:styleId="88">
    <w:name w:val="封面正文"/>
    <w:qFormat/>
    <w:uiPriority w:val="0"/>
    <w:pPr>
      <w:jc w:val="both"/>
    </w:pPr>
    <w:rPr>
      <w:rFonts w:ascii="Calibri" w:hAnsi="Calibri" w:eastAsia="等线" w:cs="Times New Roman"/>
      <w:lang w:val="en-US" w:eastAsia="zh-CN" w:bidi="ar-SA"/>
    </w:rPr>
  </w:style>
  <w:style w:type="paragraph" w:customStyle="1" w:styleId="89">
    <w:name w:val="表格标题粗体_制度头表格"/>
    <w:qFormat/>
    <w:uiPriority w:val="0"/>
    <w:pPr>
      <w:jc w:val="center"/>
    </w:pPr>
    <w:rPr>
      <w:rFonts w:ascii="Calibri" w:hAnsi="Calibri" w:eastAsia="等线" w:cs="Times New Roman"/>
      <w:b/>
      <w:sz w:val="21"/>
      <w:szCs w:val="21"/>
      <w:lang w:val="en-US" w:eastAsia="zh-CN" w:bidi="ar-SA"/>
    </w:rPr>
  </w:style>
  <w:style w:type="paragraph" w:customStyle="1" w:styleId="90">
    <w:name w:val="表格内容靠左正常_制度头表格"/>
    <w:qFormat/>
    <w:uiPriority w:val="0"/>
    <w:rPr>
      <w:rFonts w:ascii="Calibri" w:hAnsi="Calibri" w:eastAsia="等线" w:cs="Times New Roman"/>
      <w:sz w:val="21"/>
      <w:szCs w:val="21"/>
      <w:lang w:val="en-US" w:eastAsia="zh-CN" w:bidi="ar-SA"/>
    </w:rPr>
  </w:style>
  <w:style w:type="paragraph" w:customStyle="1" w:styleId="91">
    <w:name w:val="标准2级标题"/>
    <w:basedOn w:val="1"/>
    <w:link w:val="116"/>
    <w:qFormat/>
    <w:uiPriority w:val="0"/>
    <w:pPr>
      <w:widowControl/>
      <w:spacing w:before="120" w:after="120"/>
      <w:jc w:val="left"/>
      <w:outlineLvl w:val="1"/>
    </w:pPr>
    <w:rPr>
      <w:rFonts w:ascii="黑体" w:hAnsi="黑体" w:eastAsia="黑体"/>
      <w:kern w:val="0"/>
      <w:szCs w:val="20"/>
    </w:rPr>
  </w:style>
  <w:style w:type="paragraph" w:customStyle="1" w:styleId="92">
    <w:name w:val="封面一致性程度标识"/>
    <w:qFormat/>
    <w:uiPriority w:val="0"/>
    <w:pPr>
      <w:spacing w:before="440" w:line="400" w:lineRule="exact"/>
      <w:jc w:val="center"/>
    </w:pPr>
    <w:rPr>
      <w:rFonts w:ascii="宋体" w:hAnsi="Calibri" w:eastAsia="等线" w:cs="Times New Roman"/>
      <w:sz w:val="28"/>
      <w:lang w:val="en-US" w:eastAsia="zh-CN" w:bidi="ar-SA"/>
    </w:rPr>
  </w:style>
  <w:style w:type="paragraph" w:customStyle="1" w:styleId="93">
    <w:name w:val="正文表标题"/>
    <w:next w:val="35"/>
    <w:qFormat/>
    <w:uiPriority w:val="0"/>
    <w:pPr>
      <w:numPr>
        <w:ilvl w:val="0"/>
        <w:numId w:val="7"/>
      </w:numPr>
      <w:jc w:val="center"/>
    </w:pPr>
    <w:rPr>
      <w:rFonts w:ascii="黑体" w:hAnsi="Calibri" w:eastAsia="黑体" w:cs="Times New Roman"/>
      <w:sz w:val="21"/>
      <w:lang w:val="en-US" w:eastAsia="zh-CN" w:bidi="ar-SA"/>
    </w:rPr>
  </w:style>
  <w:style w:type="paragraph" w:customStyle="1" w:styleId="94">
    <w:name w:val="注×：（正文）"/>
    <w:qFormat/>
    <w:uiPriority w:val="0"/>
    <w:pPr>
      <w:tabs>
        <w:tab w:val="left" w:pos="360"/>
      </w:tabs>
      <w:jc w:val="both"/>
    </w:pPr>
    <w:rPr>
      <w:rFonts w:ascii="黑体" w:hAnsi="Times New Roman" w:eastAsia="宋体" w:cs="Times New Roman"/>
      <w:sz w:val="18"/>
      <w:szCs w:val="18"/>
      <w:lang w:val="en-US" w:eastAsia="zh-CN" w:bidi="ar-SA"/>
    </w:rPr>
  </w:style>
  <w:style w:type="paragraph" w:customStyle="1" w:styleId="9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96">
    <w:name w:val="发布日期"/>
    <w:qFormat/>
    <w:uiPriority w:val="0"/>
    <w:pPr>
      <w:framePr w:w="4000" w:h="473" w:hRule="exact" w:hSpace="180" w:vSpace="180" w:wrap="around" w:vAnchor="margin" w:hAnchor="margin" w:y="13511" w:anchorLock="1"/>
    </w:pPr>
    <w:rPr>
      <w:rFonts w:ascii="Calibri" w:hAnsi="Calibri" w:eastAsia="黑体" w:cs="Times New Roman"/>
      <w:sz w:val="28"/>
      <w:lang w:val="en-US" w:eastAsia="zh-CN" w:bidi="ar-SA"/>
    </w:rPr>
  </w:style>
  <w:style w:type="paragraph" w:customStyle="1" w:styleId="97">
    <w:name w:val="发布部门"/>
    <w:next w:val="35"/>
    <w:qFormat/>
    <w:uiPriority w:val="0"/>
    <w:pPr>
      <w:framePr w:w="7433" w:h="585" w:hRule="exact" w:hSpace="180" w:vSpace="180" w:wrap="around" w:vAnchor="margin" w:hAnchor="margin" w:xAlign="center" w:y="14401" w:anchorLock="1"/>
      <w:jc w:val="center"/>
    </w:pPr>
    <w:rPr>
      <w:rFonts w:ascii="宋体" w:hAnsi="Calibri" w:eastAsia="等线" w:cs="Times New Roman"/>
      <w:b/>
      <w:spacing w:val="20"/>
      <w:w w:val="135"/>
      <w:sz w:val="36"/>
      <w:lang w:val="en-US" w:eastAsia="zh-CN" w:bidi="ar-SA"/>
    </w:rPr>
  </w:style>
  <w:style w:type="paragraph" w:customStyle="1" w:styleId="98">
    <w:name w:val="二级无标题条"/>
    <w:basedOn w:val="1"/>
    <w:qFormat/>
    <w:uiPriority w:val="0"/>
    <w:pPr>
      <w:numPr>
        <w:ilvl w:val="3"/>
        <w:numId w:val="4"/>
      </w:numPr>
    </w:pPr>
  </w:style>
  <w:style w:type="character" w:customStyle="1" w:styleId="99">
    <w:name w:val="纯文本 Char"/>
    <w:link w:val="15"/>
    <w:qFormat/>
    <w:uiPriority w:val="99"/>
    <w:rPr>
      <w:rFonts w:ascii="宋体" w:hAnsi="Courier New"/>
      <w:kern w:val="2"/>
      <w:sz w:val="21"/>
    </w:rPr>
  </w:style>
  <w:style w:type="character" w:customStyle="1" w:styleId="100">
    <w:name w:val="三级条标题 Char"/>
    <w:link w:val="37"/>
    <w:qFormat/>
    <w:uiPriority w:val="0"/>
    <w:rPr>
      <w:rFonts w:ascii="黑体" w:eastAsia="黑体"/>
      <w:sz w:val="21"/>
    </w:rPr>
  </w:style>
  <w:style w:type="character" w:customStyle="1" w:styleId="101">
    <w:name w:val="标准1级标题 Char"/>
    <w:link w:val="59"/>
    <w:qFormat/>
    <w:uiPriority w:val="0"/>
    <w:rPr>
      <w:rFonts w:ascii="黑体" w:hAnsi="黑体" w:eastAsia="黑体" w:cs="宋体"/>
      <w:sz w:val="21"/>
    </w:rPr>
  </w:style>
  <w:style w:type="character" w:customStyle="1" w:styleId="102">
    <w:name w:val="标题 2 Char"/>
    <w:link w:val="4"/>
    <w:qFormat/>
    <w:uiPriority w:val="0"/>
    <w:rPr>
      <w:rFonts w:ascii="Cambria" w:hAnsi="Cambria"/>
      <w:b/>
      <w:bCs/>
      <w:kern w:val="2"/>
      <w:sz w:val="32"/>
      <w:szCs w:val="32"/>
    </w:rPr>
  </w:style>
  <w:style w:type="character" w:customStyle="1" w:styleId="103">
    <w:name w:val="批注框文本 Char"/>
    <w:link w:val="17"/>
    <w:semiHidden/>
    <w:qFormat/>
    <w:uiPriority w:val="99"/>
    <w:rPr>
      <w:kern w:val="2"/>
      <w:sz w:val="18"/>
      <w:szCs w:val="18"/>
    </w:rPr>
  </w:style>
  <w:style w:type="character" w:customStyle="1" w:styleId="104">
    <w:name w:val="标题 Char"/>
    <w:link w:val="12"/>
    <w:qFormat/>
    <w:uiPriority w:val="0"/>
    <w:rPr>
      <w:rFonts w:ascii="Arial" w:hAnsi="Arial"/>
      <w:b/>
      <w:bCs/>
      <w:sz w:val="32"/>
      <w:szCs w:val="32"/>
    </w:rPr>
  </w:style>
  <w:style w:type="character" w:customStyle="1" w:styleId="105">
    <w:name w:val="正文1_TB Char"/>
    <w:link w:val="44"/>
    <w:qFormat/>
    <w:uiPriority w:val="0"/>
    <w:rPr>
      <w:rFonts w:ascii="宋体"/>
      <w:sz w:val="21"/>
    </w:rPr>
  </w:style>
  <w:style w:type="character" w:customStyle="1" w:styleId="106">
    <w:name w:val="日期 Char"/>
    <w:link w:val="16"/>
    <w:qFormat/>
    <w:uiPriority w:val="0"/>
    <w:rPr>
      <w:rFonts w:ascii="仿宋_GB2312" w:eastAsia="仿宋_GB2312"/>
      <w:sz w:val="24"/>
    </w:rPr>
  </w:style>
  <w:style w:type="character" w:customStyle="1" w:styleId="107">
    <w:name w:val="章标题 Char"/>
    <w:link w:val="40"/>
    <w:qFormat/>
    <w:uiPriority w:val="0"/>
    <w:rPr>
      <w:rFonts w:ascii="黑体" w:eastAsia="黑体"/>
      <w:sz w:val="21"/>
      <w:lang w:val="en-US" w:eastAsia="zh-CN" w:bidi="ar-SA"/>
    </w:rPr>
  </w:style>
  <w:style w:type="character" w:customStyle="1" w:styleId="108">
    <w:name w:val="页脚 Char"/>
    <w:link w:val="18"/>
    <w:qFormat/>
    <w:uiPriority w:val="99"/>
    <w:rPr>
      <w:kern w:val="2"/>
      <w:sz w:val="18"/>
      <w:szCs w:val="18"/>
    </w:rPr>
  </w:style>
  <w:style w:type="character" w:customStyle="1" w:styleId="109">
    <w:name w:val="标题 3 Char"/>
    <w:link w:val="5"/>
    <w:qFormat/>
    <w:uiPriority w:val="0"/>
    <w:rPr>
      <w:b/>
      <w:bCs/>
      <w:sz w:val="32"/>
      <w:szCs w:val="32"/>
    </w:rPr>
  </w:style>
  <w:style w:type="character" w:customStyle="1" w:styleId="110">
    <w:name w:val="一级条标题 Char"/>
    <w:link w:val="39"/>
    <w:qFormat/>
    <w:uiPriority w:val="0"/>
    <w:rPr>
      <w:rFonts w:ascii="黑体" w:eastAsia="黑体"/>
      <w:sz w:val="21"/>
    </w:rPr>
  </w:style>
  <w:style w:type="character" w:customStyle="1" w:styleId="111">
    <w:name w:val="标题 1 Char"/>
    <w:link w:val="3"/>
    <w:qFormat/>
    <w:uiPriority w:val="0"/>
    <w:rPr>
      <w:b/>
      <w:bCs/>
      <w:kern w:val="44"/>
      <w:sz w:val="44"/>
      <w:szCs w:val="44"/>
    </w:rPr>
  </w:style>
  <w:style w:type="character" w:customStyle="1" w:styleId="112">
    <w:name w:val="发布"/>
    <w:qFormat/>
    <w:uiPriority w:val="0"/>
    <w:rPr>
      <w:rFonts w:ascii="黑体" w:eastAsia="黑体"/>
      <w:spacing w:val="22"/>
      <w:w w:val="100"/>
      <w:position w:val="3"/>
      <w:sz w:val="28"/>
    </w:rPr>
  </w:style>
  <w:style w:type="character" w:customStyle="1" w:styleId="113">
    <w:name w:val="首行缩进 Char"/>
    <w:link w:val="2"/>
    <w:qFormat/>
    <w:uiPriority w:val="0"/>
    <w:rPr>
      <w:rFonts w:eastAsia="方正书宋简体" w:cs="宋体"/>
    </w:rPr>
  </w:style>
  <w:style w:type="character" w:customStyle="1" w:styleId="114">
    <w:name w:val="表格名称 Char"/>
    <w:link w:val="66"/>
    <w:qFormat/>
    <w:uiPriority w:val="0"/>
    <w:rPr>
      <w:rFonts w:eastAsia="黑体"/>
      <w:sz w:val="18"/>
    </w:rPr>
  </w:style>
  <w:style w:type="character" w:customStyle="1" w:styleId="115">
    <w:name w:val="二级条标题 Char"/>
    <w:link w:val="38"/>
    <w:qFormat/>
    <w:uiPriority w:val="0"/>
    <w:rPr>
      <w:rFonts w:ascii="黑体" w:eastAsia="黑体"/>
      <w:sz w:val="21"/>
    </w:rPr>
  </w:style>
  <w:style w:type="character" w:customStyle="1" w:styleId="116">
    <w:name w:val="标准2级标题 Char"/>
    <w:link w:val="91"/>
    <w:qFormat/>
    <w:uiPriority w:val="0"/>
    <w:rPr>
      <w:rFonts w:ascii="黑体" w:hAnsi="黑体" w:eastAsia="黑体" w:cs="宋体"/>
      <w:sz w:val="21"/>
    </w:rPr>
  </w:style>
  <w:style w:type="table" w:customStyle="1" w:styleId="117">
    <w:name w:val="网格型1"/>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8">
    <w:name w:val="方案正文"/>
    <w:basedOn w:val="1"/>
    <w:qFormat/>
    <w:uiPriority w:val="0"/>
    <w:pPr>
      <w:spacing w:line="360" w:lineRule="auto"/>
      <w:ind w:firstLine="480"/>
    </w:pPr>
    <w:rPr>
      <w:rFonts w:ascii="仿宋_GB2312"/>
    </w:rPr>
  </w:style>
  <w:style w:type="paragraph" w:customStyle="1" w:styleId="119">
    <w:name w:val="￥标题2"/>
    <w:next w:val="1"/>
    <w:qFormat/>
    <w:uiPriority w:val="0"/>
    <w:pPr>
      <w:numPr>
        <w:ilvl w:val="1"/>
        <w:numId w:val="8"/>
      </w:numPr>
      <w:spacing w:line="360" w:lineRule="auto"/>
      <w:outlineLvl w:val="1"/>
    </w:pPr>
    <w:rPr>
      <w:rFonts w:ascii="Calibri" w:hAnsi="Calibri" w:eastAsia="黑体" w:cs="Times New Roman"/>
      <w:b/>
      <w:kern w:val="2"/>
      <w:sz w:val="24"/>
      <w:szCs w:val="22"/>
      <w:lang w:val="en-US" w:eastAsia="zh-CN" w:bidi="ar-SA"/>
    </w:rPr>
  </w:style>
  <w:style w:type="paragraph" w:customStyle="1" w:styleId="120">
    <w:name w:val="正文（首行缩进2字符）"/>
    <w:basedOn w:val="1"/>
    <w:qFormat/>
    <w:uiPriority w:val="0"/>
    <w:pPr>
      <w:spacing w:line="360" w:lineRule="auto"/>
      <w:ind w:firstLine="480" w:firstLineChars="200"/>
    </w:pPr>
    <w:rPr>
      <w:sz w:val="24"/>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microsoft.com/office/2006/relationships/keyMapCustomizations" Target="customizations.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2051"/>
    <customShpInfo spid="_x0000_s2052"/>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837CA-6450-456C-BC59-4E70BE3C5E5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9949</Words>
  <Characters>10664</Characters>
  <Lines>101</Lines>
  <Paragraphs>28</Paragraphs>
  <TotalTime>0</TotalTime>
  <ScaleCrop>false</ScaleCrop>
  <LinksUpToDate>false</LinksUpToDate>
  <CharactersWithSpaces>10830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2022-01-10T03:37:00Z</dcterms:created>
  <dc:creator>admin</dc:creator>
  <cp:lastModifiedBy>苏浩辉</cp:lastModifiedBy>
  <cp:lastPrinted>2012-11-21T03:11:00Z</cp:lastPrinted>
  <dcterms:modified xsi:type="dcterms:W3CDTF">2023-11-09T02:30:52Z</dcterms:modified>
  <dc:title>XXXX标准（大标题）</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8CDF510C480941B7B219FEBC38304BF8</vt:lpwstr>
  </property>
</Properties>
</file>