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F6E135">
      <w:pPr>
        <w:spacing w:before="688" w:beforeLines="200"/>
        <w:jc w:val="center"/>
        <w:rPr>
          <w:rFonts w:hint="eastAsia" w:eastAsia="黑体"/>
          <w:b/>
          <w:sz w:val="52"/>
          <w:lang w:val="en-US" w:eastAsia="zh-CN"/>
        </w:rPr>
      </w:pPr>
      <w:bookmarkStart w:id="0" w:name="OLE_LINK1"/>
      <w:bookmarkStart w:id="1" w:name="_Toc416267173"/>
      <w:bookmarkStart w:id="2" w:name="_Toc415486390"/>
      <w:r>
        <w:rPr>
          <w:rFonts w:hint="eastAsia" w:eastAsia="黑体"/>
          <w:b/>
          <w:sz w:val="52"/>
        </w:rPr>
        <w:drawing>
          <wp:anchor distT="0" distB="0" distL="114300" distR="114300" simplePos="0" relativeHeight="251659264" behindDoc="1" locked="0" layoutInCell="1" allowOverlap="1">
            <wp:simplePos x="0" y="0"/>
            <wp:positionH relativeFrom="column">
              <wp:posOffset>-900430</wp:posOffset>
            </wp:positionH>
            <wp:positionV relativeFrom="paragraph">
              <wp:posOffset>-1046480</wp:posOffset>
            </wp:positionV>
            <wp:extent cx="7983220" cy="2820670"/>
            <wp:effectExtent l="0" t="0" r="17780" b="17780"/>
            <wp:wrapTight wrapText="bothSides">
              <wp:wrapPolygon>
                <wp:start x="0" y="0"/>
                <wp:lineTo x="0" y="21444"/>
                <wp:lineTo x="21545" y="21444"/>
                <wp:lineTo x="21545" y="0"/>
                <wp:lineTo x="0" y="0"/>
              </wp:wrapPolygon>
            </wp:wrapTight>
            <wp:docPr id="10" name="图片 10"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模板-3"/>
                    <pic:cNvPicPr>
                      <a:picLocks noChangeAspect="1" noChangeArrowheads="1"/>
                    </pic:cNvPicPr>
                  </pic:nvPicPr>
                  <pic:blipFill>
                    <a:blip r:embed="rId8" cstate="print">
                      <a:lum contrast="24000"/>
                      <a:extLst>
                        <a:ext uri="{28A0092B-C50C-407E-A947-70E740481C1C}">
                          <a14:useLocalDpi xmlns:a14="http://schemas.microsoft.com/office/drawing/2010/main" val="0"/>
                        </a:ext>
                      </a:extLst>
                    </a:blip>
                    <a:srcRect/>
                    <a:stretch>
                      <a:fillRect/>
                    </a:stretch>
                  </pic:blipFill>
                  <pic:spPr>
                    <a:xfrm>
                      <a:off x="0" y="0"/>
                      <a:ext cx="7983220" cy="2820670"/>
                    </a:xfrm>
                    <a:prstGeom prst="rect">
                      <a:avLst/>
                    </a:prstGeom>
                    <a:noFill/>
                    <a:ln>
                      <a:noFill/>
                    </a:ln>
                  </pic:spPr>
                </pic:pic>
              </a:graphicData>
            </a:graphic>
          </wp:anchor>
        </w:drawing>
      </w:r>
      <w:r>
        <w:rPr>
          <w:rFonts w:hint="eastAsia" w:eastAsia="黑体"/>
          <w:b/>
          <w:sz w:val="52"/>
        </w:rPr>
        <w:t>1</w:t>
      </w:r>
      <w:r>
        <w:rPr>
          <w:rFonts w:hint="eastAsia" w:eastAsia="黑体"/>
          <w:b/>
          <w:sz w:val="52"/>
          <w:lang w:val="en-US" w:eastAsia="zh-CN"/>
        </w:rPr>
        <w:t>50</w:t>
      </w:r>
      <w:r>
        <w:rPr>
          <w:rFonts w:hint="eastAsia" w:eastAsia="黑体"/>
          <w:b/>
          <w:sz w:val="52"/>
        </w:rPr>
        <w:t>0kW</w:t>
      </w:r>
      <w:r>
        <w:rPr>
          <w:rFonts w:hint="eastAsia" w:eastAsia="黑体"/>
          <w:b/>
          <w:sz w:val="52"/>
          <w:lang w:val="en-US" w:eastAsia="zh-Hans"/>
        </w:rPr>
        <w:t>柴</w:t>
      </w:r>
      <w:r>
        <w:rPr>
          <w:rFonts w:hint="eastAsia" w:eastAsia="黑体"/>
          <w:b/>
          <w:sz w:val="52"/>
        </w:rPr>
        <w:t>油发电机</w:t>
      </w:r>
      <w:r>
        <w:rPr>
          <w:rFonts w:hint="eastAsia" w:eastAsia="黑体"/>
          <w:b/>
          <w:sz w:val="52"/>
          <w:lang w:val="en-US" w:eastAsia="zh-CN"/>
        </w:rPr>
        <w:t>采购</w:t>
      </w:r>
    </w:p>
    <w:bookmarkEnd w:id="0"/>
    <w:p w14:paraId="3F348770">
      <w:pPr>
        <w:spacing w:before="688" w:beforeLines="200"/>
        <w:jc w:val="center"/>
        <w:rPr>
          <w:rFonts w:eastAsia="黑体"/>
          <w:b/>
          <w:sz w:val="52"/>
        </w:rPr>
      </w:pPr>
      <w:r>
        <w:rPr>
          <w:rFonts w:hint="eastAsia" w:eastAsia="黑体"/>
          <w:b/>
          <w:sz w:val="52"/>
        </w:rPr>
        <w:t>技术规范书</w:t>
      </w:r>
    </w:p>
    <w:p w14:paraId="06F2CF3F">
      <w:pPr>
        <w:ind w:left="2517" w:firstLine="361" w:firstLineChars="100"/>
        <w:rPr>
          <w:rFonts w:hint="eastAsia" w:eastAsia="黑体"/>
          <w:b/>
          <w:sz w:val="36"/>
        </w:rPr>
      </w:pPr>
    </w:p>
    <w:p w14:paraId="34342277">
      <w:pPr>
        <w:ind w:left="2517" w:firstLine="361" w:firstLineChars="100"/>
        <w:rPr>
          <w:rFonts w:hint="eastAsia" w:eastAsia="黑体"/>
          <w:b/>
          <w:sz w:val="36"/>
        </w:rPr>
      </w:pPr>
    </w:p>
    <w:p w14:paraId="15EFC591">
      <w:pPr>
        <w:ind w:left="2517" w:firstLine="361" w:firstLineChars="100"/>
        <w:rPr>
          <w:rFonts w:hint="eastAsia" w:eastAsia="黑体"/>
          <w:b/>
          <w:sz w:val="36"/>
        </w:rPr>
      </w:pPr>
    </w:p>
    <w:p w14:paraId="27E3DF0D">
      <w:pPr>
        <w:pStyle w:val="19"/>
        <w:rPr>
          <w:rFonts w:hint="eastAsia" w:eastAsia="黑体"/>
          <w:b/>
          <w:sz w:val="36"/>
        </w:rPr>
      </w:pPr>
    </w:p>
    <w:p w14:paraId="7DF13DE3">
      <w:pPr>
        <w:pStyle w:val="19"/>
        <w:ind w:left="0" w:leftChars="0" w:firstLine="0" w:firstLineChars="0"/>
        <w:rPr>
          <w:rFonts w:hint="eastAsia" w:eastAsia="黑体"/>
          <w:b/>
          <w:sz w:val="36"/>
        </w:rPr>
      </w:pPr>
    </w:p>
    <w:p w14:paraId="74AF9B70">
      <w:pPr>
        <w:pStyle w:val="19"/>
        <w:rPr>
          <w:rFonts w:hint="eastAsia" w:eastAsia="黑体"/>
          <w:b/>
          <w:sz w:val="36"/>
        </w:rPr>
      </w:pPr>
    </w:p>
    <w:p w14:paraId="0FCB35CF">
      <w:pPr>
        <w:jc w:val="center"/>
        <w:rPr>
          <w:rFonts w:ascii="黑体" w:eastAsia="黑体"/>
          <w:b/>
          <w:spacing w:val="20"/>
          <w:w w:val="135"/>
          <w:sz w:val="30"/>
        </w:rPr>
      </w:pPr>
      <w:r>
        <w:rPr>
          <w:rFonts w:hint="eastAsia" w:ascii="黑体" w:eastAsia="黑体"/>
          <w:b/>
          <w:spacing w:val="20"/>
          <w:w w:val="135"/>
          <w:sz w:val="30"/>
          <w:lang w:val="en-US" w:eastAsia="zh-CN"/>
        </w:rPr>
        <w:t>深圳供电局有限</w:t>
      </w:r>
      <w:r>
        <w:rPr>
          <w:rFonts w:hint="eastAsia" w:ascii="黑体" w:eastAsia="黑体"/>
          <w:b/>
          <w:spacing w:val="20"/>
          <w:w w:val="135"/>
          <w:sz w:val="30"/>
        </w:rPr>
        <w:t>公司</w:t>
      </w:r>
    </w:p>
    <w:p w14:paraId="1B799DCD">
      <w:pPr>
        <w:jc w:val="center"/>
        <w:rPr>
          <w:rFonts w:ascii="黑体" w:eastAsia="黑体"/>
          <w:b/>
          <w:spacing w:val="20"/>
          <w:w w:val="135"/>
          <w:sz w:val="30"/>
        </w:rPr>
      </w:pPr>
      <w:r>
        <w:rPr>
          <w:rFonts w:hint="eastAsia" w:ascii="黑体" w:eastAsia="黑体"/>
          <w:b/>
          <w:spacing w:val="20"/>
          <w:w w:val="135"/>
          <w:sz w:val="30"/>
        </w:rPr>
        <w:t>20</w:t>
      </w:r>
      <w:r>
        <w:rPr>
          <w:rFonts w:hint="eastAsia" w:ascii="黑体" w:eastAsia="黑体"/>
          <w:b/>
          <w:spacing w:val="20"/>
          <w:w w:val="135"/>
          <w:sz w:val="30"/>
          <w:lang w:val="en-US" w:eastAsia="zh-CN"/>
        </w:rPr>
        <w:t>25</w:t>
      </w:r>
      <w:r>
        <w:rPr>
          <w:rFonts w:hint="eastAsia" w:ascii="黑体" w:eastAsia="黑体"/>
          <w:b/>
          <w:spacing w:val="20"/>
          <w:w w:val="135"/>
          <w:sz w:val="30"/>
        </w:rPr>
        <w:t>年</w:t>
      </w:r>
      <w:r>
        <w:rPr>
          <w:rFonts w:hint="eastAsia" w:ascii="黑体" w:eastAsia="黑体"/>
          <w:b/>
          <w:spacing w:val="20"/>
          <w:w w:val="135"/>
          <w:sz w:val="30"/>
          <w:lang w:val="en-US" w:eastAsia="zh-CN"/>
        </w:rPr>
        <w:t>6</w:t>
      </w:r>
      <w:r>
        <w:rPr>
          <w:rFonts w:hint="eastAsia" w:ascii="黑体" w:eastAsia="黑体"/>
          <w:b/>
          <w:spacing w:val="20"/>
          <w:w w:val="135"/>
          <w:sz w:val="30"/>
        </w:rPr>
        <w:t>月</w:t>
      </w:r>
    </w:p>
    <w:p w14:paraId="34247C7B">
      <w:pPr>
        <w:rPr>
          <w:rFonts w:hint="eastAsia" w:ascii="黑体" w:eastAsia="黑体"/>
          <w:sz w:val="36"/>
          <w:szCs w:val="36"/>
        </w:rPr>
      </w:pPr>
      <w:r>
        <w:rPr>
          <w:rFonts w:ascii="仿宋_GB2312" w:eastAsia="仿宋_GB2312"/>
          <w:color w:val="000000"/>
        </w:rPr>
        <w:br w:type="page"/>
      </w:r>
    </w:p>
    <w:p w14:paraId="3AD6D212">
      <w:pPr>
        <w:spacing w:line="360" w:lineRule="auto"/>
        <w:jc w:val="center"/>
        <w:rPr>
          <w:rFonts w:ascii="黑体" w:eastAsia="黑体"/>
          <w:sz w:val="36"/>
          <w:szCs w:val="36"/>
        </w:rPr>
      </w:pPr>
      <w:r>
        <w:rPr>
          <w:rFonts w:hint="eastAsia" w:ascii="黑体" w:eastAsia="黑体"/>
          <w:sz w:val="36"/>
          <w:szCs w:val="36"/>
        </w:rPr>
        <w:t>目</w:t>
      </w:r>
      <w:bookmarkStart w:id="3" w:name="BKML"/>
      <w:bookmarkEnd w:id="3"/>
      <w:r>
        <w:rPr>
          <w:rFonts w:hint="eastAsia" w:ascii="黑体" w:eastAsia="黑体"/>
          <w:sz w:val="36"/>
          <w:szCs w:val="36"/>
        </w:rPr>
        <w:t xml:space="preserve"> </w:t>
      </w:r>
      <w:r>
        <w:rPr>
          <w:rFonts w:hint="eastAsia" w:ascii="黑体" w:eastAsia="黑体"/>
          <w:sz w:val="36"/>
          <w:szCs w:val="36"/>
          <w:lang w:val="en-US" w:eastAsia="zh-CN"/>
        </w:rPr>
        <w:t xml:space="preserve"> </w:t>
      </w:r>
      <w:r>
        <w:rPr>
          <w:rFonts w:hint="eastAsia" w:ascii="黑体" w:eastAsia="黑体"/>
          <w:sz w:val="36"/>
          <w:szCs w:val="36"/>
        </w:rPr>
        <w:t>录</w:t>
      </w:r>
    </w:p>
    <w:p w14:paraId="77FD0945">
      <w:pPr>
        <w:pStyle w:val="33"/>
        <w:rPr>
          <w:rFonts w:asciiTheme="minorHAnsi" w:hAnsiTheme="minorHAnsi" w:eastAsiaTheme="minorEastAsia" w:cstheme="minorBidi"/>
          <w:szCs w:val="22"/>
        </w:rPr>
      </w:pPr>
      <w:r>
        <w:fldChar w:fldCharType="begin"/>
      </w:r>
      <w:r>
        <w:instrText xml:space="preserve"> TOC \o "1-2" \h \z \u </w:instrText>
      </w:r>
      <w:r>
        <w:fldChar w:fldCharType="separate"/>
      </w:r>
      <w:r>
        <w:fldChar w:fldCharType="begin"/>
      </w:r>
      <w:r>
        <w:instrText xml:space="preserve"> HYPERLINK \l "_Toc513800153" </w:instrText>
      </w:r>
      <w:r>
        <w:fldChar w:fldCharType="separate"/>
      </w:r>
      <w:r>
        <w:rPr>
          <w:rStyle w:val="45"/>
        </w:rPr>
        <w:t>1</w:t>
      </w:r>
      <w:r>
        <w:rPr>
          <w:rStyle w:val="45"/>
          <w:rFonts w:hint="eastAsia" w:ascii="Times New Roman"/>
        </w:rPr>
        <w:t xml:space="preserve"> 范围</w:t>
      </w:r>
      <w:r>
        <w:tab/>
      </w:r>
      <w:r>
        <w:fldChar w:fldCharType="begin"/>
      </w:r>
      <w:r>
        <w:instrText xml:space="preserve"> PAGEREF _Toc513800153 \h </w:instrText>
      </w:r>
      <w:r>
        <w:fldChar w:fldCharType="separate"/>
      </w:r>
      <w:r>
        <w:t>1</w:t>
      </w:r>
      <w:r>
        <w:fldChar w:fldCharType="end"/>
      </w:r>
      <w:r>
        <w:fldChar w:fldCharType="end"/>
      </w:r>
    </w:p>
    <w:p w14:paraId="406A8B33">
      <w:pPr>
        <w:pStyle w:val="33"/>
        <w:rPr>
          <w:rFonts w:asciiTheme="minorHAnsi" w:hAnsiTheme="minorHAnsi" w:eastAsiaTheme="minorEastAsia" w:cstheme="minorBidi"/>
          <w:szCs w:val="22"/>
        </w:rPr>
      </w:pPr>
      <w:r>
        <w:fldChar w:fldCharType="begin"/>
      </w:r>
      <w:r>
        <w:instrText xml:space="preserve"> HYPERLINK \l "_Toc513800154" </w:instrText>
      </w:r>
      <w:r>
        <w:fldChar w:fldCharType="separate"/>
      </w:r>
      <w:r>
        <w:rPr>
          <w:rStyle w:val="45"/>
        </w:rPr>
        <w:t>2</w:t>
      </w:r>
      <w:r>
        <w:rPr>
          <w:rStyle w:val="45"/>
          <w:rFonts w:hint="eastAsia" w:ascii="Times New Roman"/>
        </w:rPr>
        <w:t xml:space="preserve"> 规范性引用文件</w:t>
      </w:r>
      <w:r>
        <w:tab/>
      </w:r>
      <w:r>
        <w:fldChar w:fldCharType="begin"/>
      </w:r>
      <w:r>
        <w:instrText xml:space="preserve"> PAGEREF _Toc513800154 \h </w:instrText>
      </w:r>
      <w:r>
        <w:fldChar w:fldCharType="separate"/>
      </w:r>
      <w:r>
        <w:t>1</w:t>
      </w:r>
      <w:r>
        <w:fldChar w:fldCharType="end"/>
      </w:r>
      <w:r>
        <w:fldChar w:fldCharType="end"/>
      </w:r>
    </w:p>
    <w:p w14:paraId="7AADF734">
      <w:pPr>
        <w:pStyle w:val="33"/>
        <w:rPr>
          <w:rFonts w:asciiTheme="minorHAnsi" w:hAnsiTheme="minorHAnsi" w:eastAsiaTheme="minorEastAsia" w:cstheme="minorBidi"/>
          <w:szCs w:val="22"/>
        </w:rPr>
      </w:pPr>
      <w:r>
        <w:fldChar w:fldCharType="begin"/>
      </w:r>
      <w:r>
        <w:instrText xml:space="preserve"> HYPERLINK \l "_Toc513800155" </w:instrText>
      </w:r>
      <w:r>
        <w:fldChar w:fldCharType="separate"/>
      </w:r>
      <w:r>
        <w:rPr>
          <w:rStyle w:val="45"/>
        </w:rPr>
        <w:t>3</w:t>
      </w:r>
      <w:r>
        <w:rPr>
          <w:rStyle w:val="45"/>
          <w:rFonts w:hint="eastAsia" w:ascii="Times New Roman"/>
        </w:rPr>
        <w:t xml:space="preserve"> 术语和定义</w:t>
      </w:r>
      <w:r>
        <w:tab/>
      </w:r>
      <w:r>
        <w:fldChar w:fldCharType="begin"/>
      </w:r>
      <w:r>
        <w:instrText xml:space="preserve"> PAGEREF _Toc513800155 \h </w:instrText>
      </w:r>
      <w:r>
        <w:fldChar w:fldCharType="separate"/>
      </w:r>
      <w:r>
        <w:t>1</w:t>
      </w:r>
      <w:r>
        <w:fldChar w:fldCharType="end"/>
      </w:r>
      <w:r>
        <w:fldChar w:fldCharType="end"/>
      </w:r>
    </w:p>
    <w:p w14:paraId="5B90B0DD">
      <w:pPr>
        <w:pStyle w:val="33"/>
        <w:rPr>
          <w:rFonts w:asciiTheme="minorHAnsi" w:hAnsiTheme="minorHAnsi" w:eastAsiaTheme="minorEastAsia" w:cstheme="minorBidi"/>
          <w:szCs w:val="22"/>
        </w:rPr>
      </w:pPr>
      <w:r>
        <w:fldChar w:fldCharType="begin"/>
      </w:r>
      <w:r>
        <w:instrText xml:space="preserve"> HYPERLINK \l "_Toc513800156" </w:instrText>
      </w:r>
      <w:r>
        <w:fldChar w:fldCharType="separate"/>
      </w:r>
      <w:r>
        <w:rPr>
          <w:rStyle w:val="45"/>
        </w:rPr>
        <w:t>4</w:t>
      </w:r>
      <w:r>
        <w:rPr>
          <w:rStyle w:val="45"/>
          <w:rFonts w:hint="eastAsia" w:ascii="Times New Roman"/>
        </w:rPr>
        <w:t xml:space="preserve"> 系统组成</w:t>
      </w:r>
      <w:r>
        <w:tab/>
      </w:r>
      <w:r>
        <w:fldChar w:fldCharType="begin"/>
      </w:r>
      <w:r>
        <w:instrText xml:space="preserve"> PAGEREF _Toc513800156 \h </w:instrText>
      </w:r>
      <w:r>
        <w:fldChar w:fldCharType="separate"/>
      </w:r>
      <w:r>
        <w:t>2</w:t>
      </w:r>
      <w:r>
        <w:fldChar w:fldCharType="end"/>
      </w:r>
      <w:r>
        <w:fldChar w:fldCharType="end"/>
      </w:r>
    </w:p>
    <w:p w14:paraId="4C5C9F18">
      <w:pPr>
        <w:pStyle w:val="33"/>
        <w:rPr>
          <w:rFonts w:asciiTheme="minorHAnsi" w:hAnsiTheme="minorHAnsi" w:eastAsiaTheme="minorEastAsia" w:cstheme="minorBidi"/>
          <w:szCs w:val="22"/>
        </w:rPr>
      </w:pPr>
      <w:r>
        <w:fldChar w:fldCharType="begin"/>
      </w:r>
      <w:r>
        <w:instrText xml:space="preserve"> HYPERLINK \l "_Toc513800157" </w:instrText>
      </w:r>
      <w:r>
        <w:fldChar w:fldCharType="separate"/>
      </w:r>
      <w:r>
        <w:rPr>
          <w:rStyle w:val="45"/>
        </w:rPr>
        <w:t>5</w:t>
      </w:r>
      <w:r>
        <w:rPr>
          <w:rStyle w:val="45"/>
          <w:rFonts w:hint="eastAsia" w:ascii="Times New Roman"/>
        </w:rPr>
        <w:t xml:space="preserve"> 技术要求</w:t>
      </w:r>
      <w:r>
        <w:tab/>
      </w:r>
      <w:r>
        <w:fldChar w:fldCharType="begin"/>
      </w:r>
      <w:r>
        <w:instrText xml:space="preserve"> PAGEREF _Toc513800157 \h </w:instrText>
      </w:r>
      <w:r>
        <w:fldChar w:fldCharType="separate"/>
      </w:r>
      <w:r>
        <w:t>2</w:t>
      </w:r>
      <w:r>
        <w:fldChar w:fldCharType="end"/>
      </w:r>
      <w:r>
        <w:fldChar w:fldCharType="end"/>
      </w:r>
    </w:p>
    <w:p w14:paraId="56E51400">
      <w:pPr>
        <w:pStyle w:val="33"/>
        <w:rPr>
          <w:rFonts w:asciiTheme="minorHAnsi" w:hAnsiTheme="minorHAnsi" w:eastAsiaTheme="minorEastAsia" w:cstheme="minorBidi"/>
          <w:szCs w:val="22"/>
        </w:rPr>
      </w:pPr>
      <w:r>
        <w:fldChar w:fldCharType="begin"/>
      </w:r>
      <w:r>
        <w:instrText xml:space="preserve"> HYPERLINK \l "_Toc513800158" </w:instrText>
      </w:r>
      <w:r>
        <w:fldChar w:fldCharType="separate"/>
      </w:r>
      <w:r>
        <w:rPr>
          <w:rStyle w:val="45"/>
        </w:rPr>
        <w:t>6</w:t>
      </w:r>
      <w:r>
        <w:rPr>
          <w:rStyle w:val="45"/>
          <w:rFonts w:hint="eastAsia" w:ascii="Times New Roman"/>
        </w:rPr>
        <w:t xml:space="preserve"> 试验要求</w:t>
      </w:r>
      <w:r>
        <w:tab/>
      </w:r>
      <w:r>
        <w:fldChar w:fldCharType="begin"/>
      </w:r>
      <w:r>
        <w:instrText xml:space="preserve"> PAGEREF _Toc513800158 \h </w:instrText>
      </w:r>
      <w:r>
        <w:fldChar w:fldCharType="separate"/>
      </w:r>
      <w:r>
        <w:t>3</w:t>
      </w:r>
      <w:r>
        <w:fldChar w:fldCharType="end"/>
      </w:r>
      <w:r>
        <w:fldChar w:fldCharType="end"/>
      </w:r>
    </w:p>
    <w:p w14:paraId="3D9891A8">
      <w:pPr>
        <w:pStyle w:val="33"/>
        <w:rPr>
          <w:rFonts w:asciiTheme="minorHAnsi" w:hAnsiTheme="minorHAnsi" w:eastAsiaTheme="minorEastAsia" w:cstheme="minorBidi"/>
          <w:szCs w:val="22"/>
        </w:rPr>
      </w:pPr>
      <w:r>
        <w:fldChar w:fldCharType="begin"/>
      </w:r>
      <w:r>
        <w:instrText xml:space="preserve"> HYPERLINK \l "_Toc513800159" </w:instrText>
      </w:r>
      <w:r>
        <w:fldChar w:fldCharType="separate"/>
      </w:r>
      <w:r>
        <w:rPr>
          <w:rStyle w:val="45"/>
        </w:rPr>
        <w:t>7</w:t>
      </w:r>
      <w:r>
        <w:rPr>
          <w:rStyle w:val="45"/>
          <w:rFonts w:hint="eastAsia" w:ascii="Times New Roman"/>
        </w:rPr>
        <w:t xml:space="preserve"> 检验规则</w:t>
      </w:r>
      <w:r>
        <w:tab/>
      </w:r>
      <w:r>
        <w:fldChar w:fldCharType="begin"/>
      </w:r>
      <w:r>
        <w:instrText xml:space="preserve"> PAGEREF _Toc513800159 \h </w:instrText>
      </w:r>
      <w:r>
        <w:fldChar w:fldCharType="separate"/>
      </w:r>
      <w:r>
        <w:t>4</w:t>
      </w:r>
      <w:r>
        <w:fldChar w:fldCharType="end"/>
      </w:r>
      <w:r>
        <w:fldChar w:fldCharType="end"/>
      </w:r>
    </w:p>
    <w:p w14:paraId="62F2B4DA">
      <w:pPr>
        <w:pStyle w:val="33"/>
        <w:rPr>
          <w:rFonts w:asciiTheme="minorHAnsi" w:hAnsiTheme="minorHAnsi" w:eastAsiaTheme="minorEastAsia" w:cstheme="minorBidi"/>
          <w:szCs w:val="22"/>
        </w:rPr>
      </w:pPr>
      <w:r>
        <w:fldChar w:fldCharType="begin"/>
      </w:r>
      <w:r>
        <w:instrText xml:space="preserve"> HYPERLINK \l "_Toc513800160" </w:instrText>
      </w:r>
      <w:r>
        <w:fldChar w:fldCharType="separate"/>
      </w:r>
      <w:r>
        <w:rPr>
          <w:rStyle w:val="45"/>
        </w:rPr>
        <w:t>8</w:t>
      </w:r>
      <w:r>
        <w:rPr>
          <w:rStyle w:val="45"/>
          <w:rFonts w:hint="eastAsia" w:ascii="Times New Roman"/>
        </w:rPr>
        <w:t xml:space="preserve"> 标志、包装、运输</w:t>
      </w:r>
      <w:r>
        <w:tab/>
      </w:r>
      <w:r>
        <w:fldChar w:fldCharType="begin"/>
      </w:r>
      <w:r>
        <w:instrText xml:space="preserve"> PAGEREF _Toc513800160 \h </w:instrText>
      </w:r>
      <w:r>
        <w:fldChar w:fldCharType="separate"/>
      </w:r>
      <w:r>
        <w:t>4</w:t>
      </w:r>
      <w:r>
        <w:fldChar w:fldCharType="end"/>
      </w:r>
      <w:r>
        <w:fldChar w:fldCharType="end"/>
      </w:r>
    </w:p>
    <w:p w14:paraId="120512CD">
      <w:pPr>
        <w:pStyle w:val="28"/>
      </w:pPr>
      <w:r>
        <w:fldChar w:fldCharType="end"/>
      </w:r>
    </w:p>
    <w:p w14:paraId="2B9AA9DC">
      <w:pPr>
        <w:pStyle w:val="28"/>
        <w:sectPr>
          <w:footerReference r:id="rId5" w:type="first"/>
          <w:headerReference r:id="rId3" w:type="default"/>
          <w:footerReference r:id="rId4" w:type="default"/>
          <w:pgSz w:w="11906" w:h="16838"/>
          <w:pgMar w:top="1440" w:right="1418" w:bottom="1440" w:left="1134" w:header="851" w:footer="992" w:gutter="0"/>
          <w:pgNumType w:fmt="upperRoman" w:start="1"/>
          <w:cols w:space="425" w:num="1"/>
          <w:formProt w:val="0"/>
          <w:titlePg/>
          <w:docGrid w:type="lines" w:linePitch="344" w:charSpace="0"/>
        </w:sectPr>
      </w:pPr>
    </w:p>
    <w:bookmarkEnd w:id="1"/>
    <w:bookmarkEnd w:id="2"/>
    <w:p w14:paraId="197A22EB">
      <w:pPr>
        <w:pStyle w:val="53"/>
        <w:spacing w:before="240" w:after="240"/>
        <w:rPr>
          <w:rFonts w:ascii="Times New Roman"/>
        </w:rPr>
      </w:pPr>
      <w:bookmarkStart w:id="4" w:name="_Toc386893275"/>
      <w:bookmarkStart w:id="5" w:name="_Toc415486391"/>
      <w:bookmarkStart w:id="6" w:name="_Toc513800153"/>
      <w:bookmarkStart w:id="7" w:name="_Toc386613493"/>
      <w:bookmarkStart w:id="8" w:name="_Toc388521260"/>
      <w:bookmarkStart w:id="9" w:name="_Toc416267174"/>
      <w:bookmarkStart w:id="10" w:name="_Toc386617896"/>
      <w:bookmarkStart w:id="11" w:name="_Toc416267225"/>
      <w:r>
        <w:rPr>
          <w:rFonts w:ascii="Times New Roman"/>
        </w:rPr>
        <w:t>范围</w:t>
      </w:r>
      <w:bookmarkEnd w:id="4"/>
      <w:bookmarkEnd w:id="5"/>
      <w:bookmarkEnd w:id="6"/>
      <w:bookmarkEnd w:id="7"/>
      <w:bookmarkEnd w:id="8"/>
      <w:bookmarkEnd w:id="9"/>
      <w:bookmarkEnd w:id="10"/>
      <w:bookmarkEnd w:id="11"/>
    </w:p>
    <w:p w14:paraId="73C05EBA">
      <w:pPr>
        <w:pStyle w:val="28"/>
        <w:rPr>
          <w:rFonts w:ascii="Times New Roman"/>
        </w:rPr>
      </w:pPr>
      <w:r>
        <w:rPr>
          <w:rFonts w:hint="eastAsia" w:ascii="宋体" w:hAnsi="宋体" w:eastAsia="宋体" w:cs="宋体"/>
          <w:color w:val="auto"/>
          <w:sz w:val="21"/>
          <w:szCs w:val="21"/>
          <w:highlight w:val="none"/>
        </w:rPr>
        <w:t>本规范明确了</w:t>
      </w:r>
      <w:r>
        <w:rPr>
          <w:rFonts w:hint="eastAsia" w:ascii="Times New Roman"/>
          <w:highlight w:val="none"/>
        </w:rPr>
        <w:t>1</w:t>
      </w:r>
      <w:r>
        <w:rPr>
          <w:rFonts w:hint="eastAsia" w:ascii="Times New Roman"/>
          <w:highlight w:val="none"/>
          <w:lang w:val="en-US" w:eastAsia="zh-CN"/>
        </w:rPr>
        <w:t>50</w:t>
      </w:r>
      <w:r>
        <w:rPr>
          <w:rFonts w:hint="eastAsia" w:ascii="Times New Roman"/>
          <w:highlight w:val="none"/>
        </w:rPr>
        <w:t>0kW</w:t>
      </w:r>
      <w:r>
        <w:rPr>
          <w:rFonts w:hint="default" w:ascii="Times New Roman"/>
          <w:highlight w:val="none"/>
        </w:rPr>
        <w:t>柴油</w:t>
      </w:r>
      <w:r>
        <w:rPr>
          <w:rFonts w:hint="eastAsia" w:ascii="Times New Roman"/>
          <w:highlight w:val="none"/>
        </w:rPr>
        <w:t>发电机</w:t>
      </w:r>
      <w:r>
        <w:rPr>
          <w:rFonts w:hint="eastAsia" w:ascii="宋体" w:hAnsi="宋体" w:eastAsia="宋体" w:cs="宋体"/>
          <w:color w:val="auto"/>
          <w:sz w:val="21"/>
          <w:szCs w:val="21"/>
          <w:highlight w:val="none"/>
        </w:rPr>
        <w:t>的基本技术原则，适用于</w:t>
      </w:r>
      <w:r>
        <w:rPr>
          <w:rFonts w:hint="eastAsia" w:hAnsi="宋体" w:cs="宋体"/>
          <w:color w:val="auto"/>
          <w:sz w:val="21"/>
          <w:szCs w:val="21"/>
          <w:highlight w:val="none"/>
          <w:lang w:val="en-US" w:eastAsia="zh-CN"/>
        </w:rPr>
        <w:t>深圳供电局有限公司</w:t>
      </w:r>
      <w:r>
        <w:rPr>
          <w:rFonts w:hint="eastAsia" w:ascii="宋体" w:hAnsi="宋体" w:eastAsia="宋体" w:cs="宋体"/>
          <w:color w:val="auto"/>
          <w:sz w:val="21"/>
          <w:szCs w:val="21"/>
          <w:highlight w:val="none"/>
        </w:rPr>
        <w:t>各级开展</w:t>
      </w:r>
      <w:r>
        <w:rPr>
          <w:rFonts w:hint="eastAsia" w:ascii="Times New Roman"/>
          <w:highlight w:val="none"/>
        </w:rPr>
        <w:t>1</w:t>
      </w:r>
      <w:r>
        <w:rPr>
          <w:rFonts w:hint="eastAsia" w:ascii="Times New Roman"/>
          <w:highlight w:val="none"/>
          <w:lang w:val="en-US" w:eastAsia="zh-CN"/>
        </w:rPr>
        <w:t>50</w:t>
      </w:r>
      <w:r>
        <w:rPr>
          <w:rFonts w:hint="eastAsia" w:ascii="Times New Roman"/>
          <w:highlight w:val="none"/>
        </w:rPr>
        <w:t>0kW</w:t>
      </w:r>
      <w:r>
        <w:rPr>
          <w:rFonts w:hint="default" w:ascii="Times New Roman"/>
          <w:highlight w:val="none"/>
        </w:rPr>
        <w:t>柴油</w:t>
      </w:r>
      <w:r>
        <w:rPr>
          <w:rFonts w:hint="eastAsia" w:ascii="Times New Roman"/>
          <w:highlight w:val="none"/>
        </w:rPr>
        <w:t>发电机</w:t>
      </w:r>
      <w:r>
        <w:rPr>
          <w:rFonts w:hint="eastAsia" w:ascii="宋体" w:hAnsi="宋体" w:eastAsia="宋体" w:cs="宋体"/>
          <w:color w:val="auto"/>
          <w:sz w:val="21"/>
          <w:szCs w:val="21"/>
          <w:highlight w:val="none"/>
        </w:rPr>
        <w:t>装备的配置、验收、使用及运维等工作</w:t>
      </w:r>
      <w:r>
        <w:rPr>
          <w:rFonts w:hint="eastAsia" w:ascii="Times New Roman"/>
        </w:rPr>
        <w:t>。</w:t>
      </w:r>
    </w:p>
    <w:p w14:paraId="5C29421A">
      <w:pPr>
        <w:pStyle w:val="53"/>
        <w:spacing w:before="240" w:after="240"/>
        <w:rPr>
          <w:rFonts w:ascii="Times New Roman"/>
        </w:rPr>
      </w:pPr>
      <w:bookmarkStart w:id="12" w:name="_Toc415486392"/>
      <w:bookmarkStart w:id="13" w:name="_Toc388521261"/>
      <w:bookmarkStart w:id="14" w:name="_Toc386617897"/>
      <w:bookmarkStart w:id="15" w:name="_Toc386613494"/>
      <w:bookmarkStart w:id="16" w:name="_Toc416267226"/>
      <w:bookmarkStart w:id="17" w:name="_Toc386893276"/>
      <w:bookmarkStart w:id="18" w:name="_Toc416267175"/>
      <w:bookmarkStart w:id="19" w:name="_Toc513800154"/>
      <w:r>
        <w:rPr>
          <w:rFonts w:ascii="Times New Roman"/>
        </w:rPr>
        <w:t>规范性引用文件</w:t>
      </w:r>
      <w:bookmarkEnd w:id="12"/>
      <w:bookmarkEnd w:id="13"/>
      <w:bookmarkEnd w:id="14"/>
      <w:bookmarkEnd w:id="15"/>
      <w:bookmarkEnd w:id="16"/>
      <w:bookmarkEnd w:id="17"/>
      <w:bookmarkEnd w:id="18"/>
      <w:bookmarkEnd w:id="19"/>
    </w:p>
    <w:p w14:paraId="66BF6830">
      <w:pPr>
        <w:pStyle w:val="28"/>
        <w:rPr>
          <w:rFonts w:ascii="Times New Roman"/>
          <w:szCs w:val="22"/>
        </w:rPr>
      </w:pPr>
      <w:r>
        <w:rPr>
          <w:rFonts w:ascii="Times New Roman"/>
          <w:szCs w:val="22"/>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w:t>
      </w:r>
      <w:r>
        <w:rPr>
          <w:rFonts w:hint="eastAsia" w:ascii="Times New Roman"/>
          <w:szCs w:val="22"/>
        </w:rPr>
        <w:t>主要引用标准如下：</w:t>
      </w:r>
    </w:p>
    <w:p w14:paraId="46610ABD">
      <w:pPr>
        <w:ind w:firstLine="420" w:firstLineChars="200"/>
        <w:rPr>
          <w:rFonts w:hAnsi="宋体"/>
        </w:rPr>
      </w:pPr>
      <w:r>
        <w:rPr>
          <w:rFonts w:hAnsi="宋体"/>
        </w:rPr>
        <w:t>GB/T2820—</w:t>
      </w:r>
      <w:r>
        <w:rPr>
          <w:rFonts w:hint="eastAsia" w:hAnsi="宋体"/>
        </w:rPr>
        <w:t>2009</w:t>
      </w:r>
      <w:r>
        <w:rPr>
          <w:rFonts w:hAnsi="宋体"/>
        </w:rPr>
        <w:tab/>
      </w:r>
      <w:r>
        <w:rPr>
          <w:rFonts w:hint="eastAsia" w:hAnsi="宋体"/>
        </w:rPr>
        <w:tab/>
      </w:r>
      <w:r>
        <w:rPr>
          <w:rFonts w:hint="eastAsia" w:hAnsi="宋体"/>
        </w:rPr>
        <w:t xml:space="preserve"> 往复式内燃机驱动的交流发电机组</w:t>
      </w:r>
    </w:p>
    <w:p w14:paraId="413AE36C">
      <w:pPr>
        <w:tabs>
          <w:tab w:val="left" w:pos="2610"/>
        </w:tabs>
        <w:ind w:firstLine="420" w:firstLineChars="200"/>
        <w:rPr>
          <w:rFonts w:hAnsi="宋体"/>
        </w:rPr>
      </w:pPr>
      <w:r>
        <w:rPr>
          <w:rFonts w:hint="eastAsia" w:hAnsi="宋体"/>
        </w:rPr>
        <w:t>GJB 425A-2001</w:t>
      </w:r>
      <w:r>
        <w:rPr>
          <w:rFonts w:hAnsi="宋体"/>
        </w:rPr>
        <w:tab/>
      </w:r>
      <w:r>
        <w:rPr>
          <w:rFonts w:hint="eastAsia" w:hAnsi="宋体"/>
        </w:rPr>
        <w:t>交流工频</w:t>
      </w:r>
      <w:r>
        <w:rPr>
          <w:rFonts w:hint="default" w:hAnsi="宋体"/>
        </w:rPr>
        <w:t>柴油</w:t>
      </w:r>
      <w:r>
        <w:rPr>
          <w:rFonts w:hint="eastAsia" w:hAnsi="宋体"/>
        </w:rPr>
        <w:t>发电机组通用规范</w:t>
      </w:r>
    </w:p>
    <w:p w14:paraId="324FE481">
      <w:pPr>
        <w:ind w:firstLine="420" w:firstLineChars="200"/>
      </w:pPr>
      <w:r>
        <w:rPr>
          <w:rFonts w:hint="eastAsia"/>
        </w:rPr>
        <w:t>GB 755—87</w:t>
      </w:r>
      <w:r>
        <w:rPr>
          <w:rFonts w:hint="eastAsia"/>
        </w:rPr>
        <w:tab/>
      </w:r>
      <w:r>
        <w:rPr>
          <w:rFonts w:hint="eastAsia"/>
        </w:rPr>
        <w:t xml:space="preserve">         旋转电机基本技术要求</w:t>
      </w:r>
    </w:p>
    <w:p w14:paraId="701FDC24">
      <w:pPr>
        <w:ind w:firstLine="420" w:firstLineChars="200"/>
      </w:pPr>
      <w:r>
        <w:rPr>
          <w:rFonts w:hint="eastAsia" w:hAnsi="宋体"/>
        </w:rPr>
        <w:t>GB755</w:t>
      </w:r>
      <w:r>
        <w:rPr>
          <w:rFonts w:hint="eastAsia"/>
        </w:rPr>
        <w:tab/>
      </w:r>
      <w:r>
        <w:rPr>
          <w:rFonts w:hint="eastAsia"/>
        </w:rPr>
        <w:t xml:space="preserve">            </w:t>
      </w:r>
      <w:r>
        <w:rPr>
          <w:rFonts w:hint="eastAsia" w:hAnsi="宋体"/>
        </w:rPr>
        <w:t>《旋转电机定额及性能》</w:t>
      </w:r>
    </w:p>
    <w:p w14:paraId="4AC915FE">
      <w:pPr>
        <w:ind w:firstLine="420" w:firstLineChars="200"/>
      </w:pPr>
      <w:r>
        <w:rPr>
          <w:rFonts w:hint="eastAsia"/>
        </w:rPr>
        <w:t>JB/T 10303-2001</w:t>
      </w:r>
      <w:r>
        <w:rPr>
          <w:rFonts w:hint="eastAsia"/>
        </w:rPr>
        <w:tab/>
      </w:r>
      <w:r>
        <w:rPr>
          <w:rFonts w:hint="eastAsia"/>
        </w:rPr>
        <w:t xml:space="preserve">     工频</w:t>
      </w:r>
      <w:r>
        <w:rPr>
          <w:rFonts w:hint="default"/>
        </w:rPr>
        <w:t>柴油</w:t>
      </w:r>
      <w:r>
        <w:rPr>
          <w:rFonts w:hint="eastAsia"/>
        </w:rPr>
        <w:t>发电机组技术条件</w:t>
      </w:r>
    </w:p>
    <w:p w14:paraId="3960915B">
      <w:pPr>
        <w:ind w:firstLine="420" w:firstLineChars="200"/>
        <w:rPr>
          <w:rFonts w:hAnsi="宋体"/>
        </w:rPr>
      </w:pPr>
      <w:r>
        <w:rPr>
          <w:rFonts w:hint="eastAsia" w:hAnsi="宋体"/>
        </w:rPr>
        <w:t>DL/T6027.1</w:t>
      </w:r>
      <w:r>
        <w:tab/>
      </w:r>
      <w:r>
        <w:rPr>
          <w:rFonts w:hint="eastAsia"/>
        </w:rPr>
        <w:tab/>
      </w:r>
      <w:r>
        <w:rPr>
          <w:rFonts w:hint="eastAsia"/>
        </w:rPr>
        <w:t xml:space="preserve">    </w:t>
      </w:r>
      <w:r>
        <w:rPr>
          <w:rFonts w:hint="eastAsia" w:hAnsi="宋体"/>
        </w:rPr>
        <w:t>《往复式内燃机性能标准基准状况，功率、燃油消耗和机油消耗</w:t>
      </w:r>
    </w:p>
    <w:p w14:paraId="2138B697">
      <w:pPr>
        <w:ind w:firstLine="420" w:firstLineChars="200"/>
      </w:pPr>
      <w:r>
        <w:rPr>
          <w:rFonts w:hint="eastAsia" w:hAnsi="宋体"/>
        </w:rPr>
        <w:t xml:space="preserve">                     的标定及试验方法》</w:t>
      </w:r>
    </w:p>
    <w:p w14:paraId="1E970F78">
      <w:pPr>
        <w:ind w:firstLine="420" w:firstLineChars="200"/>
        <w:rPr>
          <w:szCs w:val="21"/>
        </w:rPr>
      </w:pPr>
      <w:r>
        <w:rPr>
          <w:rFonts w:hint="eastAsia" w:hAnsi="宋体"/>
        </w:rPr>
        <w:t>GB/T6072</w:t>
      </w:r>
      <w:r>
        <w:rPr>
          <w:szCs w:val="21"/>
        </w:rPr>
        <w:tab/>
      </w:r>
      <w:r>
        <w:rPr>
          <w:szCs w:val="21"/>
        </w:rPr>
        <w:tab/>
      </w:r>
      <w:r>
        <w:rPr>
          <w:rFonts w:hint="eastAsia"/>
          <w:szCs w:val="21"/>
        </w:rPr>
        <w:tab/>
      </w:r>
      <w:r>
        <w:rPr>
          <w:rFonts w:hint="eastAsia" w:hAnsi="宋体"/>
        </w:rPr>
        <w:t>《往复式内燃机组性能》</w:t>
      </w:r>
    </w:p>
    <w:p w14:paraId="491E4D1E">
      <w:pPr>
        <w:ind w:firstLine="420" w:firstLineChars="200"/>
        <w:rPr>
          <w:rFonts w:hAnsi="宋体"/>
        </w:rPr>
      </w:pPr>
      <w:r>
        <w:rPr>
          <w:rFonts w:hint="eastAsia" w:hAnsi="宋体"/>
        </w:rPr>
        <w:t>GB/T1859</w:t>
      </w:r>
      <w:r>
        <w:tab/>
      </w:r>
      <w:r>
        <w:rPr>
          <w:rFonts w:hint="eastAsia"/>
        </w:rPr>
        <w:tab/>
      </w:r>
      <w:r>
        <w:rPr>
          <w:rFonts w:hint="eastAsia"/>
        </w:rPr>
        <w:t xml:space="preserve">    </w:t>
      </w:r>
      <w:r>
        <w:rPr>
          <w:rFonts w:hint="eastAsia" w:hAnsi="宋体"/>
        </w:rPr>
        <w:t>《往复式内燃机复设的空气噪声测量》</w:t>
      </w:r>
    </w:p>
    <w:p w14:paraId="46BC4E52">
      <w:pPr>
        <w:ind w:firstLine="420" w:firstLineChars="200"/>
      </w:pPr>
      <w:r>
        <w:rPr>
          <w:rFonts w:hint="eastAsia" w:hAnsi="宋体"/>
        </w:rPr>
        <w:t>GB/T4759</w:t>
      </w:r>
      <w:r>
        <w:tab/>
      </w:r>
      <w:r>
        <w:rPr>
          <w:rFonts w:hint="eastAsia"/>
        </w:rPr>
        <w:tab/>
      </w:r>
      <w:r>
        <w:rPr>
          <w:rFonts w:hint="eastAsia"/>
        </w:rPr>
        <w:t xml:space="preserve">    </w:t>
      </w:r>
      <w:r>
        <w:rPr>
          <w:rFonts w:hint="eastAsia" w:hAnsi="宋体"/>
        </w:rPr>
        <w:t>《内燃机排气消声器测量方法》</w:t>
      </w:r>
    </w:p>
    <w:p w14:paraId="7F043873">
      <w:pPr>
        <w:ind w:firstLine="420" w:firstLineChars="200"/>
      </w:pPr>
      <w:r>
        <w:rPr>
          <w:rFonts w:hint="eastAsia" w:hAnsi="宋体"/>
        </w:rPr>
        <w:t>GB/T14048</w:t>
      </w:r>
      <w:r>
        <w:tab/>
      </w:r>
      <w:r>
        <w:rPr>
          <w:rFonts w:hint="eastAsia"/>
        </w:rPr>
        <w:tab/>
      </w:r>
      <w:r>
        <w:rPr>
          <w:rFonts w:hint="eastAsia"/>
        </w:rPr>
        <w:t xml:space="preserve">    </w:t>
      </w:r>
      <w:r>
        <w:rPr>
          <w:rFonts w:hint="eastAsia" w:hAnsi="宋体"/>
        </w:rPr>
        <w:t>《低压开关设备和控制设备》</w:t>
      </w:r>
    </w:p>
    <w:p w14:paraId="6C00642E">
      <w:pPr>
        <w:ind w:firstLine="420" w:firstLineChars="200"/>
      </w:pPr>
      <w:r>
        <w:rPr>
          <w:rFonts w:hint="eastAsia" w:hAnsi="宋体"/>
        </w:rPr>
        <w:t>GB/T14824</w:t>
      </w:r>
      <w:r>
        <w:rPr>
          <w:rFonts w:hint="eastAsia"/>
        </w:rPr>
        <w:tab/>
      </w:r>
      <w:r>
        <w:rPr>
          <w:rFonts w:hint="eastAsia"/>
        </w:rPr>
        <w:t xml:space="preserve">        </w:t>
      </w:r>
      <w:r>
        <w:rPr>
          <w:rFonts w:hint="eastAsia" w:hAnsi="宋体"/>
        </w:rPr>
        <w:t>《发电机断路器通用技术条件》</w:t>
      </w:r>
    </w:p>
    <w:p w14:paraId="64F28B6B">
      <w:pPr>
        <w:ind w:firstLine="420" w:firstLineChars="200"/>
      </w:pPr>
      <w:r>
        <w:rPr>
          <w:rFonts w:hint="eastAsia" w:hAnsi="宋体"/>
        </w:rPr>
        <w:t>GB/T15548</w:t>
      </w:r>
      <w:r>
        <w:tab/>
      </w:r>
      <w:r>
        <w:rPr>
          <w:rFonts w:hint="eastAsia"/>
        </w:rPr>
        <w:t xml:space="preserve">        </w:t>
      </w:r>
      <w:r>
        <w:rPr>
          <w:rFonts w:hint="eastAsia" w:hAnsi="宋体"/>
        </w:rPr>
        <w:t>《往复式内燃机驱动的三相同步发电机通用技术条件》</w:t>
      </w:r>
    </w:p>
    <w:p w14:paraId="09AC29EC">
      <w:pPr>
        <w:ind w:firstLine="420" w:firstLineChars="200"/>
      </w:pPr>
      <w:r>
        <w:rPr>
          <w:rFonts w:hint="eastAsia"/>
        </w:rPr>
        <w:t>GBJ32</w:t>
      </w:r>
      <w:r>
        <w:tab/>
      </w:r>
      <w:r>
        <w:rPr>
          <w:rFonts w:hint="eastAsia"/>
        </w:rPr>
        <w:t xml:space="preserve">            </w:t>
      </w:r>
      <w:r>
        <w:rPr>
          <w:rFonts w:hint="eastAsia" w:hAnsi="宋体"/>
        </w:rPr>
        <w:t>《电气装置安装工程施工及验收规范》</w:t>
      </w:r>
    </w:p>
    <w:p w14:paraId="26B72B76">
      <w:pPr>
        <w:pStyle w:val="53"/>
        <w:spacing w:before="240" w:after="240"/>
        <w:rPr>
          <w:rFonts w:ascii="Times New Roman"/>
        </w:rPr>
      </w:pPr>
      <w:bookmarkStart w:id="20" w:name="_Toc386613495"/>
      <w:bookmarkEnd w:id="20"/>
      <w:bookmarkStart w:id="21" w:name="_Toc416267227"/>
      <w:bookmarkStart w:id="22" w:name="_Toc386617898"/>
      <w:bookmarkStart w:id="23" w:name="_Toc386893277"/>
      <w:bookmarkStart w:id="24" w:name="_Toc415486393"/>
      <w:bookmarkStart w:id="25" w:name="_Toc388521262"/>
      <w:bookmarkStart w:id="26" w:name="_Toc513800155"/>
      <w:bookmarkStart w:id="27" w:name="_Toc416267176"/>
      <w:r>
        <w:rPr>
          <w:rFonts w:ascii="Times New Roman"/>
        </w:rPr>
        <w:t>术语和定义</w:t>
      </w:r>
      <w:bookmarkEnd w:id="21"/>
      <w:bookmarkEnd w:id="22"/>
      <w:bookmarkEnd w:id="23"/>
      <w:bookmarkEnd w:id="24"/>
      <w:bookmarkEnd w:id="25"/>
      <w:bookmarkEnd w:id="26"/>
      <w:bookmarkEnd w:id="27"/>
      <w:bookmarkStart w:id="28" w:name="_Toc386617899"/>
    </w:p>
    <w:bookmarkEnd w:id="28"/>
    <w:p w14:paraId="00F9863A">
      <w:pPr>
        <w:pStyle w:val="28"/>
      </w:pPr>
      <w:bookmarkStart w:id="29" w:name="_Toc386617906"/>
      <w:bookmarkStart w:id="30" w:name="_Toc388521263"/>
      <w:bookmarkStart w:id="31" w:name="_Toc386893278"/>
      <w:bookmarkStart w:id="32" w:name="_Toc415486394"/>
      <w:bookmarkStart w:id="33" w:name="_Toc416267228"/>
      <w:bookmarkStart w:id="34" w:name="_Toc416267177"/>
      <w:r>
        <w:rPr>
          <w:rFonts w:hint="eastAsia"/>
        </w:rPr>
        <w:t>下列术语和定义适用于本文件。</w:t>
      </w:r>
    </w:p>
    <w:p w14:paraId="40D8D6F3">
      <w:pPr>
        <w:pStyle w:val="135"/>
        <w:rPr>
          <w:rFonts w:ascii="Times New Roman"/>
        </w:rPr>
      </w:pPr>
    </w:p>
    <w:p w14:paraId="3C6B815D">
      <w:pPr>
        <w:pStyle w:val="135"/>
        <w:numPr>
          <w:ilvl w:val="0"/>
          <w:numId w:val="0"/>
        </w:numPr>
        <w:ind w:firstLine="420" w:firstLineChars="200"/>
        <w:rPr>
          <w:rFonts w:ascii="Times New Roman" w:eastAsia="黑体"/>
        </w:rPr>
      </w:pPr>
      <w:r>
        <w:rPr>
          <w:rFonts w:hint="eastAsia" w:ascii="Times New Roman" w:eastAsia="黑体"/>
        </w:rPr>
        <w:t>交流发电机</w:t>
      </w:r>
      <w:r>
        <w:rPr>
          <w:rFonts w:hint="eastAsia" w:ascii="Times New Roman" w:eastAsia="黑体"/>
          <w:b/>
        </w:rPr>
        <w:t xml:space="preserve">alternator </w:t>
      </w:r>
    </w:p>
    <w:p w14:paraId="6833BCB4">
      <w:pPr>
        <w:pStyle w:val="28"/>
        <w:rPr>
          <w:rFonts w:ascii="Times New Roman"/>
        </w:rPr>
      </w:pPr>
      <w:r>
        <w:rPr>
          <w:rFonts w:hint="eastAsia" w:ascii="Times New Roman"/>
        </w:rPr>
        <w:t>一种可将机械能改变成为电能的装置。</w:t>
      </w:r>
    </w:p>
    <w:p w14:paraId="1DB59FF6">
      <w:pPr>
        <w:pStyle w:val="135"/>
        <w:rPr>
          <w:rFonts w:ascii="Times New Roman"/>
        </w:rPr>
      </w:pPr>
      <w:bookmarkStart w:id="35" w:name="_Toc386617900"/>
    </w:p>
    <w:bookmarkEnd w:id="35"/>
    <w:p w14:paraId="2FBF177E">
      <w:pPr>
        <w:pStyle w:val="28"/>
        <w:rPr>
          <w:rFonts w:ascii="Times New Roman" w:eastAsia="黑体"/>
        </w:rPr>
      </w:pPr>
      <w:r>
        <w:rPr>
          <w:rFonts w:hint="eastAsia" w:ascii="Times New Roman" w:eastAsia="黑体"/>
        </w:rPr>
        <w:t xml:space="preserve">交流 alternating current </w:t>
      </w:r>
    </w:p>
    <w:p w14:paraId="0C142F6E">
      <w:pPr>
        <w:pStyle w:val="28"/>
        <w:rPr>
          <w:rFonts w:ascii="Times New Roman"/>
        </w:rPr>
      </w:pPr>
      <w:r>
        <w:rPr>
          <w:rFonts w:hint="eastAsia" w:ascii="Times New Roman"/>
        </w:rPr>
        <w:t>交流是指电流在正负最大值之间以特定的频率变动，通常频率为 50 或 60 赫兹。</w:t>
      </w:r>
    </w:p>
    <w:p w14:paraId="53E6641B">
      <w:pPr>
        <w:pStyle w:val="135"/>
        <w:rPr>
          <w:rFonts w:ascii="Times New Roman"/>
        </w:rPr>
      </w:pPr>
      <w:bookmarkStart w:id="36" w:name="_Toc386617901"/>
    </w:p>
    <w:bookmarkEnd w:id="36"/>
    <w:p w14:paraId="568EC788">
      <w:pPr>
        <w:pStyle w:val="135"/>
        <w:numPr>
          <w:ilvl w:val="0"/>
          <w:numId w:val="0"/>
        </w:numPr>
        <w:ind w:firstLine="420" w:firstLineChars="200"/>
        <w:rPr>
          <w:rFonts w:ascii="Times New Roman" w:eastAsia="黑体"/>
          <w:b/>
        </w:rPr>
      </w:pPr>
      <w:r>
        <w:rPr>
          <w:rFonts w:hint="eastAsia" w:ascii="Times New Roman" w:eastAsia="黑体"/>
        </w:rPr>
        <w:t xml:space="preserve">空气线路断路器 Air Circuit Breaker </w:t>
      </w:r>
    </w:p>
    <w:p w14:paraId="566BBC3B">
      <w:pPr>
        <w:pStyle w:val="135"/>
        <w:numPr>
          <w:ilvl w:val="0"/>
          <w:numId w:val="0"/>
        </w:numPr>
        <w:ind w:firstLine="420" w:firstLineChars="200"/>
        <w:rPr>
          <w:rFonts w:ascii="Times New Roman"/>
          <w:szCs w:val="22"/>
        </w:rPr>
      </w:pPr>
      <w:r>
        <w:rPr>
          <w:rFonts w:hint="eastAsia" w:ascii="Times New Roman"/>
          <w:szCs w:val="22"/>
        </w:rPr>
        <w:t>空气线路断路器的功能是当电流大小超过断路器的过流跳脱设定值后自动断开。空气是带电零件和接地金属零件之间的绝缘介质。</w:t>
      </w:r>
    </w:p>
    <w:p w14:paraId="7B1628EF">
      <w:pPr>
        <w:pStyle w:val="135"/>
        <w:rPr>
          <w:rFonts w:ascii="Times New Roman"/>
        </w:rPr>
      </w:pPr>
      <w:bookmarkStart w:id="37" w:name="_Toc386617903"/>
      <w:bookmarkStart w:id="38" w:name="_Toc386617902"/>
    </w:p>
    <w:bookmarkEnd w:id="37"/>
    <w:p w14:paraId="56620ECD">
      <w:pPr>
        <w:pStyle w:val="28"/>
        <w:rPr>
          <w:rFonts w:ascii="Times New Roman" w:eastAsia="黑体"/>
        </w:rPr>
      </w:pPr>
      <w:r>
        <w:rPr>
          <w:rFonts w:hint="eastAsia" w:ascii="Times New Roman" w:eastAsia="黑体"/>
        </w:rPr>
        <w:t xml:space="preserve">频率 frequency  </w:t>
      </w:r>
    </w:p>
    <w:p w14:paraId="7A04C18D">
      <w:pPr>
        <w:pStyle w:val="28"/>
        <w:rPr>
          <w:szCs w:val="21"/>
        </w:rPr>
      </w:pPr>
      <w:r>
        <w:rPr>
          <w:rFonts w:hint="eastAsia"/>
          <w:szCs w:val="21"/>
        </w:rPr>
        <w:t>频率是指周期性变化的事物（如交流电压和电流等）在单位时间内完成的周期数，常用单位是赫兹(Hz)或周期/秒(CPS)。</w:t>
      </w:r>
    </w:p>
    <w:p w14:paraId="25E47F0D">
      <w:pPr>
        <w:pStyle w:val="135"/>
        <w:rPr>
          <w:rFonts w:ascii="Times New Roman"/>
        </w:rPr>
      </w:pPr>
    </w:p>
    <w:bookmarkEnd w:id="38"/>
    <w:p w14:paraId="1EB669AC">
      <w:pPr>
        <w:ind w:firstLine="420" w:firstLineChars="200"/>
        <w:rPr>
          <w:rFonts w:eastAsia="黑体"/>
        </w:rPr>
      </w:pPr>
      <w:r>
        <w:rPr>
          <w:rFonts w:hint="eastAsia" w:eastAsia="黑体"/>
        </w:rPr>
        <w:t xml:space="preserve">额定电压 </w:t>
      </w:r>
      <w:r>
        <w:rPr>
          <w:rFonts w:hint="eastAsia" w:eastAsia="黑体"/>
          <w:kern w:val="0"/>
          <w:szCs w:val="22"/>
        </w:rPr>
        <w:t xml:space="preserve">rated voltage </w:t>
      </w:r>
    </w:p>
    <w:p w14:paraId="6D42EAC3">
      <w:pPr>
        <w:ind w:firstLine="420" w:firstLineChars="200"/>
        <w:rPr>
          <w:szCs w:val="21"/>
        </w:rPr>
      </w:pPr>
      <w:r>
        <w:rPr>
          <w:rFonts w:hint="eastAsia"/>
          <w:szCs w:val="21"/>
        </w:rPr>
        <w:t>额定电压是指一套发电机组的正常工作的电压值。</w:t>
      </w:r>
    </w:p>
    <w:p w14:paraId="214AF122">
      <w:pPr>
        <w:pStyle w:val="135"/>
        <w:rPr>
          <w:rFonts w:ascii="Times New Roman"/>
        </w:rPr>
      </w:pPr>
    </w:p>
    <w:p w14:paraId="1EE3CC9A">
      <w:pPr>
        <w:pStyle w:val="28"/>
        <w:rPr>
          <w:rFonts w:ascii="Times New Roman" w:eastAsia="黑体"/>
        </w:rPr>
      </w:pPr>
      <w:r>
        <w:rPr>
          <w:rFonts w:hint="eastAsia" w:ascii="Times New Roman" w:eastAsia="黑体"/>
        </w:rPr>
        <w:t xml:space="preserve">发动机 engine </w:t>
      </w:r>
    </w:p>
    <w:p w14:paraId="46EB6BA7">
      <w:pPr>
        <w:pStyle w:val="28"/>
        <w:rPr>
          <w:rFonts w:ascii="Times New Roman"/>
        </w:rPr>
      </w:pPr>
      <w:r>
        <w:rPr>
          <w:rFonts w:hint="eastAsia" w:ascii="Times New Roman"/>
        </w:rPr>
        <w:t>把能量转化为机械力和运动的一种机器。</w:t>
      </w:r>
    </w:p>
    <w:p w14:paraId="63FFC84D">
      <w:pPr>
        <w:pStyle w:val="135"/>
        <w:rPr>
          <w:rFonts w:ascii="Times New Roman"/>
        </w:rPr>
      </w:pPr>
    </w:p>
    <w:p w14:paraId="51C03D7A">
      <w:pPr>
        <w:pStyle w:val="28"/>
        <w:rPr>
          <w:rFonts w:ascii="Times New Roman" w:eastAsia="黑体"/>
        </w:rPr>
      </w:pPr>
      <w:r>
        <w:rPr>
          <w:rFonts w:hint="eastAsia" w:ascii="Times New Roman" w:eastAsia="黑体"/>
        </w:rPr>
        <w:t xml:space="preserve">接地 ground  </w:t>
      </w:r>
    </w:p>
    <w:p w14:paraId="22F2B66F">
      <w:pPr>
        <w:pStyle w:val="28"/>
        <w:rPr>
          <w:rFonts w:ascii="Times New Roman"/>
        </w:rPr>
      </w:pPr>
      <w:r>
        <w:rPr>
          <w:rFonts w:hint="eastAsia" w:ascii="Times New Roman"/>
        </w:rPr>
        <w:t>大面积导体，如地面或与地面连结的电路，用做任意零电位。</w:t>
      </w:r>
    </w:p>
    <w:p w14:paraId="6BD15A76">
      <w:pPr>
        <w:pStyle w:val="135"/>
        <w:rPr>
          <w:rFonts w:ascii="Times New Roman"/>
        </w:rPr>
      </w:pPr>
    </w:p>
    <w:p w14:paraId="142BBC76">
      <w:pPr>
        <w:pStyle w:val="28"/>
        <w:rPr>
          <w:rFonts w:ascii="Times New Roman" w:eastAsia="黑体"/>
        </w:rPr>
      </w:pPr>
      <w:r>
        <w:rPr>
          <w:rFonts w:hint="eastAsia" w:ascii="Times New Roman" w:eastAsia="黑体"/>
        </w:rPr>
        <w:t xml:space="preserve">绝缘 insulation </w:t>
      </w:r>
    </w:p>
    <w:p w14:paraId="139D3C2A">
      <w:pPr>
        <w:pStyle w:val="28"/>
        <w:rPr>
          <w:rFonts w:ascii="Times New Roman"/>
        </w:rPr>
      </w:pPr>
      <w:r>
        <w:rPr>
          <w:rFonts w:hint="eastAsia" w:ascii="Times New Roman"/>
        </w:rPr>
        <w:t xml:space="preserve">绝缘体就是非导电材料，用来防止导体中电流的泄露。按最高持续耐热度划分，发电设备中使用的绝缘体有多种等级。 </w:t>
      </w:r>
    </w:p>
    <w:p w14:paraId="5969C8FA">
      <w:pPr>
        <w:pStyle w:val="135"/>
        <w:rPr>
          <w:rFonts w:ascii="Times New Roman"/>
        </w:rPr>
      </w:pPr>
    </w:p>
    <w:p w14:paraId="53A89A50">
      <w:pPr>
        <w:pStyle w:val="28"/>
        <w:rPr>
          <w:rFonts w:ascii="Times New Roman" w:eastAsia="黑体"/>
          <w:szCs w:val="22"/>
        </w:rPr>
      </w:pPr>
      <w:r>
        <w:rPr>
          <w:rFonts w:hint="eastAsia" w:ascii="Times New Roman" w:eastAsia="黑体"/>
          <w:szCs w:val="22"/>
        </w:rPr>
        <w:t xml:space="preserve">短路 short circuit  </w:t>
      </w:r>
    </w:p>
    <w:p w14:paraId="5FB69E84">
      <w:pPr>
        <w:pStyle w:val="28"/>
        <w:rPr>
          <w:szCs w:val="21"/>
        </w:rPr>
      </w:pPr>
      <w:r>
        <w:rPr>
          <w:rFonts w:hint="eastAsia" w:ascii="Times New Roman"/>
        </w:rPr>
        <w:t>短路通常是指带电流的组件之间意外的电路连接。</w:t>
      </w:r>
    </w:p>
    <w:p w14:paraId="70F0F447">
      <w:pPr>
        <w:pStyle w:val="135"/>
        <w:rPr>
          <w:rFonts w:ascii="Times New Roman"/>
        </w:rPr>
      </w:pPr>
    </w:p>
    <w:p w14:paraId="34E841EE">
      <w:pPr>
        <w:pStyle w:val="28"/>
        <w:rPr>
          <w:rFonts w:ascii="Times New Roman" w:eastAsia="黑体"/>
        </w:rPr>
      </w:pPr>
      <w:r>
        <w:rPr>
          <w:rFonts w:hint="eastAsia" w:ascii="Times New Roman" w:eastAsia="黑体"/>
        </w:rPr>
        <w:t xml:space="preserve">功率因数 Power Factor </w:t>
      </w:r>
    </w:p>
    <w:p w14:paraId="48440514">
      <w:pPr>
        <w:pStyle w:val="28"/>
        <w:rPr>
          <w:rFonts w:ascii="Times New Roman"/>
        </w:rPr>
      </w:pPr>
      <w:r>
        <w:rPr>
          <w:rFonts w:hint="eastAsia" w:ascii="Times New Roman"/>
        </w:rPr>
        <w:t>功率因数是电路中有功功率(kW)和视在功率(kVA)之间夹角的余弦值。</w:t>
      </w:r>
    </w:p>
    <w:p w14:paraId="6E902811">
      <w:pPr>
        <w:pStyle w:val="53"/>
        <w:spacing w:before="240" w:after="240"/>
        <w:rPr>
          <w:rFonts w:ascii="Times New Roman"/>
        </w:rPr>
      </w:pPr>
      <w:bookmarkStart w:id="39" w:name="_Toc513800156"/>
      <w:r>
        <w:rPr>
          <w:rFonts w:ascii="Times New Roman"/>
        </w:rPr>
        <w:t>系统</w:t>
      </w:r>
      <w:bookmarkEnd w:id="29"/>
      <w:bookmarkEnd w:id="30"/>
      <w:bookmarkEnd w:id="31"/>
      <w:bookmarkEnd w:id="32"/>
      <w:r>
        <w:rPr>
          <w:rFonts w:ascii="Times New Roman"/>
        </w:rPr>
        <w:t>组成</w:t>
      </w:r>
      <w:bookmarkEnd w:id="33"/>
      <w:bookmarkEnd w:id="34"/>
      <w:bookmarkEnd w:id="39"/>
    </w:p>
    <w:p w14:paraId="2FE76606">
      <w:pPr>
        <w:spacing w:line="360" w:lineRule="auto"/>
        <w:ind w:firstLine="420" w:firstLineChars="200"/>
        <w:rPr>
          <w:color w:val="auto"/>
        </w:rPr>
      </w:pPr>
      <w:r>
        <w:rPr>
          <w:rFonts w:hint="eastAsia"/>
          <w:color w:val="auto"/>
        </w:rPr>
        <w:t>1</w:t>
      </w:r>
      <w:r>
        <w:rPr>
          <w:rFonts w:hint="default"/>
          <w:color w:val="auto"/>
          <w:lang w:val="en-GB"/>
        </w:rPr>
        <w:t>500</w:t>
      </w:r>
      <w:r>
        <w:rPr>
          <w:rFonts w:hint="eastAsia"/>
          <w:color w:val="auto"/>
        </w:rPr>
        <w:t>kW</w:t>
      </w:r>
      <w:r>
        <w:rPr>
          <w:rFonts w:hint="default"/>
          <w:color w:val="auto"/>
        </w:rPr>
        <w:t>柴油</w:t>
      </w:r>
      <w:r>
        <w:rPr>
          <w:rFonts w:hint="eastAsia"/>
          <w:color w:val="auto"/>
        </w:rPr>
        <w:t>发电机</w:t>
      </w:r>
      <w:r>
        <w:rPr>
          <w:rFonts w:ascii="Helvetica" w:hAnsi="Helvetica" w:eastAsia="Helvetica" w:cs="Helvetica"/>
          <w:i w:val="0"/>
          <w:iCs w:val="0"/>
          <w:caps w:val="0"/>
          <w:color w:val="auto"/>
          <w:spacing w:val="0"/>
          <w:sz w:val="21"/>
          <w:szCs w:val="21"/>
          <w:shd w:val="clear" w:fill="FFFFFF"/>
        </w:rPr>
        <w:t>主要由</w:t>
      </w:r>
      <w:r>
        <w:rPr>
          <w:rFonts w:hint="default" w:ascii="Helvetica" w:hAnsi="Helvetica" w:eastAsia="Helvetica" w:cs="Helvetica"/>
          <w:i w:val="0"/>
          <w:iCs w:val="0"/>
          <w:caps w:val="0"/>
          <w:color w:val="auto"/>
          <w:spacing w:val="0"/>
          <w:sz w:val="21"/>
          <w:szCs w:val="21"/>
          <w:u w:val="none"/>
          <w:shd w:val="clear" w:fill="FFFFFF"/>
        </w:rPr>
        <w:fldChar w:fldCharType="begin"/>
      </w:r>
      <w:r>
        <w:rPr>
          <w:rFonts w:hint="default" w:ascii="Helvetica" w:hAnsi="Helvetica" w:eastAsia="Helvetica" w:cs="Helvetica"/>
          <w:i w:val="0"/>
          <w:iCs w:val="0"/>
          <w:caps w:val="0"/>
          <w:color w:val="auto"/>
          <w:spacing w:val="0"/>
          <w:sz w:val="21"/>
          <w:szCs w:val="21"/>
          <w:u w:val="none"/>
          <w:shd w:val="clear" w:fill="FFFFFF"/>
        </w:rPr>
        <w:instrText xml:space="preserve"> HYPERLINK "https://baike.baidu.com/item/%E6%9F%B4%E6%B2%B9%E6%9C%BA/475904?fromModule=lemma_inlink" \t "https://baike.baidu.com/item/%E6%9F%B4%E6%B2%B9%E5%8F%91%E7%94%B5%E6%9C%BA/_blank" </w:instrText>
      </w:r>
      <w:r>
        <w:rPr>
          <w:rFonts w:hint="default" w:ascii="Helvetica" w:hAnsi="Helvetica" w:eastAsia="Helvetica" w:cs="Helvetica"/>
          <w:i w:val="0"/>
          <w:iCs w:val="0"/>
          <w:caps w:val="0"/>
          <w:color w:val="auto"/>
          <w:spacing w:val="0"/>
          <w:sz w:val="21"/>
          <w:szCs w:val="21"/>
          <w:u w:val="none"/>
          <w:shd w:val="clear" w:fill="FFFFFF"/>
        </w:rPr>
        <w:fldChar w:fldCharType="separate"/>
      </w:r>
      <w:r>
        <w:rPr>
          <w:rStyle w:val="45"/>
          <w:rFonts w:hint="default" w:ascii="Helvetica" w:hAnsi="Helvetica" w:eastAsia="Helvetica" w:cs="Helvetica"/>
          <w:i w:val="0"/>
          <w:iCs w:val="0"/>
          <w:caps w:val="0"/>
          <w:color w:val="auto"/>
          <w:spacing w:val="0"/>
          <w:sz w:val="21"/>
          <w:szCs w:val="21"/>
          <w:u w:val="none"/>
          <w:shd w:val="clear" w:fill="FFFFFF"/>
        </w:rPr>
        <w:t>柴油机</w:t>
      </w:r>
      <w:r>
        <w:rPr>
          <w:rFonts w:hint="default" w:ascii="Helvetica" w:hAnsi="Helvetica" w:eastAsia="Helvetica" w:cs="Helvetica"/>
          <w:i w:val="0"/>
          <w:iCs w:val="0"/>
          <w:caps w:val="0"/>
          <w:color w:val="auto"/>
          <w:spacing w:val="0"/>
          <w:sz w:val="21"/>
          <w:szCs w:val="21"/>
          <w:u w:val="none"/>
          <w:shd w:val="clear" w:fill="FFFFFF"/>
        </w:rPr>
        <w:fldChar w:fldCharType="end"/>
      </w:r>
      <w:r>
        <w:rPr>
          <w:rFonts w:hint="default" w:ascii="Helvetica" w:hAnsi="Helvetica" w:eastAsia="Helvetica" w:cs="Helvetica"/>
          <w:i w:val="0"/>
          <w:iCs w:val="0"/>
          <w:caps w:val="0"/>
          <w:color w:val="auto"/>
          <w:spacing w:val="0"/>
          <w:sz w:val="21"/>
          <w:szCs w:val="21"/>
          <w:shd w:val="clear" w:fill="FFFFFF"/>
        </w:rPr>
        <w:t>、发电机、</w:t>
      </w:r>
      <w:r>
        <w:rPr>
          <w:rFonts w:hint="default" w:ascii="Helvetica" w:hAnsi="Helvetica" w:eastAsia="Helvetica" w:cs="Helvetica"/>
          <w:i w:val="0"/>
          <w:iCs w:val="0"/>
          <w:caps w:val="0"/>
          <w:color w:val="auto"/>
          <w:spacing w:val="0"/>
          <w:sz w:val="21"/>
          <w:szCs w:val="21"/>
          <w:u w:val="none"/>
          <w:shd w:val="clear" w:fill="FFFFFF"/>
        </w:rPr>
        <w:fldChar w:fldCharType="begin"/>
      </w:r>
      <w:r>
        <w:rPr>
          <w:rFonts w:hint="default" w:ascii="Helvetica" w:hAnsi="Helvetica" w:eastAsia="Helvetica" w:cs="Helvetica"/>
          <w:i w:val="0"/>
          <w:iCs w:val="0"/>
          <w:caps w:val="0"/>
          <w:color w:val="auto"/>
          <w:spacing w:val="0"/>
          <w:sz w:val="21"/>
          <w:szCs w:val="21"/>
          <w:u w:val="none"/>
          <w:shd w:val="clear" w:fill="FFFFFF"/>
        </w:rPr>
        <w:instrText xml:space="preserve"> HYPERLINK "https://baike.baidu.com/item/%E6%8E%A7%E5%88%B6%E7%B3%BB%E7%BB%9F/1051898?fromModule=lemma_inlink" \t "https://baike.baidu.com/item/%E6%9F%B4%E6%B2%B9%E5%8F%91%E7%94%B5%E6%9C%BA/_blank" </w:instrText>
      </w:r>
      <w:r>
        <w:rPr>
          <w:rFonts w:hint="default" w:ascii="Helvetica" w:hAnsi="Helvetica" w:eastAsia="Helvetica" w:cs="Helvetica"/>
          <w:i w:val="0"/>
          <w:iCs w:val="0"/>
          <w:caps w:val="0"/>
          <w:color w:val="auto"/>
          <w:spacing w:val="0"/>
          <w:sz w:val="21"/>
          <w:szCs w:val="21"/>
          <w:u w:val="none"/>
          <w:shd w:val="clear" w:fill="FFFFFF"/>
        </w:rPr>
        <w:fldChar w:fldCharType="separate"/>
      </w:r>
      <w:r>
        <w:rPr>
          <w:rStyle w:val="45"/>
          <w:rFonts w:hint="default" w:ascii="Helvetica" w:hAnsi="Helvetica" w:eastAsia="Helvetica" w:cs="Helvetica"/>
          <w:i w:val="0"/>
          <w:iCs w:val="0"/>
          <w:caps w:val="0"/>
          <w:color w:val="auto"/>
          <w:spacing w:val="0"/>
          <w:sz w:val="21"/>
          <w:szCs w:val="21"/>
          <w:u w:val="none"/>
          <w:shd w:val="clear" w:fill="FFFFFF"/>
        </w:rPr>
        <w:t>控制系统</w:t>
      </w:r>
      <w:r>
        <w:rPr>
          <w:rFonts w:hint="default" w:ascii="Helvetica" w:hAnsi="Helvetica" w:eastAsia="Helvetica" w:cs="Helvetica"/>
          <w:i w:val="0"/>
          <w:iCs w:val="0"/>
          <w:caps w:val="0"/>
          <w:color w:val="auto"/>
          <w:spacing w:val="0"/>
          <w:sz w:val="21"/>
          <w:szCs w:val="21"/>
          <w:u w:val="none"/>
          <w:shd w:val="clear" w:fill="FFFFFF"/>
        </w:rPr>
        <w:fldChar w:fldCharType="end"/>
      </w:r>
      <w:r>
        <w:rPr>
          <w:rFonts w:hint="default" w:ascii="Helvetica" w:hAnsi="Helvetica" w:eastAsia="Helvetica" w:cs="Helvetica"/>
          <w:i w:val="0"/>
          <w:iCs w:val="0"/>
          <w:caps w:val="0"/>
          <w:color w:val="auto"/>
          <w:spacing w:val="0"/>
          <w:sz w:val="21"/>
          <w:szCs w:val="21"/>
          <w:shd w:val="clear" w:fill="FFFFFF"/>
        </w:rPr>
        <w:t>、</w:t>
      </w:r>
      <w:r>
        <w:rPr>
          <w:rFonts w:hint="eastAsia" w:ascii="Helvetica" w:hAnsi="Helvetica" w:eastAsia="宋体" w:cs="Helvetica"/>
          <w:i w:val="0"/>
          <w:iCs w:val="0"/>
          <w:caps w:val="0"/>
          <w:color w:val="auto"/>
          <w:spacing w:val="0"/>
          <w:sz w:val="21"/>
          <w:szCs w:val="21"/>
          <w:shd w:val="clear" w:fill="FFFFFF"/>
          <w:lang w:val="en-US" w:eastAsia="zh-CN"/>
        </w:rPr>
        <w:t>散热器、</w:t>
      </w:r>
      <w:r>
        <w:rPr>
          <w:rFonts w:hint="default" w:ascii="Helvetica" w:hAnsi="Helvetica" w:eastAsia="Helvetica" w:cs="Helvetica"/>
          <w:i w:val="0"/>
          <w:iCs w:val="0"/>
          <w:caps w:val="0"/>
          <w:color w:val="auto"/>
          <w:spacing w:val="0"/>
          <w:sz w:val="21"/>
          <w:szCs w:val="21"/>
          <w:u w:val="none"/>
          <w:shd w:val="clear" w:fill="FFFFFF"/>
        </w:rPr>
        <w:fldChar w:fldCharType="begin"/>
      </w:r>
      <w:r>
        <w:rPr>
          <w:rFonts w:hint="default" w:ascii="Helvetica" w:hAnsi="Helvetica" w:eastAsia="Helvetica" w:cs="Helvetica"/>
          <w:i w:val="0"/>
          <w:iCs w:val="0"/>
          <w:caps w:val="0"/>
          <w:color w:val="auto"/>
          <w:spacing w:val="0"/>
          <w:sz w:val="21"/>
          <w:szCs w:val="21"/>
          <w:u w:val="none"/>
          <w:shd w:val="clear" w:fill="FFFFFF"/>
        </w:rPr>
        <w:instrText xml:space="preserve"> HYPERLINK "https://baike.baidu.com/item/%E6%9C%BA%E5%BA%A7/299150?fromModule=lemma_inlink" \t "https://baike.baidu.com/item/%E6%9F%B4%E6%B2%B9%E5%8F%91%E7%94%B5%E6%9C%BA/_blank" </w:instrText>
      </w:r>
      <w:r>
        <w:rPr>
          <w:rFonts w:hint="default" w:ascii="Helvetica" w:hAnsi="Helvetica" w:eastAsia="Helvetica" w:cs="Helvetica"/>
          <w:i w:val="0"/>
          <w:iCs w:val="0"/>
          <w:caps w:val="0"/>
          <w:color w:val="auto"/>
          <w:spacing w:val="0"/>
          <w:sz w:val="21"/>
          <w:szCs w:val="21"/>
          <w:u w:val="none"/>
          <w:shd w:val="clear" w:fill="FFFFFF"/>
        </w:rPr>
        <w:fldChar w:fldCharType="separate"/>
      </w:r>
      <w:r>
        <w:rPr>
          <w:rStyle w:val="45"/>
          <w:rFonts w:hint="default" w:ascii="Helvetica" w:hAnsi="Helvetica" w:eastAsia="Helvetica" w:cs="Helvetica"/>
          <w:i w:val="0"/>
          <w:iCs w:val="0"/>
          <w:caps w:val="0"/>
          <w:color w:val="auto"/>
          <w:spacing w:val="0"/>
          <w:sz w:val="21"/>
          <w:szCs w:val="21"/>
          <w:u w:val="none"/>
          <w:shd w:val="clear" w:fill="FFFFFF"/>
        </w:rPr>
        <w:t>机座</w:t>
      </w:r>
      <w:r>
        <w:rPr>
          <w:rFonts w:hint="default" w:ascii="Helvetica" w:hAnsi="Helvetica" w:eastAsia="Helvetica" w:cs="Helvetica"/>
          <w:i w:val="0"/>
          <w:iCs w:val="0"/>
          <w:caps w:val="0"/>
          <w:color w:val="auto"/>
          <w:spacing w:val="0"/>
          <w:sz w:val="21"/>
          <w:szCs w:val="21"/>
          <w:u w:val="none"/>
          <w:shd w:val="clear" w:fill="FFFFFF"/>
        </w:rPr>
        <w:fldChar w:fldCharType="end"/>
      </w:r>
      <w:r>
        <w:rPr>
          <w:rFonts w:hint="default" w:ascii="Helvetica" w:hAnsi="Helvetica" w:eastAsia="Helvetica" w:cs="Helvetica"/>
          <w:i w:val="0"/>
          <w:iCs w:val="0"/>
          <w:caps w:val="0"/>
          <w:color w:val="auto"/>
          <w:spacing w:val="0"/>
          <w:sz w:val="21"/>
          <w:szCs w:val="21"/>
          <w:shd w:val="clear" w:fill="FFFFFF"/>
        </w:rPr>
        <w:t>、减震装置、</w:t>
      </w:r>
      <w:r>
        <w:rPr>
          <w:rFonts w:hint="default" w:ascii="Helvetica" w:hAnsi="Helvetica" w:eastAsia="Helvetica" w:cs="Helvetica"/>
          <w:i w:val="0"/>
          <w:iCs w:val="0"/>
          <w:caps w:val="0"/>
          <w:color w:val="auto"/>
          <w:spacing w:val="0"/>
          <w:sz w:val="21"/>
          <w:szCs w:val="21"/>
          <w:u w:val="none"/>
          <w:shd w:val="clear" w:fill="FFFFFF"/>
        </w:rPr>
        <w:fldChar w:fldCharType="begin"/>
      </w:r>
      <w:r>
        <w:rPr>
          <w:rFonts w:hint="default" w:ascii="Helvetica" w:hAnsi="Helvetica" w:eastAsia="Helvetica" w:cs="Helvetica"/>
          <w:i w:val="0"/>
          <w:iCs w:val="0"/>
          <w:caps w:val="0"/>
          <w:color w:val="auto"/>
          <w:spacing w:val="0"/>
          <w:sz w:val="21"/>
          <w:szCs w:val="21"/>
          <w:u w:val="none"/>
          <w:shd w:val="clear" w:fill="FFFFFF"/>
        </w:rPr>
        <w:instrText xml:space="preserve"> HYPERLINK "https://baike.baidu.com/item/%E5%86%B7%E5%8D%B4%E7%B3%BB%E7%BB%9F/4290449?fromModule=lemma_inlink" \t "https://baike.baidu.com/item/%E6%9F%B4%E6%B2%B9%E5%8F%91%E7%94%B5%E6%9C%BA/_blank" </w:instrText>
      </w:r>
      <w:r>
        <w:rPr>
          <w:rFonts w:hint="default" w:ascii="Helvetica" w:hAnsi="Helvetica" w:eastAsia="Helvetica" w:cs="Helvetica"/>
          <w:i w:val="0"/>
          <w:iCs w:val="0"/>
          <w:caps w:val="0"/>
          <w:color w:val="auto"/>
          <w:spacing w:val="0"/>
          <w:sz w:val="21"/>
          <w:szCs w:val="21"/>
          <w:u w:val="none"/>
          <w:shd w:val="clear" w:fill="FFFFFF"/>
        </w:rPr>
        <w:fldChar w:fldCharType="separate"/>
      </w:r>
      <w:r>
        <w:rPr>
          <w:rStyle w:val="45"/>
          <w:rFonts w:hint="default" w:ascii="Helvetica" w:hAnsi="Helvetica" w:eastAsia="Helvetica" w:cs="Helvetica"/>
          <w:i w:val="0"/>
          <w:iCs w:val="0"/>
          <w:caps w:val="0"/>
          <w:color w:val="auto"/>
          <w:spacing w:val="0"/>
          <w:sz w:val="21"/>
          <w:szCs w:val="21"/>
          <w:u w:val="none"/>
          <w:shd w:val="clear" w:fill="FFFFFF"/>
        </w:rPr>
        <w:t>冷却系统</w:t>
      </w:r>
      <w:r>
        <w:rPr>
          <w:rFonts w:hint="default" w:ascii="Helvetica" w:hAnsi="Helvetica" w:eastAsia="Helvetica" w:cs="Helvetica"/>
          <w:i w:val="0"/>
          <w:iCs w:val="0"/>
          <w:caps w:val="0"/>
          <w:color w:val="auto"/>
          <w:spacing w:val="0"/>
          <w:sz w:val="21"/>
          <w:szCs w:val="21"/>
          <w:u w:val="none"/>
          <w:shd w:val="clear" w:fill="FFFFFF"/>
        </w:rPr>
        <w:fldChar w:fldCharType="end"/>
      </w:r>
      <w:r>
        <w:rPr>
          <w:rFonts w:hint="default" w:ascii="Helvetica" w:hAnsi="Helvetica" w:eastAsia="Helvetica" w:cs="Helvetica"/>
          <w:i w:val="0"/>
          <w:iCs w:val="0"/>
          <w:caps w:val="0"/>
          <w:color w:val="auto"/>
          <w:spacing w:val="0"/>
          <w:sz w:val="21"/>
          <w:szCs w:val="21"/>
          <w:shd w:val="clear" w:fill="FFFFFF"/>
        </w:rPr>
        <w:t>、</w:t>
      </w:r>
      <w:r>
        <w:rPr>
          <w:rFonts w:hint="default" w:ascii="Helvetica" w:hAnsi="Helvetica" w:eastAsia="Helvetica" w:cs="Helvetica"/>
          <w:i w:val="0"/>
          <w:iCs w:val="0"/>
          <w:caps w:val="0"/>
          <w:color w:val="auto"/>
          <w:spacing w:val="0"/>
          <w:sz w:val="21"/>
          <w:szCs w:val="21"/>
          <w:u w:val="none"/>
          <w:shd w:val="clear" w:fill="FFFFFF"/>
        </w:rPr>
        <w:fldChar w:fldCharType="begin"/>
      </w:r>
      <w:r>
        <w:rPr>
          <w:rFonts w:hint="default" w:ascii="Helvetica" w:hAnsi="Helvetica" w:eastAsia="Helvetica" w:cs="Helvetica"/>
          <w:i w:val="0"/>
          <w:iCs w:val="0"/>
          <w:caps w:val="0"/>
          <w:color w:val="auto"/>
          <w:spacing w:val="0"/>
          <w:sz w:val="21"/>
          <w:szCs w:val="21"/>
          <w:u w:val="none"/>
          <w:shd w:val="clear" w:fill="FFFFFF"/>
        </w:rPr>
        <w:instrText xml:space="preserve"> HYPERLINK "https://baike.baidu.com/item/%E4%BE%9B%E6%B2%B9%E7%B3%BB%E7%BB%9F/378954?fromModule=lemma_inlink" \t "https://baike.baidu.com/item/%E6%9F%B4%E6%B2%B9%E5%8F%91%E7%94%B5%E6%9C%BA/_blank" </w:instrText>
      </w:r>
      <w:r>
        <w:rPr>
          <w:rFonts w:hint="default" w:ascii="Helvetica" w:hAnsi="Helvetica" w:eastAsia="Helvetica" w:cs="Helvetica"/>
          <w:i w:val="0"/>
          <w:iCs w:val="0"/>
          <w:caps w:val="0"/>
          <w:color w:val="auto"/>
          <w:spacing w:val="0"/>
          <w:sz w:val="21"/>
          <w:szCs w:val="21"/>
          <w:u w:val="none"/>
          <w:shd w:val="clear" w:fill="FFFFFF"/>
        </w:rPr>
        <w:fldChar w:fldCharType="separate"/>
      </w:r>
      <w:r>
        <w:rPr>
          <w:rStyle w:val="45"/>
          <w:rFonts w:hint="default" w:ascii="Helvetica" w:hAnsi="Helvetica" w:eastAsia="Helvetica" w:cs="Helvetica"/>
          <w:i w:val="0"/>
          <w:iCs w:val="0"/>
          <w:caps w:val="0"/>
          <w:color w:val="auto"/>
          <w:spacing w:val="0"/>
          <w:sz w:val="21"/>
          <w:szCs w:val="21"/>
          <w:u w:val="none"/>
          <w:shd w:val="clear" w:fill="FFFFFF"/>
        </w:rPr>
        <w:t>供油系统</w:t>
      </w:r>
      <w:r>
        <w:rPr>
          <w:rFonts w:hint="default" w:ascii="Helvetica" w:hAnsi="Helvetica" w:eastAsia="Helvetica" w:cs="Helvetica"/>
          <w:i w:val="0"/>
          <w:iCs w:val="0"/>
          <w:caps w:val="0"/>
          <w:color w:val="auto"/>
          <w:spacing w:val="0"/>
          <w:sz w:val="21"/>
          <w:szCs w:val="21"/>
          <w:u w:val="none"/>
          <w:shd w:val="clear" w:fill="FFFFFF"/>
        </w:rPr>
        <w:fldChar w:fldCharType="end"/>
      </w:r>
      <w:r>
        <w:rPr>
          <w:rFonts w:hint="default" w:ascii="Helvetica" w:hAnsi="Helvetica" w:eastAsia="Helvetica" w:cs="Helvetica"/>
          <w:i w:val="0"/>
          <w:iCs w:val="0"/>
          <w:caps w:val="0"/>
          <w:color w:val="auto"/>
          <w:spacing w:val="0"/>
          <w:sz w:val="21"/>
          <w:szCs w:val="21"/>
          <w:shd w:val="clear" w:fill="FFFFFF"/>
        </w:rPr>
        <w:t>、输出保护开关</w:t>
      </w:r>
      <w:r>
        <w:rPr>
          <w:rFonts w:hint="eastAsia" w:ascii="Helvetica" w:hAnsi="Helvetica" w:eastAsia="宋体" w:cs="Helvetica"/>
          <w:i w:val="0"/>
          <w:iCs w:val="0"/>
          <w:caps w:val="0"/>
          <w:color w:val="auto"/>
          <w:spacing w:val="0"/>
          <w:sz w:val="21"/>
          <w:szCs w:val="21"/>
          <w:shd w:val="clear" w:fill="FFFFFF"/>
          <w:lang w:eastAsia="zh-CN"/>
        </w:rPr>
        <w:t>、</w:t>
      </w:r>
      <w:r>
        <w:rPr>
          <w:rFonts w:hint="eastAsia" w:ascii="Helvetica" w:hAnsi="Helvetica" w:eastAsia="宋体" w:cs="Helvetica"/>
          <w:i w:val="0"/>
          <w:iCs w:val="0"/>
          <w:caps w:val="0"/>
          <w:color w:val="auto"/>
          <w:spacing w:val="0"/>
          <w:sz w:val="21"/>
          <w:szCs w:val="21"/>
          <w:shd w:val="clear" w:fill="FFFFFF"/>
          <w:lang w:val="en-US" w:eastAsia="zh-CN"/>
        </w:rPr>
        <w:t>以及环保配套工程</w:t>
      </w:r>
      <w:r>
        <w:rPr>
          <w:rFonts w:hint="default" w:ascii="Helvetica" w:hAnsi="Helvetica" w:eastAsia="Helvetica" w:cs="Helvetica"/>
          <w:i w:val="0"/>
          <w:iCs w:val="0"/>
          <w:caps w:val="0"/>
          <w:color w:val="auto"/>
          <w:spacing w:val="0"/>
          <w:sz w:val="21"/>
          <w:szCs w:val="21"/>
          <w:shd w:val="clear" w:fill="FFFFFF"/>
        </w:rPr>
        <w:t>等部分组成</w:t>
      </w:r>
      <w:r>
        <w:rPr>
          <w:rFonts w:hint="eastAsia"/>
          <w:color w:val="auto"/>
        </w:rPr>
        <w:t>。</w:t>
      </w:r>
    </w:p>
    <w:p w14:paraId="72BAE625">
      <w:pPr>
        <w:pStyle w:val="53"/>
        <w:spacing w:before="240" w:after="240"/>
        <w:rPr>
          <w:rFonts w:ascii="Times New Roman"/>
          <w:color w:val="auto"/>
        </w:rPr>
      </w:pPr>
      <w:bookmarkStart w:id="40" w:name="_Toc386617913"/>
      <w:bookmarkStart w:id="41" w:name="_Toc416267178"/>
      <w:bookmarkStart w:id="42" w:name="_Toc388521265"/>
      <w:bookmarkStart w:id="43" w:name="_Toc416267229"/>
      <w:bookmarkStart w:id="44" w:name="_Toc513800157"/>
      <w:bookmarkStart w:id="45" w:name="_Toc386893284"/>
      <w:bookmarkStart w:id="46" w:name="_Toc415486395"/>
      <w:r>
        <w:rPr>
          <w:rFonts w:ascii="Times New Roman"/>
          <w:color w:val="auto"/>
        </w:rPr>
        <w:t>技术要求</w:t>
      </w:r>
      <w:bookmarkEnd w:id="40"/>
      <w:bookmarkEnd w:id="41"/>
      <w:bookmarkEnd w:id="42"/>
      <w:bookmarkEnd w:id="43"/>
      <w:bookmarkEnd w:id="44"/>
      <w:bookmarkEnd w:id="45"/>
      <w:bookmarkEnd w:id="46"/>
    </w:p>
    <w:p w14:paraId="54AA164B">
      <w:pPr>
        <w:pStyle w:val="50"/>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发电机</w:t>
      </w:r>
    </w:p>
    <w:p w14:paraId="5BEA9F7A">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发电机类型：三相输出</w:t>
      </w:r>
    </w:p>
    <w:p w14:paraId="0EB0EE16">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相数：三相</w:t>
      </w:r>
      <w:r>
        <w:rPr>
          <w:rFonts w:hint="eastAsia" w:ascii="宋体" w:hAnsi="宋体" w:eastAsia="宋体" w:cs="宋体"/>
          <w:color w:val="auto"/>
          <w:sz w:val="21"/>
          <w:szCs w:val="21"/>
          <w:lang w:val="en-US" w:eastAsia="zh-CN"/>
        </w:rPr>
        <w:t>四线制</w:t>
      </w:r>
    </w:p>
    <w:p w14:paraId="00928BF6">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额定输出：≥1</w:t>
      </w:r>
      <w:r>
        <w:rPr>
          <w:rFonts w:hint="eastAsia" w:ascii="宋体" w:hAnsi="宋体" w:eastAsia="宋体" w:cs="宋体"/>
          <w:color w:val="auto"/>
          <w:sz w:val="21"/>
          <w:szCs w:val="21"/>
          <w:lang w:val="en-US" w:eastAsia="zh-CN"/>
        </w:rPr>
        <w:t>50</w:t>
      </w:r>
      <w:r>
        <w:rPr>
          <w:rFonts w:hint="eastAsia" w:ascii="宋体" w:hAnsi="宋体" w:eastAsia="宋体" w:cs="宋体"/>
          <w:color w:val="auto"/>
          <w:sz w:val="21"/>
          <w:szCs w:val="21"/>
        </w:rPr>
        <w:t>0kW</w:t>
      </w:r>
    </w:p>
    <w:p w14:paraId="721CF2F8">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功率因数（cosφ）：</w:t>
      </w:r>
      <w:r>
        <w:rPr>
          <w:rFonts w:hint="eastAsia" w:ascii="宋体" w:hAnsi="宋体" w:eastAsia="宋体" w:cs="宋体"/>
          <w:b w:val="0"/>
          <w:bCs/>
          <w:color w:val="auto"/>
          <w:sz w:val="21"/>
          <w:szCs w:val="21"/>
        </w:rPr>
        <w:t>≥0.8（滞后）</w:t>
      </w:r>
    </w:p>
    <w:p w14:paraId="6E605089">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电机类型：无刷，自励</w:t>
      </w:r>
    </w:p>
    <w:p w14:paraId="2AAD5A3C">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输出额定电压：交流</w:t>
      </w:r>
      <w:r>
        <w:rPr>
          <w:rFonts w:hint="eastAsia" w:ascii="宋体" w:hAnsi="宋体" w:eastAsia="宋体" w:cs="宋体"/>
          <w:color w:val="auto"/>
          <w:sz w:val="21"/>
          <w:szCs w:val="21"/>
          <w:lang w:val="en-US" w:eastAsia="zh-CN"/>
        </w:rPr>
        <w:t>40</w:t>
      </w:r>
      <w:r>
        <w:rPr>
          <w:rFonts w:hint="eastAsia" w:ascii="宋体" w:hAnsi="宋体" w:eastAsia="宋体" w:cs="宋体"/>
          <w:color w:val="auto"/>
          <w:sz w:val="21"/>
          <w:szCs w:val="21"/>
        </w:rPr>
        <w:t>0V/2</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0V</w:t>
      </w:r>
    </w:p>
    <w:p w14:paraId="5D2F3E8A">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频率：50Hz</w:t>
      </w:r>
    </w:p>
    <w:p w14:paraId="5CA3CBD0">
      <w:pPr>
        <w:pStyle w:val="50"/>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发动机</w:t>
      </w:r>
    </w:p>
    <w:p w14:paraId="4925D025">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bookmarkStart w:id="47" w:name="_Ref305050300"/>
      <w:r>
        <w:rPr>
          <w:rFonts w:hint="eastAsia" w:ascii="宋体" w:hAnsi="宋体" w:eastAsia="宋体" w:cs="宋体"/>
          <w:color w:val="auto"/>
          <w:sz w:val="21"/>
          <w:szCs w:val="21"/>
        </w:rPr>
        <w:t>型式：</w:t>
      </w:r>
      <w:r>
        <w:rPr>
          <w:rFonts w:hint="eastAsia" w:ascii="宋体" w:hAnsi="宋体" w:eastAsia="宋体" w:cs="宋体"/>
          <w:color w:val="auto"/>
          <w:sz w:val="21"/>
          <w:szCs w:val="21"/>
          <w:lang w:val="en-US" w:eastAsia="zh-CN"/>
        </w:rPr>
        <w:t>V型</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四冲程</w:t>
      </w:r>
    </w:p>
    <w:bookmarkEnd w:id="47"/>
    <w:p w14:paraId="2B504987">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起动方式：电动</w:t>
      </w:r>
    </w:p>
    <w:p w14:paraId="08112A22">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b w:val="0"/>
          <w:bCs/>
          <w:color w:val="auto"/>
          <w:sz w:val="21"/>
          <w:szCs w:val="21"/>
        </w:rPr>
      </w:pPr>
      <w:r>
        <w:rPr>
          <w:rFonts w:hint="eastAsia" w:ascii="宋体" w:hAnsi="宋体" w:eastAsia="宋体" w:cs="宋体"/>
          <w:color w:val="auto"/>
          <w:sz w:val="21"/>
          <w:szCs w:val="21"/>
        </w:rPr>
        <w:t>燃油：0#柴油</w:t>
      </w:r>
    </w:p>
    <w:p w14:paraId="6669EAF4">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连续运转时间：≥</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h</w:t>
      </w:r>
    </w:p>
    <w:p w14:paraId="17EC7DA6">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冷却方式</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风扇水箱散热</w:t>
      </w:r>
    </w:p>
    <w:p w14:paraId="2D0930A5">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进气方式：涡轮增压进气</w:t>
      </w:r>
    </w:p>
    <w:p w14:paraId="5104B3F6">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调速方式： </w:t>
      </w:r>
      <w:r>
        <w:rPr>
          <w:rFonts w:hint="eastAsia" w:ascii="宋体" w:hAnsi="宋体" w:eastAsia="宋体" w:cs="宋体"/>
          <w:color w:val="auto"/>
          <w:sz w:val="21"/>
          <w:szCs w:val="21"/>
          <w:lang w:val="en-US" w:eastAsia="zh-CN"/>
        </w:rPr>
        <w:t>电子</w:t>
      </w:r>
      <w:r>
        <w:rPr>
          <w:rFonts w:hint="eastAsia" w:ascii="宋体" w:hAnsi="宋体" w:eastAsia="宋体" w:cs="宋体"/>
          <w:color w:val="auto"/>
          <w:sz w:val="21"/>
          <w:szCs w:val="21"/>
        </w:rPr>
        <w:t>调速</w:t>
      </w:r>
    </w:p>
    <w:p w14:paraId="7F872010">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转 速(r/min)：</w:t>
      </w:r>
      <w:r>
        <w:rPr>
          <w:rFonts w:hint="eastAsia" w:ascii="宋体" w:hAnsi="宋体" w:eastAsia="宋体" w:cs="宋体"/>
          <w:color w:val="auto"/>
          <w:sz w:val="21"/>
          <w:szCs w:val="21"/>
          <w:lang w:val="en-US" w:eastAsia="zh-CN"/>
        </w:rPr>
        <w:t>1500</w:t>
      </w:r>
    </w:p>
    <w:p w14:paraId="449F7485">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机油总容量 L：≥150</w:t>
      </w:r>
      <w:bookmarkStart w:id="83" w:name="_GoBack"/>
      <w:bookmarkEnd w:id="83"/>
    </w:p>
    <w:p w14:paraId="573F7AF9">
      <w:pPr>
        <w:pStyle w:val="50"/>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智能控制器</w:t>
      </w:r>
    </w:p>
    <w:p w14:paraId="0804EDC8">
      <w:pPr>
        <w:pStyle w:val="54"/>
        <w:bidi w:val="0"/>
        <w:spacing w:line="240" w:lineRule="auto"/>
        <w:ind w:left="0" w:leftChars="0"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保护断路器：有</w:t>
      </w:r>
    </w:p>
    <w:p w14:paraId="2985A624">
      <w:pPr>
        <w:pStyle w:val="54"/>
        <w:bidi w:val="0"/>
        <w:spacing w:line="240" w:lineRule="auto"/>
        <w:ind w:left="0" w:leftChars="0"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控制：手动/远程联动控制、紧急停机控制、发电机转速控制、发电机电压控制、可编程开关量输入/输出控制。</w:t>
      </w:r>
    </w:p>
    <w:p w14:paraId="3BA33305">
      <w:pPr>
        <w:pStyle w:val="54"/>
        <w:bidi w:val="0"/>
        <w:spacing w:line="240" w:lineRule="auto"/>
        <w:ind w:left="0" w:leftChars="0"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保护：润滑油压过低保护、高温保护、发电机超速保护、发电机转速信号丢失、充电机充电失败、发动机启动失败等。</w:t>
      </w:r>
    </w:p>
    <w:p w14:paraId="448E676E">
      <w:pPr>
        <w:pStyle w:val="54"/>
        <w:bidi w:val="0"/>
        <w:spacing w:line="240" w:lineRule="auto"/>
        <w:ind w:left="0" w:leftChars="0"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事件指示灯：低油压、发动机机高温、超速/速度信号丢失、充电失败、起动失败、远程启动。</w:t>
      </w:r>
    </w:p>
    <w:p w14:paraId="00DB7864">
      <w:pPr>
        <w:pStyle w:val="54"/>
        <w:bidi w:val="0"/>
        <w:spacing w:line="240" w:lineRule="auto"/>
        <w:ind w:left="0" w:leftChars="0"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数字显示屏：发电机转速、机油油压、发动机水温、电瓶电压、发电机相/线电压、发电机电流、发电机频率、输出功率、其他硬件参数、机组运行记录等。</w:t>
      </w:r>
    </w:p>
    <w:p w14:paraId="2388120F">
      <w:pPr>
        <w:pStyle w:val="50"/>
        <w:spacing w:before="120" w:after="120"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附属装置</w:t>
      </w:r>
    </w:p>
    <w:p w14:paraId="3506DCA0">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空气滤清器：有</w:t>
      </w:r>
    </w:p>
    <w:p w14:paraId="430416B5">
      <w:pPr>
        <w:pStyle w:val="54"/>
        <w:spacing w:before="120" w:after="120" w:line="24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eastAsia="zh-CN"/>
        </w:rPr>
        <w:t>电池：</w:t>
      </w:r>
      <w:r>
        <w:rPr>
          <w:rFonts w:hint="eastAsia" w:ascii="宋体" w:hAnsi="宋体" w:eastAsia="宋体" w:cs="宋体"/>
          <w:color w:val="auto"/>
          <w:sz w:val="21"/>
          <w:szCs w:val="21"/>
          <w:highlight w:val="none"/>
          <w:lang w:val="en-US" w:eastAsia="zh-CN"/>
        </w:rPr>
        <w:t>12V/24V 200Ah铅酸电池</w:t>
      </w:r>
    </w:p>
    <w:p w14:paraId="65CD81A5">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有超载报警等指示功能</w:t>
      </w:r>
    </w:p>
    <w:p w14:paraId="1872BA41">
      <w:pPr>
        <w:pStyle w:val="54"/>
        <w:bidi w:val="0"/>
        <w:spacing w:line="240" w:lineRule="auto"/>
        <w:ind w:left="0" w:leftChars="0"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排烟管消音器：有</w:t>
      </w:r>
    </w:p>
    <w:p w14:paraId="267EB837">
      <w:pPr>
        <w:pStyle w:val="54"/>
        <w:bidi w:val="0"/>
        <w:spacing w:line="240" w:lineRule="auto"/>
        <w:ind w:left="0" w:leftChars="0"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油箱： </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1000</w:t>
      </w:r>
      <w:r>
        <w:rPr>
          <w:rFonts w:hint="eastAsia" w:ascii="宋体" w:hAnsi="宋体" w:eastAsia="宋体" w:cs="宋体"/>
          <w:color w:val="auto"/>
          <w:sz w:val="21"/>
          <w:szCs w:val="21"/>
        </w:rPr>
        <w:t>L</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带油位显示且具有低油位报警功能、油管有手动及自动切断阀、带呼吸阀通气管。</w:t>
      </w:r>
    </w:p>
    <w:p w14:paraId="08F4F1A0">
      <w:pPr>
        <w:pStyle w:val="54"/>
        <w:bidi w:val="0"/>
        <w:spacing w:line="240" w:lineRule="auto"/>
        <w:ind w:left="0" w:leftChars="0" w:firstLine="0" w:firstLineChars="0"/>
        <w:rPr>
          <w:rFonts w:hint="eastAsia"/>
          <w:color w:val="auto"/>
        </w:rPr>
      </w:pPr>
      <w:r>
        <w:rPr>
          <w:rFonts w:hint="eastAsia" w:ascii="宋体" w:hAnsi="宋体" w:eastAsia="宋体" w:cs="宋体"/>
          <w:color w:val="auto"/>
          <w:sz w:val="21"/>
          <w:szCs w:val="21"/>
          <w:lang w:val="en-US" w:eastAsia="zh-CN"/>
        </w:rPr>
        <w:t>配套环保工程：含墙体及门体隔音、吊顶隔音、消烟处理喷淋箱、第三方环保检测报告等。</w:t>
      </w:r>
    </w:p>
    <w:p w14:paraId="3C6B4EE9">
      <w:pPr>
        <w:pStyle w:val="50"/>
        <w:spacing w:before="120" w:after="120" w:line="240" w:lineRule="auto"/>
        <w:rPr>
          <w:rFonts w:ascii="Times New Roman"/>
          <w:color w:val="auto"/>
        </w:rPr>
      </w:pPr>
      <w:r>
        <w:rPr>
          <w:rFonts w:hint="eastAsia" w:ascii="Times New Roman"/>
          <w:color w:val="auto"/>
        </w:rPr>
        <w:t>其他</w:t>
      </w:r>
    </w:p>
    <w:p w14:paraId="7C75D199">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asciiTheme="minorEastAsia" w:hAnsiTheme="minorEastAsia" w:eastAsiaTheme="minorEastAsia" w:cstheme="minorEastAsia"/>
          <w:color w:val="auto"/>
        </w:rPr>
      </w:pPr>
      <w:r>
        <w:rPr>
          <w:rFonts w:hint="eastAsia" w:ascii="宋体" w:hAnsi="宋体" w:eastAsia="宋体" w:cs="宋体"/>
          <w:b w:val="0"/>
          <w:bCs/>
          <w:i w:val="0"/>
          <w:iCs w:val="0"/>
          <w:caps w:val="0"/>
          <w:color w:val="auto"/>
          <w:spacing w:val="0"/>
          <w:sz w:val="22"/>
          <w:szCs w:val="22"/>
        </w:rPr>
        <w:t>结构类型：开架式</w:t>
      </w:r>
    </w:p>
    <w:p w14:paraId="10B7DDDA">
      <w:pPr>
        <w:pStyle w:val="54"/>
        <w:spacing w:before="120" w:after="12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绝缘等级：H</w:t>
      </w:r>
    </w:p>
    <w:p w14:paraId="7535D857">
      <w:pPr>
        <w:pStyle w:val="54"/>
        <w:spacing w:before="120" w:after="12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防护等级：IP22</w:t>
      </w:r>
    </w:p>
    <w:p w14:paraId="68AB35A6">
      <w:pPr>
        <w:pStyle w:val="54"/>
        <w:spacing w:before="120" w:after="120" w:line="240" w:lineRule="auto"/>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rPr>
        <w:t>净重：≤1</w:t>
      </w:r>
      <w:r>
        <w:rPr>
          <w:rFonts w:hint="eastAsia" w:asciiTheme="minorEastAsia" w:hAnsiTheme="minorEastAsia" w:eastAsiaTheme="minorEastAsia" w:cstheme="minorEastAsia"/>
          <w:color w:val="auto"/>
          <w:szCs w:val="22"/>
          <w:lang w:val="en-US" w:eastAsia="zh-CN"/>
        </w:rPr>
        <w:t>50</w:t>
      </w:r>
      <w:r>
        <w:rPr>
          <w:rFonts w:hint="eastAsia" w:asciiTheme="minorEastAsia" w:hAnsiTheme="minorEastAsia" w:eastAsiaTheme="minorEastAsia" w:cstheme="minorEastAsia"/>
          <w:color w:val="auto"/>
          <w:szCs w:val="22"/>
        </w:rPr>
        <w:t>00kg</w:t>
      </w:r>
    </w:p>
    <w:p w14:paraId="6210F594">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eastAsia"/>
          <w:color w:val="auto"/>
        </w:rPr>
      </w:pPr>
      <w:r>
        <w:rPr>
          <w:rFonts w:hint="eastAsia" w:asciiTheme="minorEastAsia" w:hAnsiTheme="minorEastAsia" w:eastAsiaTheme="minorEastAsia" w:cstheme="minorEastAsia"/>
          <w:b w:val="0"/>
          <w:bCs/>
          <w:color w:val="auto"/>
          <w:sz w:val="21"/>
          <w:szCs w:val="21"/>
          <w:lang w:eastAsia="zh-CN"/>
        </w:rPr>
        <w:t>整机尺寸</w:t>
      </w:r>
      <w:r>
        <w:rPr>
          <w:rFonts w:hint="eastAsia" w:asciiTheme="minorEastAsia" w:hAnsiTheme="minorEastAsia" w:eastAsiaTheme="minorEastAsia" w:cstheme="minorEastAsia"/>
          <w:b w:val="0"/>
          <w:bCs/>
          <w:color w:val="auto"/>
          <w:sz w:val="21"/>
          <w:szCs w:val="21"/>
          <w:lang w:val="en-US" w:eastAsia="zh-CN"/>
        </w:rPr>
        <w:t>:</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6200</w:t>
      </w:r>
      <w:r>
        <w:rPr>
          <w:rFonts w:hint="eastAsia" w:asciiTheme="minorEastAsia" w:hAnsiTheme="minorEastAsia" w:eastAsiaTheme="minorEastAsia" w:cstheme="minorEastAsia"/>
          <w:color w:val="auto"/>
          <w:sz w:val="21"/>
          <w:szCs w:val="21"/>
        </w:rPr>
        <w:t>*2</w:t>
      </w:r>
      <w:r>
        <w:rPr>
          <w:rFonts w:hint="eastAsia" w:asciiTheme="minorEastAsia" w:hAnsiTheme="minorEastAsia" w:eastAsiaTheme="minorEastAsia" w:cstheme="minorEastAsia"/>
          <w:color w:val="auto"/>
          <w:sz w:val="21"/>
          <w:szCs w:val="21"/>
          <w:lang w:val="en-US" w:eastAsia="zh-CN"/>
        </w:rPr>
        <w:t>3</w:t>
      </w:r>
      <w:r>
        <w:rPr>
          <w:rFonts w:hint="eastAsia" w:asciiTheme="minorEastAsia" w:hAnsiTheme="minorEastAsia" w:eastAsiaTheme="minorEastAsia" w:cstheme="minorEastAsia"/>
          <w:color w:val="auto"/>
          <w:sz w:val="21"/>
          <w:szCs w:val="21"/>
        </w:rPr>
        <w:t>00*2800</w:t>
      </w:r>
      <w:r>
        <w:rPr>
          <w:rFonts w:hint="eastAsia" w:asciiTheme="minorEastAsia" w:hAnsiTheme="minorEastAsia" w:eastAsiaTheme="minorEastAsia" w:cstheme="minorEastAsia"/>
          <w:b w:val="0"/>
          <w:bCs/>
          <w:color w:val="auto"/>
          <w:sz w:val="21"/>
          <w:szCs w:val="21"/>
          <w:lang w:val="en-US" w:eastAsia="zh-CN"/>
        </w:rPr>
        <w:t>mm（长*宽*高）</w:t>
      </w:r>
    </w:p>
    <w:p w14:paraId="4ABF123A">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启动时间：</w:t>
      </w:r>
      <w:r>
        <w:rPr>
          <w:rFonts w:hint="eastAsia" w:asciiTheme="minorEastAsia" w:hAnsiTheme="minorEastAsia" w:eastAsiaTheme="minorEastAsia" w:cstheme="minorEastAsia"/>
          <w:b w:val="0"/>
          <w:bCs/>
          <w:color w:val="auto"/>
          <w:sz w:val="21"/>
          <w:szCs w:val="21"/>
          <w:lang w:eastAsia="zh-CN"/>
        </w:rPr>
        <w:t>≤</w:t>
      </w:r>
      <w:r>
        <w:rPr>
          <w:rFonts w:hint="eastAsia" w:asciiTheme="minorEastAsia" w:hAnsiTheme="minorEastAsia" w:eastAsiaTheme="minorEastAsia" w:cstheme="minorEastAsia"/>
          <w:b w:val="0"/>
          <w:bCs/>
          <w:color w:val="auto"/>
          <w:sz w:val="21"/>
          <w:szCs w:val="21"/>
          <w:lang w:val="en-US" w:eastAsia="zh-CN"/>
        </w:rPr>
        <w:t>15S(完成供电时间</w:t>
      </w:r>
      <w:r>
        <w:rPr>
          <w:rFonts w:hint="eastAsia" w:asciiTheme="minorEastAsia" w:hAnsiTheme="minorEastAsia" w:eastAsiaTheme="minorEastAsia" w:cstheme="minorEastAsia"/>
          <w:b w:val="0"/>
          <w:bCs/>
          <w:color w:val="auto"/>
          <w:sz w:val="21"/>
          <w:szCs w:val="21"/>
          <w:lang w:eastAsia="zh-CN"/>
        </w:rPr>
        <w:t>≤</w:t>
      </w:r>
      <w:r>
        <w:rPr>
          <w:rFonts w:hint="eastAsia" w:asciiTheme="minorEastAsia" w:hAnsiTheme="minorEastAsia" w:eastAsiaTheme="minorEastAsia" w:cstheme="minorEastAsia"/>
          <w:b w:val="0"/>
          <w:bCs/>
          <w:color w:val="auto"/>
          <w:sz w:val="21"/>
          <w:szCs w:val="21"/>
          <w:lang w:val="en-US" w:eastAsia="zh-CN"/>
        </w:rPr>
        <w:t>30S)</w:t>
      </w:r>
    </w:p>
    <w:p w14:paraId="4800449B">
      <w:pPr>
        <w:pStyle w:val="54"/>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抗震能力：地震烈度8度</w:t>
      </w:r>
    </w:p>
    <w:p w14:paraId="09EF88D6">
      <w:pPr>
        <w:pStyle w:val="53"/>
        <w:spacing w:before="240" w:after="240"/>
        <w:rPr>
          <w:rFonts w:ascii="Times New Roman"/>
        </w:rPr>
      </w:pPr>
      <w:bookmarkStart w:id="48" w:name="_Toc386893290"/>
      <w:bookmarkStart w:id="49" w:name="_Toc306180727"/>
      <w:bookmarkStart w:id="50" w:name="_Toc415486396"/>
      <w:bookmarkStart w:id="51" w:name="_Toc416267179"/>
      <w:bookmarkStart w:id="52" w:name="_Toc416267230"/>
      <w:bookmarkStart w:id="53" w:name="_Toc386617919"/>
      <w:bookmarkStart w:id="54" w:name="_Toc388521271"/>
      <w:bookmarkStart w:id="55" w:name="_Toc513800158"/>
      <w:bookmarkStart w:id="56" w:name="_Toc416267232"/>
      <w:bookmarkStart w:id="57" w:name="_Toc386893299"/>
      <w:bookmarkStart w:id="58" w:name="_Toc388521283"/>
      <w:bookmarkStart w:id="59" w:name="_Toc306180729"/>
      <w:bookmarkStart w:id="60" w:name="_Toc416267183"/>
      <w:bookmarkStart w:id="61" w:name="_Toc415486401"/>
      <w:bookmarkStart w:id="62" w:name="_Toc386617928"/>
      <w:r>
        <w:rPr>
          <w:rFonts w:ascii="Times New Roman"/>
        </w:rPr>
        <w:t>试验</w:t>
      </w:r>
      <w:bookmarkEnd w:id="48"/>
      <w:bookmarkEnd w:id="49"/>
      <w:bookmarkEnd w:id="50"/>
      <w:bookmarkEnd w:id="51"/>
      <w:bookmarkEnd w:id="52"/>
      <w:bookmarkEnd w:id="53"/>
      <w:bookmarkEnd w:id="54"/>
      <w:r>
        <w:rPr>
          <w:rFonts w:ascii="Times New Roman"/>
        </w:rPr>
        <w:t>要求</w:t>
      </w:r>
      <w:bookmarkEnd w:id="55"/>
    </w:p>
    <w:p w14:paraId="2AA739F6">
      <w:pPr>
        <w:pStyle w:val="50"/>
        <w:spacing w:before="120" w:after="120"/>
      </w:pPr>
      <w:r>
        <w:rPr>
          <w:rFonts w:ascii="Times New Roman"/>
        </w:rPr>
        <w:t>结构和外观检测</w:t>
      </w:r>
    </w:p>
    <w:p w14:paraId="7BA58635">
      <w:pPr>
        <w:pStyle w:val="54"/>
        <w:spacing w:before="120" w:after="120"/>
        <w:rPr>
          <w:rFonts w:ascii="Times New Roman"/>
        </w:rPr>
      </w:pPr>
      <w:r>
        <w:rPr>
          <w:rFonts w:ascii="Times New Roman"/>
        </w:rPr>
        <w:t>试验方法</w:t>
      </w:r>
    </w:p>
    <w:p w14:paraId="33FFBE80">
      <w:pPr>
        <w:ind w:firstLine="420" w:firstLineChars="200"/>
      </w:pPr>
      <w:r>
        <w:rPr>
          <w:rFonts w:hint="eastAsia"/>
        </w:rPr>
        <w:t>按</w:t>
      </w:r>
      <w:r>
        <w:rPr>
          <w:rFonts w:hint="eastAsia"/>
          <w:lang w:val="en-US" w:eastAsia="zh-CN"/>
        </w:rPr>
        <w:t>柴</w:t>
      </w:r>
      <w:r>
        <w:rPr>
          <w:rFonts w:hint="eastAsia"/>
        </w:rPr>
        <w:t>油机、控制屏、发电机的顺序逐一检查机组的外观质量、接线质量、铭牌、零部件质量和总体质量等。</w:t>
      </w:r>
    </w:p>
    <w:p w14:paraId="43E904DD">
      <w:pPr>
        <w:pStyle w:val="54"/>
        <w:spacing w:before="120" w:after="120"/>
        <w:rPr>
          <w:rFonts w:ascii="Times New Roman"/>
        </w:rPr>
      </w:pPr>
      <w:r>
        <w:rPr>
          <w:rFonts w:ascii="Times New Roman"/>
        </w:rPr>
        <w:t>判定准则</w:t>
      </w:r>
    </w:p>
    <w:p w14:paraId="5B489C14">
      <w:pPr>
        <w:pStyle w:val="59"/>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outlineLvl w:val="4"/>
        <w:rPr>
          <w:rFonts w:ascii="Times New Roman" w:eastAsia="宋体"/>
          <w:kern w:val="2"/>
          <w:szCs w:val="24"/>
        </w:rPr>
      </w:pPr>
      <w:r>
        <w:rPr>
          <w:rFonts w:ascii="Times New Roman" w:eastAsia="宋体"/>
          <w:kern w:val="2"/>
          <w:szCs w:val="24"/>
        </w:rPr>
        <w:t>整机外观美观整洁，结构坚固，布局合理。</w:t>
      </w:r>
    </w:p>
    <w:p w14:paraId="2C180819">
      <w:pPr>
        <w:pStyle w:val="59"/>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outlineLvl w:val="4"/>
        <w:rPr>
          <w:rFonts w:ascii="Times New Roman" w:eastAsia="宋体"/>
          <w:kern w:val="2"/>
          <w:szCs w:val="24"/>
        </w:rPr>
      </w:pPr>
      <w:r>
        <w:rPr>
          <w:rFonts w:ascii="Times New Roman" w:eastAsia="宋体"/>
          <w:kern w:val="2"/>
          <w:szCs w:val="24"/>
        </w:rPr>
        <w:t>外壳表面有保护涂层或防腐设计，表面光洁、均匀，无划痕、毛刺等其他缺陷。本体外壳和电器部件的外壳均不带电</w:t>
      </w:r>
      <w:r>
        <w:rPr>
          <w:rFonts w:hint="eastAsia" w:ascii="Times New Roman" w:eastAsia="宋体"/>
          <w:kern w:val="2"/>
          <w:szCs w:val="24"/>
        </w:rPr>
        <w:t>。</w:t>
      </w:r>
    </w:p>
    <w:p w14:paraId="7E55A232">
      <w:pPr>
        <w:pStyle w:val="59"/>
        <w:keepNext w:val="0"/>
        <w:keepLines w:val="0"/>
        <w:pageBreakBefore w:val="0"/>
        <w:widowControl/>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outlineLvl w:val="4"/>
        <w:rPr>
          <w:rFonts w:ascii="Times New Roman"/>
          <w:szCs w:val="22"/>
        </w:rPr>
      </w:pPr>
      <w:r>
        <w:rPr>
          <w:rFonts w:hint="eastAsia" w:asciiTheme="minorEastAsia" w:hAnsiTheme="minorEastAsia" w:eastAsiaTheme="minorEastAsia" w:cstheme="minorEastAsia"/>
          <w:szCs w:val="22"/>
          <w:highlight w:val="none"/>
        </w:rPr>
        <w:t>机组铭牌、发电机铭牌应在明显位置，铭牌数据</w:t>
      </w:r>
      <w:r>
        <w:rPr>
          <w:rFonts w:hint="eastAsia" w:asciiTheme="minorEastAsia" w:hAnsiTheme="minorEastAsia" w:eastAsiaTheme="minorEastAsia" w:cstheme="minorEastAsia"/>
          <w:szCs w:val="22"/>
          <w:highlight w:val="none"/>
          <w:lang w:eastAsia="zh-CN"/>
        </w:rPr>
        <w:t>包含型号、额定功率、电流、电压、频率</w:t>
      </w:r>
      <w:r>
        <w:rPr>
          <w:rFonts w:hint="eastAsia" w:asciiTheme="minorEastAsia" w:hAnsiTheme="minorEastAsia" w:eastAsiaTheme="minorEastAsia" w:cstheme="minorEastAsia"/>
          <w:szCs w:val="22"/>
          <w:highlight w:val="none"/>
        </w:rPr>
        <w:t>，</w:t>
      </w:r>
      <w:r>
        <w:rPr>
          <w:rFonts w:hint="eastAsia" w:asciiTheme="minorEastAsia" w:hAnsiTheme="minorEastAsia" w:eastAsiaTheme="minorEastAsia" w:cstheme="minorEastAsia"/>
          <w:szCs w:val="22"/>
          <w:highlight w:val="none"/>
          <w:lang w:eastAsia="zh-CN"/>
        </w:rPr>
        <w:t>重量、出厂日期等，</w:t>
      </w:r>
      <w:r>
        <w:rPr>
          <w:rFonts w:hint="eastAsia" w:asciiTheme="minorEastAsia" w:hAnsiTheme="minorEastAsia" w:eastAsiaTheme="minorEastAsia" w:cstheme="minorEastAsia"/>
          <w:szCs w:val="22"/>
          <w:highlight w:val="none"/>
        </w:rPr>
        <w:t>内容齐全、数据完整、正确</w:t>
      </w:r>
      <w:r>
        <w:rPr>
          <w:rFonts w:hint="eastAsia" w:ascii="Times New Roman"/>
          <w:szCs w:val="22"/>
        </w:rPr>
        <w:t>。</w:t>
      </w:r>
    </w:p>
    <w:p w14:paraId="68AD4FDC">
      <w:pPr>
        <w:pStyle w:val="50"/>
        <w:spacing w:before="120" w:after="120"/>
        <w:rPr>
          <w:rFonts w:ascii="Times New Roman"/>
        </w:rPr>
      </w:pPr>
      <w:r>
        <w:rPr>
          <w:rFonts w:hint="eastAsia" w:ascii="Times New Roman"/>
        </w:rPr>
        <w:t>专用性能</w:t>
      </w:r>
      <w:r>
        <w:rPr>
          <w:rFonts w:ascii="Times New Roman"/>
        </w:rPr>
        <w:t>检测</w:t>
      </w:r>
    </w:p>
    <w:p w14:paraId="7F5F7CD4">
      <w:pPr>
        <w:pStyle w:val="54"/>
        <w:spacing w:before="120" w:after="120"/>
        <w:rPr>
          <w:rFonts w:ascii="Times New Roman"/>
        </w:rPr>
      </w:pPr>
      <w:r>
        <w:rPr>
          <w:rFonts w:hint="eastAsia" w:ascii="Times New Roman"/>
        </w:rPr>
        <w:t>相序试验</w:t>
      </w:r>
    </w:p>
    <w:p w14:paraId="24FD76BF">
      <w:pPr>
        <w:ind w:firstLine="420" w:firstLineChars="200"/>
      </w:pPr>
      <w:r>
        <w:rPr>
          <w:rFonts w:hint="eastAsia"/>
        </w:rPr>
        <w:t>将机组的一种电压连接方式的负载端子分别与相序指示器的对应端子连接，启动机组，并使其处于空载和额定状态下，检查相序是否正确并予以记录。对采用输出插头插座者，面向插座，按顺时针方向排列为正相序；对采用控制屏内接线端子者，从屏正面看，应以从左到右或自上至下排列为正相序。</w:t>
      </w:r>
    </w:p>
    <w:p w14:paraId="34425A23">
      <w:pPr>
        <w:pStyle w:val="54"/>
        <w:spacing w:before="120" w:after="120"/>
        <w:rPr>
          <w:rFonts w:ascii="Times New Roman"/>
        </w:rPr>
      </w:pPr>
      <w:r>
        <w:rPr>
          <w:rFonts w:hint="eastAsia" w:ascii="Times New Roman"/>
        </w:rPr>
        <w:t>启动性能试验</w:t>
      </w:r>
    </w:p>
    <w:p w14:paraId="62C770F8">
      <w:pPr>
        <w:ind w:firstLine="420" w:firstLineChars="200"/>
      </w:pPr>
      <w:r>
        <w:rPr>
          <w:rFonts w:hint="eastAsia"/>
        </w:rPr>
        <w:t>发电机组处于常温冷态下，启动发电机组，机组应能启动成功。对有低温启动装置的机组，应按使用说明书确认低温启动装置是否工作正常。</w:t>
      </w:r>
    </w:p>
    <w:p w14:paraId="37D0EC42">
      <w:pPr>
        <w:pStyle w:val="54"/>
        <w:spacing w:before="120" w:after="120"/>
        <w:rPr>
          <w:rFonts w:ascii="Times New Roman"/>
        </w:rPr>
      </w:pPr>
      <w:r>
        <w:rPr>
          <w:rFonts w:hint="eastAsia" w:ascii="Times New Roman"/>
        </w:rPr>
        <w:t>带载运行</w:t>
      </w:r>
      <w:r>
        <w:rPr>
          <w:rFonts w:ascii="Times New Roman"/>
        </w:rPr>
        <w:t>试验</w:t>
      </w:r>
    </w:p>
    <w:p w14:paraId="45EA6DBA">
      <w:pPr>
        <w:pStyle w:val="35"/>
        <w:widowControl/>
        <w:spacing w:before="76" w:line="23" w:lineRule="atLeast"/>
        <w:ind w:right="120" w:firstLine="420" w:firstLineChars="200"/>
        <w:rPr>
          <w:kern w:val="2"/>
          <w:sz w:val="21"/>
        </w:rPr>
      </w:pPr>
      <w:r>
        <w:rPr>
          <w:rFonts w:hint="eastAsia"/>
          <w:kern w:val="2"/>
          <w:sz w:val="21"/>
        </w:rPr>
        <w:t>由低负荷逐步增加负荷，在各负荷状态时测量发电机各运行参数，对所有仪表上的示值，按规定的时间间隔做好记录，并记录发电机组各负荷（包括全负荷、超负荷）的试验状态。同时，检验发电机运转是否平稳，有无异常响声。试验过程中</w:t>
      </w:r>
      <w:r>
        <w:rPr>
          <w:kern w:val="2"/>
          <w:sz w:val="21"/>
        </w:rPr>
        <w:t>发电机工作状态应平稳</w:t>
      </w:r>
      <w:r>
        <w:rPr>
          <w:rFonts w:hint="eastAsia"/>
          <w:kern w:val="2"/>
          <w:sz w:val="21"/>
        </w:rPr>
        <w:t>，</w:t>
      </w:r>
      <w:r>
        <w:rPr>
          <w:kern w:val="2"/>
          <w:sz w:val="21"/>
        </w:rPr>
        <w:t>各活动部件无过热现象。</w:t>
      </w:r>
    </w:p>
    <w:p w14:paraId="5A3407E3">
      <w:pPr>
        <w:pStyle w:val="53"/>
        <w:spacing w:before="240" w:after="240"/>
        <w:rPr>
          <w:rFonts w:ascii="Times New Roman"/>
        </w:rPr>
      </w:pPr>
      <w:bookmarkStart w:id="63" w:name="_Toc388521276"/>
      <w:bookmarkStart w:id="64" w:name="_Toc416267231"/>
      <w:bookmarkStart w:id="65" w:name="_Toc415486399"/>
      <w:bookmarkStart w:id="66" w:name="_Toc386617924"/>
      <w:bookmarkStart w:id="67" w:name="_Toc513800159"/>
      <w:bookmarkStart w:id="68" w:name="_Toc386893295"/>
      <w:bookmarkStart w:id="69" w:name="_Toc416267182"/>
      <w:r>
        <w:rPr>
          <w:rFonts w:ascii="Times New Roman"/>
        </w:rPr>
        <w:t>检验规则</w:t>
      </w:r>
      <w:bookmarkEnd w:id="63"/>
      <w:bookmarkEnd w:id="64"/>
      <w:bookmarkEnd w:id="65"/>
      <w:bookmarkEnd w:id="66"/>
      <w:bookmarkEnd w:id="67"/>
      <w:bookmarkEnd w:id="68"/>
      <w:bookmarkEnd w:id="69"/>
    </w:p>
    <w:p w14:paraId="43DD4F12">
      <w:pPr>
        <w:pStyle w:val="50"/>
        <w:spacing w:before="120" w:after="120"/>
      </w:pPr>
      <w:r>
        <w:rPr>
          <w:rFonts w:hint="eastAsia"/>
        </w:rPr>
        <w:t>出厂检验</w:t>
      </w:r>
    </w:p>
    <w:p w14:paraId="59EBA323">
      <w:pPr>
        <w:pStyle w:val="54"/>
        <w:spacing w:before="120" w:after="120"/>
        <w:rPr>
          <w:rFonts w:ascii="Times New Roman" w:eastAsia="宋体"/>
          <w:kern w:val="2"/>
          <w:szCs w:val="24"/>
        </w:rPr>
      </w:pPr>
      <w:r>
        <w:rPr>
          <w:rFonts w:hint="eastAsia" w:ascii="Times New Roman" w:eastAsia="宋体"/>
          <w:kern w:val="2"/>
          <w:szCs w:val="24"/>
        </w:rPr>
        <w:t>每台应急发电机均应进行出厂检验，经制造厂质量检验部门检验合格，并签发产品合格证后方可出厂。</w:t>
      </w:r>
    </w:p>
    <w:p w14:paraId="3482831A">
      <w:pPr>
        <w:pStyle w:val="54"/>
        <w:spacing w:before="120" w:after="120"/>
        <w:rPr>
          <w:rFonts w:ascii="Times New Roman" w:eastAsia="宋体"/>
          <w:kern w:val="2"/>
          <w:szCs w:val="24"/>
        </w:rPr>
      </w:pPr>
      <w:r>
        <w:rPr>
          <w:rFonts w:hint="eastAsia" w:ascii="Times New Roman" w:eastAsia="宋体"/>
          <w:kern w:val="2"/>
          <w:szCs w:val="24"/>
        </w:rPr>
        <w:t>出厂检验项目：</w:t>
      </w:r>
    </w:p>
    <w:p w14:paraId="70A82F95">
      <w:pPr>
        <w:pStyle w:val="28"/>
      </w:pPr>
      <w:r>
        <w:rPr>
          <w:rFonts w:hint="eastAsia"/>
        </w:rPr>
        <w:t>—检查外观；</w:t>
      </w:r>
    </w:p>
    <w:p w14:paraId="0BE171B1">
      <w:pPr>
        <w:pStyle w:val="28"/>
      </w:pPr>
      <w:r>
        <w:rPr>
          <w:rFonts w:hint="eastAsia"/>
        </w:rPr>
        <w:t>—检查仪表及指示装置；</w:t>
      </w:r>
    </w:p>
    <w:p w14:paraId="38E0EA7F">
      <w:pPr>
        <w:pStyle w:val="28"/>
      </w:pPr>
      <w:r>
        <w:rPr>
          <w:rFonts w:hint="eastAsia"/>
        </w:rPr>
        <w:t>—检查相序；</w:t>
      </w:r>
    </w:p>
    <w:p w14:paraId="554903AE">
      <w:pPr>
        <w:pStyle w:val="28"/>
      </w:pPr>
      <w:r>
        <w:rPr>
          <w:rFonts w:hint="eastAsia"/>
        </w:rPr>
        <w:t>—检查启动性能；</w:t>
      </w:r>
    </w:p>
    <w:p w14:paraId="3E8D6E5E">
      <w:pPr>
        <w:pStyle w:val="28"/>
      </w:pPr>
      <w:r>
        <w:rPr>
          <w:rFonts w:hint="eastAsia"/>
        </w:rPr>
        <w:t>—检查绝缘电阻；</w:t>
      </w:r>
    </w:p>
    <w:p w14:paraId="6B280513">
      <w:pPr>
        <w:pStyle w:val="28"/>
      </w:pPr>
      <w:r>
        <w:rPr>
          <w:rFonts w:hint="eastAsia"/>
        </w:rPr>
        <w:t>—耐电压试验；</w:t>
      </w:r>
    </w:p>
    <w:p w14:paraId="1B9EBBF0">
      <w:pPr>
        <w:pStyle w:val="28"/>
      </w:pPr>
      <w:r>
        <w:rPr>
          <w:rFonts w:hint="eastAsia"/>
        </w:rPr>
        <w:t>—带载运行试验。</w:t>
      </w:r>
    </w:p>
    <w:p w14:paraId="57745E73">
      <w:pPr>
        <w:pStyle w:val="53"/>
        <w:spacing w:before="240" w:after="240"/>
        <w:rPr>
          <w:rFonts w:ascii="Times New Roman"/>
        </w:rPr>
      </w:pPr>
      <w:bookmarkStart w:id="70" w:name="_Toc513800160"/>
      <w:r>
        <w:rPr>
          <w:rFonts w:ascii="Times New Roman"/>
        </w:rPr>
        <w:t>标志、包装、运输</w:t>
      </w:r>
      <w:bookmarkEnd w:id="56"/>
      <w:bookmarkEnd w:id="57"/>
      <w:bookmarkEnd w:id="58"/>
      <w:bookmarkEnd w:id="59"/>
      <w:bookmarkEnd w:id="60"/>
      <w:bookmarkEnd w:id="61"/>
      <w:bookmarkEnd w:id="62"/>
      <w:bookmarkEnd w:id="70"/>
    </w:p>
    <w:p w14:paraId="4E6C6142">
      <w:pPr>
        <w:pStyle w:val="50"/>
        <w:spacing w:before="120" w:after="120"/>
        <w:rPr>
          <w:rFonts w:ascii="Times New Roman"/>
        </w:rPr>
      </w:pPr>
      <w:bookmarkStart w:id="71" w:name="_Toc386617929"/>
      <w:bookmarkStart w:id="72" w:name="_Toc386893300"/>
      <w:bookmarkStart w:id="73" w:name="_Toc388521284"/>
      <w:r>
        <w:rPr>
          <w:rFonts w:ascii="Times New Roman"/>
        </w:rPr>
        <w:t>标志</w:t>
      </w:r>
      <w:bookmarkEnd w:id="71"/>
      <w:bookmarkEnd w:id="72"/>
      <w:bookmarkEnd w:id="73"/>
    </w:p>
    <w:p w14:paraId="7DC8CAFD">
      <w:pPr>
        <w:pStyle w:val="73"/>
        <w:numPr>
          <w:ilvl w:val="0"/>
          <w:numId w:val="0"/>
        </w:numPr>
        <w:ind w:firstLine="420" w:firstLineChars="200"/>
        <w:rPr>
          <w:rFonts w:ascii="Times New Roman"/>
        </w:rPr>
      </w:pPr>
      <w:r>
        <w:rPr>
          <w:rFonts w:hint="eastAsia" w:ascii="Times New Roman"/>
        </w:rPr>
        <w:t>发电机</w:t>
      </w:r>
      <w:r>
        <w:rPr>
          <w:rFonts w:ascii="Times New Roman"/>
        </w:rPr>
        <w:t>应有永久性标牌，标牌的内容至少应包括：产品名称、型号、制造商名称、生产日期和出厂编号等。</w:t>
      </w:r>
    </w:p>
    <w:p w14:paraId="162C95D3">
      <w:pPr>
        <w:pStyle w:val="50"/>
        <w:spacing w:before="120" w:after="120"/>
        <w:rPr>
          <w:rFonts w:ascii="Times New Roman" w:hAnsi="Arial" w:eastAsia="宋体"/>
          <w:kern w:val="2"/>
          <w:szCs w:val="32"/>
        </w:rPr>
      </w:pPr>
      <w:bookmarkStart w:id="74" w:name="_Toc386893301"/>
      <w:bookmarkStart w:id="75" w:name="_Toc386617930"/>
      <w:bookmarkStart w:id="76" w:name="_Toc388521285"/>
      <w:r>
        <w:rPr>
          <w:rFonts w:ascii="Times New Roman"/>
        </w:rPr>
        <w:t>包装</w:t>
      </w:r>
      <w:bookmarkEnd w:id="74"/>
      <w:bookmarkEnd w:id="75"/>
      <w:bookmarkEnd w:id="76"/>
    </w:p>
    <w:p w14:paraId="116D298F">
      <w:pPr>
        <w:pStyle w:val="73"/>
        <w:rPr>
          <w:rFonts w:ascii="Times New Roman"/>
        </w:rPr>
      </w:pPr>
      <w:r>
        <w:rPr>
          <w:rFonts w:hint="eastAsia" w:ascii="Times New Roman" w:hAnsi="Arial"/>
          <w:kern w:val="2"/>
          <w:szCs w:val="32"/>
        </w:rPr>
        <w:t>设备制造完成并通过试验后应及时包装，并将全套安装使用说明书</w:t>
      </w:r>
      <w:r>
        <w:rPr>
          <w:rFonts w:ascii="Times New Roman" w:hAnsi="Arial"/>
          <w:kern w:val="2"/>
          <w:szCs w:val="32"/>
        </w:rPr>
        <w:t>，</w:t>
      </w:r>
      <w:r>
        <w:rPr>
          <w:rFonts w:hint="eastAsia" w:ascii="Times New Roman" w:hAnsi="Arial"/>
          <w:kern w:val="2"/>
          <w:szCs w:val="32"/>
        </w:rPr>
        <w:t>产品合格证明书、出厂试验记录、产品外形尺寸图、铭牌图或铭牌标志图及备件一览表等包装好</w:t>
      </w:r>
      <w:r>
        <w:rPr>
          <w:rFonts w:ascii="Times New Roman" w:hAnsi="Arial"/>
          <w:kern w:val="2"/>
          <w:szCs w:val="32"/>
        </w:rPr>
        <w:t>，</w:t>
      </w:r>
      <w:r>
        <w:rPr>
          <w:rFonts w:hint="eastAsia" w:ascii="Times New Roman" w:hAnsi="Arial"/>
          <w:kern w:val="2"/>
          <w:szCs w:val="32"/>
        </w:rPr>
        <w:t>防止受潮。从投标方发货至招标方收到期间</w:t>
      </w:r>
      <w:r>
        <w:rPr>
          <w:rFonts w:ascii="Times New Roman" w:hAnsi="Arial"/>
          <w:kern w:val="2"/>
          <w:szCs w:val="32"/>
        </w:rPr>
        <w:t>，</w:t>
      </w:r>
      <w:r>
        <w:rPr>
          <w:rFonts w:hint="eastAsia" w:ascii="Times New Roman" w:hAnsi="Arial"/>
          <w:kern w:val="2"/>
          <w:szCs w:val="32"/>
        </w:rPr>
        <w:t>设备和资料应完好无损。</w:t>
      </w:r>
    </w:p>
    <w:p w14:paraId="1EE029A2">
      <w:pPr>
        <w:pStyle w:val="50"/>
        <w:spacing w:before="120" w:after="120"/>
        <w:rPr>
          <w:rFonts w:ascii="Times New Roman"/>
        </w:rPr>
      </w:pPr>
      <w:bookmarkStart w:id="77" w:name="_Toc386893302"/>
      <w:bookmarkStart w:id="78" w:name="_Toc388521286"/>
      <w:bookmarkStart w:id="79" w:name="_Toc386617931"/>
      <w:r>
        <w:rPr>
          <w:rFonts w:ascii="Times New Roman"/>
        </w:rPr>
        <w:t>运输</w:t>
      </w:r>
      <w:bookmarkEnd w:id="77"/>
      <w:bookmarkEnd w:id="78"/>
      <w:bookmarkEnd w:id="79"/>
    </w:p>
    <w:p w14:paraId="5E163192">
      <w:pPr>
        <w:pStyle w:val="73"/>
        <w:rPr>
          <w:rFonts w:ascii="Times New Roman"/>
          <w:szCs w:val="22"/>
        </w:rPr>
      </w:pPr>
      <w:r>
        <w:rPr>
          <w:rFonts w:hint="eastAsia" w:ascii="Times New Roman"/>
          <w:szCs w:val="22"/>
        </w:rPr>
        <w:t>整体产品或分别运输的部件都要适合运输和装载的要求。各种包装应能确保各零部件在运输过程中不致遭到损坏、丢失、变形、受潮和腐蚀。</w:t>
      </w:r>
    </w:p>
    <w:p w14:paraId="557871A6">
      <w:pPr>
        <w:pStyle w:val="54"/>
        <w:spacing w:before="120" w:after="120"/>
        <w:rPr>
          <w:rFonts w:ascii="Times New Roman" w:eastAsia="宋体"/>
          <w:szCs w:val="22"/>
        </w:rPr>
      </w:pPr>
      <w:bookmarkStart w:id="80" w:name="_Toc388521287"/>
      <w:bookmarkStart w:id="81" w:name="_Toc386617932"/>
      <w:bookmarkStart w:id="82" w:name="_Toc386893303"/>
      <w:r>
        <w:rPr>
          <w:rFonts w:hint="eastAsia" w:ascii="Times New Roman" w:eastAsia="宋体"/>
          <w:szCs w:val="22"/>
        </w:rPr>
        <w:t>在设备启运后一周内，投标方应以最快捷的方式通知招标方以下内容：设备名称；件数、重量；合同号；设备发出日期。</w:t>
      </w:r>
    </w:p>
    <w:p w14:paraId="01166FD9">
      <w:pPr>
        <w:pStyle w:val="54"/>
        <w:spacing w:before="120" w:after="120"/>
        <w:rPr>
          <w:rFonts w:ascii="Times New Roman" w:eastAsia="宋体"/>
          <w:szCs w:val="22"/>
        </w:rPr>
      </w:pPr>
      <w:r>
        <w:rPr>
          <w:rFonts w:hint="eastAsia" w:ascii="Times New Roman" w:eastAsia="宋体"/>
          <w:szCs w:val="22"/>
        </w:rPr>
        <w:t>备品备件、专用工具等应随设备同时装运，但必须单独包装，并明显标记，以便与提供的其它设备相区别。</w:t>
      </w:r>
    </w:p>
    <w:bookmarkEnd w:id="80"/>
    <w:bookmarkEnd w:id="81"/>
    <w:bookmarkEnd w:id="82"/>
    <w:p w14:paraId="07CC2571">
      <w:pPr>
        <w:pStyle w:val="50"/>
        <w:spacing w:before="120" w:after="120"/>
        <w:outlineLvl w:val="3"/>
      </w:pPr>
      <w:r>
        <w:rPr>
          <w:rFonts w:hint="eastAsia" w:ascii="Times New Roman"/>
        </w:rPr>
        <w:t>质量保证</w:t>
      </w:r>
    </w:p>
    <w:p w14:paraId="55F4DB90">
      <w:pPr>
        <w:pStyle w:val="54"/>
        <w:spacing w:before="120" w:after="120"/>
        <w:rPr>
          <w:sz w:val="28"/>
          <w:szCs w:val="28"/>
        </w:rPr>
      </w:pPr>
      <w:r>
        <w:rPr>
          <w:rFonts w:hint="eastAsia" w:ascii="Times New Roman" w:eastAsia="宋体"/>
          <w:szCs w:val="22"/>
        </w:rPr>
        <w:t>制造厂在安装和启动时应安排技术人员提供现场安装指导服务，提出技术建议，并有对运行人员提供相关培训的义务。制造厂应提供设备专用工具。设备在使用期内，制造厂应提供技术支持和所需的备品备件。</w:t>
      </w:r>
    </w:p>
    <w:p w14:paraId="4D46F051">
      <w:pPr>
        <w:pStyle w:val="54"/>
        <w:spacing w:before="120" w:after="120"/>
        <w:rPr>
          <w:sz w:val="28"/>
          <w:szCs w:val="28"/>
        </w:rPr>
      </w:pPr>
      <w:r>
        <w:rPr>
          <w:rFonts w:hint="eastAsia" w:ascii="Times New Roman" w:eastAsia="宋体"/>
          <w:szCs w:val="22"/>
        </w:rPr>
        <w:t>全部设备必须是全新的, 持久耐用的,应满足作为一个完整产品所能满足的全部要求。投标方应保证设备在规定的使用条件下运行、并按使用说明书进行安装和维护、预期寿命应不少于10年。</w:t>
      </w:r>
    </w:p>
    <w:p w14:paraId="55A380C6">
      <w:pPr>
        <w:pStyle w:val="54"/>
        <w:spacing w:before="120" w:after="120"/>
        <w:rPr>
          <w:sz w:val="28"/>
          <w:szCs w:val="28"/>
        </w:rPr>
      </w:pPr>
      <w:r>
        <w:rPr>
          <w:rFonts w:hint="eastAsia" w:ascii="Times New Roman" w:eastAsia="宋体"/>
          <w:szCs w:val="22"/>
        </w:rPr>
        <w:t>投标方应对其整套设备在到货后提供不少于三年的“三包”质量保证。之后如发生产品损坏，投标方应及时为本套装置提供维修部件，并按最近的投标价提供。</w:t>
      </w:r>
    </w:p>
    <w:p w14:paraId="2FD60FCD">
      <w:pPr>
        <w:pStyle w:val="54"/>
        <w:spacing w:before="120" w:after="120"/>
        <w:rPr>
          <w:rFonts w:ascii="Times New Roman" w:eastAsia="宋体"/>
          <w:szCs w:val="22"/>
        </w:rPr>
      </w:pPr>
      <w:r>
        <w:rPr>
          <w:rFonts w:hint="eastAsia" w:ascii="Times New Roman" w:eastAsia="宋体"/>
          <w:szCs w:val="22"/>
        </w:rPr>
        <w:t>投标方应保证制造过程中的所有工艺、材料等（包括投标方的外购件在内）均应符合本招标技术文件的规定。若招标方根据运行经验指定投标方提供某种外购零部件，投标方应积极配合。</w:t>
      </w:r>
    </w:p>
    <w:p w14:paraId="1A50C6F5">
      <w:pPr>
        <w:pStyle w:val="54"/>
        <w:spacing w:before="120" w:after="120"/>
        <w:rPr>
          <w:rFonts w:ascii="Times New Roman" w:eastAsia="宋体"/>
          <w:szCs w:val="22"/>
        </w:rPr>
      </w:pPr>
      <w:r>
        <w:rPr>
          <w:rFonts w:hint="eastAsia" w:ascii="Times New Roman" w:eastAsia="宋体"/>
          <w:szCs w:val="22"/>
        </w:rPr>
        <w:t>投标方应遵守本招标技术文件中各条款和工作项目的ISO9000、GB/T19000质量保证体系, 该质量保证体系已经过国家认证和正常运转。</w:t>
      </w:r>
    </w:p>
    <w:p w14:paraId="1F892573">
      <w:pPr>
        <w:pStyle w:val="28"/>
        <w:ind w:left="0" w:leftChars="0" w:firstLine="0" w:firstLineChars="0"/>
        <w:outlineLvl w:val="3"/>
      </w:pPr>
    </w:p>
    <w:sectPr>
      <w:footerReference r:id="rId6" w:type="default"/>
      <w:pgSz w:w="11906" w:h="16838"/>
      <w:pgMar w:top="1440" w:right="1701" w:bottom="1440" w:left="1701" w:header="964" w:footer="737" w:gutter="0"/>
      <w:pgNumType w:start="1"/>
      <w:cols w:space="425" w:num="1"/>
      <w:formProt w:val="0"/>
      <w:docGrid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panose1 w:val="020B0504020202030204"/>
    <w:charset w:val="00"/>
    <w:family w:val="auto"/>
    <w:pitch w:val="default"/>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2FA63">
    <w:pPr>
      <w:pStyle w:val="22"/>
      <w:tabs>
        <w:tab w:val="center" w:pos="4153"/>
        <w:tab w:val="right" w:pos="8306"/>
      </w:tabs>
      <w:ind w:right="360" w:rightChars="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AD3A8">
    <w:pPr>
      <w:pStyle w:val="22"/>
      <w:tabs>
        <w:tab w:val="center" w:pos="4153"/>
        <w:tab w:val="right" w:pos="8306"/>
      </w:tabs>
      <w:ind w:right="0" w:rightChars="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23860"/>
    </w:sdtPr>
    <w:sdtContent>
      <w:p w14:paraId="7B62573E">
        <w:pPr>
          <w:pStyle w:val="22"/>
          <w:jc w:val="center"/>
        </w:pPr>
        <w:r>
          <w:fldChar w:fldCharType="begin"/>
        </w:r>
        <w:r>
          <w:instrText xml:space="preserve"> PAGE   \* MERGEFORMAT </w:instrText>
        </w:r>
        <w:r>
          <w:fldChar w:fldCharType="separate"/>
        </w:r>
        <w:r>
          <w:rPr>
            <w:lang w:val="zh-CN"/>
          </w:rPr>
          <w:t>3</w:t>
        </w:r>
        <w:r>
          <w:rPr>
            <w:lang w:val="zh-CN"/>
          </w:rPr>
          <w:fldChar w:fldCharType="end"/>
        </w:r>
      </w:p>
    </w:sdtContent>
  </w:sdt>
  <w:p w14:paraId="16D6C2D2">
    <w:pPr>
      <w:pStyle w:val="2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D42A9">
    <w:pPr>
      <w:pStyle w:val="23"/>
      <w:pBdr>
        <w:bottom w:val="single" w:color="auto" w:sz="6" w:space="1"/>
      </w:pBdr>
      <w:tabs>
        <w:tab w:val="center" w:pos="4153"/>
        <w:tab w:val="right" w:pos="8306"/>
      </w:tabs>
      <w:jc w:val="center"/>
    </w:pPr>
    <w:r>
      <w:rPr>
        <w:rFonts w:hint="eastAsia"/>
      </w:rPr>
      <w:t>1</w:t>
    </w:r>
    <w:r>
      <w:rPr>
        <w:rFonts w:hint="eastAsia"/>
        <w:lang w:val="en-US" w:eastAsia="zh-CN"/>
      </w:rPr>
      <w:t>500</w:t>
    </w:r>
    <w:r>
      <w:rPr>
        <w:rFonts w:hint="eastAsia"/>
      </w:rPr>
      <w:t>kW</w:t>
    </w:r>
    <w:r>
      <w:rPr>
        <w:rFonts w:hint="default"/>
      </w:rPr>
      <w:t>柴油</w:t>
    </w:r>
    <w:r>
      <w:rPr>
        <w:rFonts w:hint="eastAsia"/>
      </w:rPr>
      <w:t>发电机</w:t>
    </w:r>
    <w:r>
      <w:rPr>
        <w:rFonts w:hint="eastAsia"/>
        <w:lang w:val="en-US" w:eastAsia="zh-CN"/>
      </w:rPr>
      <w:t>采购</w:t>
    </w:r>
    <w:r>
      <w:rPr>
        <w:rFonts w:hint="eastAsia"/>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pStyle w:val="156"/>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079102AD"/>
    <w:multiLevelType w:val="multilevel"/>
    <w:tmpl w:val="079102AD"/>
    <w:lvl w:ilvl="0" w:tentative="0">
      <w:start w:val="1"/>
      <w:numFmt w:val="decimal"/>
      <w:pStyle w:val="68"/>
      <w:suff w:val="nothing"/>
      <w:lvlText w:val="注%1："/>
      <w:lvlJc w:val="left"/>
      <w:pPr>
        <w:ind w:left="811" w:hanging="448"/>
      </w:pPr>
      <w:rPr>
        <w:rFonts w:hint="eastAsia"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2">
    <w:nsid w:val="093C6778"/>
    <w:multiLevelType w:val="multilevel"/>
    <w:tmpl w:val="093C6778"/>
    <w:lvl w:ilvl="0" w:tentative="0">
      <w:start w:val="1"/>
      <w:numFmt w:val="decimal"/>
      <w:pStyle w:val="126"/>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0AE367E9"/>
    <w:multiLevelType w:val="multilevel"/>
    <w:tmpl w:val="0AE367E9"/>
    <w:lvl w:ilvl="0" w:tentative="0">
      <w:start w:val="1"/>
      <w:numFmt w:val="none"/>
      <w:pStyle w:val="60"/>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4">
    <w:nsid w:val="0DDE2B46"/>
    <w:multiLevelType w:val="multilevel"/>
    <w:tmpl w:val="0DDE2B46"/>
    <w:lvl w:ilvl="0" w:tentative="0">
      <w:start w:val="1"/>
      <w:numFmt w:val="lowerLetter"/>
      <w:pStyle w:val="131"/>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5">
    <w:nsid w:val="1DBF583A"/>
    <w:multiLevelType w:val="multilevel"/>
    <w:tmpl w:val="1DBF583A"/>
    <w:lvl w:ilvl="0" w:tentative="0">
      <w:start w:val="1"/>
      <w:numFmt w:val="decimal"/>
      <w:pStyle w:val="75"/>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6">
    <w:nsid w:val="1FC91163"/>
    <w:multiLevelType w:val="multilevel"/>
    <w:tmpl w:val="1FC91163"/>
    <w:lvl w:ilvl="0" w:tentative="0">
      <w:start w:val="1"/>
      <w:numFmt w:val="decimal"/>
      <w:pStyle w:val="53"/>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50"/>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54"/>
      <w:suff w:val="nothing"/>
      <w:lvlText w:val="%1.%2.%3　"/>
      <w:lvlJc w:val="left"/>
      <w:pPr>
        <w:ind w:left="0" w:firstLine="0"/>
      </w:pPr>
      <w:rPr>
        <w:rFonts w:hint="eastAsia" w:ascii="黑体" w:hAnsi="Times New Roman" w:eastAsia="黑体"/>
        <w:b w:val="0"/>
        <w:i w:val="0"/>
        <w:sz w:val="21"/>
      </w:rPr>
    </w:lvl>
    <w:lvl w:ilvl="3" w:tentative="0">
      <w:start w:val="1"/>
      <w:numFmt w:val="decimal"/>
      <w:pStyle w:val="59"/>
      <w:suff w:val="nothing"/>
      <w:lvlText w:val="%1.%2.%3.%4　"/>
      <w:lvlJc w:val="left"/>
      <w:pPr>
        <w:ind w:left="0" w:firstLine="0"/>
      </w:pPr>
      <w:rPr>
        <w:rFonts w:hint="eastAsia" w:ascii="黑体" w:hAnsi="Times New Roman" w:eastAsia="黑体"/>
        <w:b w:val="0"/>
        <w:i w:val="0"/>
        <w:sz w:val="21"/>
      </w:rPr>
    </w:lvl>
    <w:lvl w:ilvl="4" w:tentative="0">
      <w:start w:val="1"/>
      <w:numFmt w:val="decimal"/>
      <w:pStyle w:val="63"/>
      <w:suff w:val="nothing"/>
      <w:lvlText w:val="%1.%2.%3.%4.%5　"/>
      <w:lvlJc w:val="left"/>
      <w:pPr>
        <w:ind w:left="0" w:firstLine="0"/>
      </w:pPr>
      <w:rPr>
        <w:rFonts w:hint="eastAsia" w:ascii="黑体" w:hAnsi="Times New Roman" w:eastAsia="黑体"/>
        <w:b w:val="0"/>
        <w:i w:val="0"/>
        <w:sz w:val="21"/>
      </w:rPr>
    </w:lvl>
    <w:lvl w:ilvl="5" w:tentative="0">
      <w:start w:val="1"/>
      <w:numFmt w:val="decimal"/>
      <w:pStyle w:val="64"/>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0" w:firstLine="0"/>
      </w:pPr>
      <w:rPr>
        <w:rFonts w:hint="eastAsia"/>
      </w:rPr>
    </w:lvl>
    <w:lvl w:ilvl="8" w:tentative="0">
      <w:start w:val="1"/>
      <w:numFmt w:val="decimal"/>
      <w:lvlText w:val="%1.%2.%3.%4.%5.%6.%7.%8.%9"/>
      <w:lvlJc w:val="left"/>
      <w:pPr>
        <w:tabs>
          <w:tab w:val="left" w:pos="4777"/>
        </w:tabs>
        <w:ind w:left="0" w:firstLine="0"/>
      </w:pPr>
      <w:rPr>
        <w:rFonts w:hint="eastAsia"/>
      </w:rPr>
    </w:lvl>
  </w:abstractNum>
  <w:abstractNum w:abstractNumId="7">
    <w:nsid w:val="2A8F7113"/>
    <w:multiLevelType w:val="multilevel"/>
    <w:tmpl w:val="2A8F7113"/>
    <w:lvl w:ilvl="0" w:tentative="0">
      <w:start w:val="1"/>
      <w:numFmt w:val="upperLetter"/>
      <w:pStyle w:val="108"/>
      <w:suff w:val="space"/>
      <w:lvlText w:val="%1"/>
      <w:lvlJc w:val="left"/>
      <w:pPr>
        <w:ind w:left="623" w:hanging="425"/>
      </w:pPr>
      <w:rPr>
        <w:rFonts w:hint="eastAsia"/>
      </w:rPr>
    </w:lvl>
    <w:lvl w:ilvl="1" w:tentative="0">
      <w:start w:val="1"/>
      <w:numFmt w:val="decimal"/>
      <w:pStyle w:val="109"/>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8">
    <w:nsid w:val="2C5917C3"/>
    <w:multiLevelType w:val="multilevel"/>
    <w:tmpl w:val="2C5917C3"/>
    <w:lvl w:ilvl="0" w:tentative="0">
      <w:start w:val="1"/>
      <w:numFmt w:val="none"/>
      <w:pStyle w:val="56"/>
      <w:suff w:val="nothing"/>
      <w:lvlText w:val="%1——"/>
      <w:lvlJc w:val="left"/>
      <w:pPr>
        <w:ind w:left="833" w:hanging="408"/>
      </w:pPr>
      <w:rPr>
        <w:rFonts w:hint="eastAsia"/>
      </w:rPr>
    </w:lvl>
    <w:lvl w:ilvl="1" w:tentative="0">
      <w:start w:val="1"/>
      <w:numFmt w:val="bullet"/>
      <w:pStyle w:val="57"/>
      <w:lvlText w:val=""/>
      <w:lvlJc w:val="left"/>
      <w:pPr>
        <w:tabs>
          <w:tab w:val="left" w:pos="760"/>
        </w:tabs>
        <w:ind w:left="1264" w:hanging="413"/>
      </w:pPr>
      <w:rPr>
        <w:rFonts w:hint="default" w:ascii="Symbol" w:hAnsi="Symbol"/>
        <w:color w:val="auto"/>
      </w:rPr>
    </w:lvl>
    <w:lvl w:ilvl="2" w:tentative="0">
      <w:start w:val="1"/>
      <w:numFmt w:val="bullet"/>
      <w:pStyle w:val="70"/>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9">
    <w:nsid w:val="3D733618"/>
    <w:multiLevelType w:val="multilevel"/>
    <w:tmpl w:val="3D733618"/>
    <w:lvl w:ilvl="0" w:tentative="0">
      <w:start w:val="1"/>
      <w:numFmt w:val="decimal"/>
      <w:pStyle w:val="29"/>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0">
    <w:nsid w:val="44C50F90"/>
    <w:multiLevelType w:val="multilevel"/>
    <w:tmpl w:val="44C50F90"/>
    <w:lvl w:ilvl="0" w:tentative="0">
      <w:start w:val="1"/>
      <w:numFmt w:val="lowerLetter"/>
      <w:pStyle w:val="69"/>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62"/>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71"/>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11">
    <w:nsid w:val="4B733A5F"/>
    <w:multiLevelType w:val="multilevel"/>
    <w:tmpl w:val="4B733A5F"/>
    <w:lvl w:ilvl="0" w:tentative="0">
      <w:start w:val="1"/>
      <w:numFmt w:val="decimal"/>
      <w:pStyle w:val="72"/>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2">
    <w:nsid w:val="557C2AF5"/>
    <w:multiLevelType w:val="multilevel"/>
    <w:tmpl w:val="557C2AF5"/>
    <w:lvl w:ilvl="0" w:tentative="0">
      <w:start w:val="1"/>
      <w:numFmt w:val="decimal"/>
      <w:pStyle w:val="138"/>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60B55DC2"/>
    <w:multiLevelType w:val="multilevel"/>
    <w:tmpl w:val="60B55DC2"/>
    <w:lvl w:ilvl="0" w:tentative="0">
      <w:start w:val="1"/>
      <w:numFmt w:val="upperLetter"/>
      <w:pStyle w:val="96"/>
      <w:lvlText w:val="%1"/>
      <w:lvlJc w:val="left"/>
      <w:pPr>
        <w:tabs>
          <w:tab w:val="left" w:pos="0"/>
        </w:tabs>
        <w:ind w:left="0" w:hanging="425"/>
      </w:pPr>
      <w:rPr>
        <w:rFonts w:hint="eastAsia"/>
      </w:rPr>
    </w:lvl>
    <w:lvl w:ilvl="1" w:tentative="0">
      <w:start w:val="1"/>
      <w:numFmt w:val="decimal"/>
      <w:pStyle w:val="97"/>
      <w:suff w:val="nothing"/>
      <w:lvlText w:val="表%1.%2　"/>
      <w:lvlJc w:val="left"/>
      <w:pPr>
        <w:ind w:left="3969"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4">
    <w:nsid w:val="646260FA"/>
    <w:multiLevelType w:val="multilevel"/>
    <w:tmpl w:val="646260FA"/>
    <w:lvl w:ilvl="0" w:tentative="0">
      <w:start w:val="1"/>
      <w:numFmt w:val="decimal"/>
      <w:pStyle w:val="136"/>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57D3FBC"/>
    <w:multiLevelType w:val="multilevel"/>
    <w:tmpl w:val="657D3FBC"/>
    <w:lvl w:ilvl="0" w:tentative="0">
      <w:start w:val="1"/>
      <w:numFmt w:val="upperLetter"/>
      <w:pStyle w:val="94"/>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12"/>
      <w:suff w:val="nothing"/>
      <w:lvlText w:val="%1.%2　"/>
      <w:lvlJc w:val="left"/>
      <w:pPr>
        <w:ind w:left="2127"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98"/>
      <w:suff w:val="nothing"/>
      <w:lvlText w:val="%1.%2.%3.%4　"/>
      <w:lvlJc w:val="left"/>
      <w:pPr>
        <w:ind w:left="0" w:firstLine="0"/>
      </w:pPr>
      <w:rPr>
        <w:rFonts w:hint="eastAsia" w:ascii="黑体" w:hAnsi="Times New Roman" w:eastAsia="黑体"/>
        <w:b w:val="0"/>
        <w:i w:val="0"/>
        <w:sz w:val="21"/>
      </w:rPr>
    </w:lvl>
    <w:lvl w:ilvl="4" w:tentative="0">
      <w:start w:val="1"/>
      <w:numFmt w:val="decimal"/>
      <w:pStyle w:val="103"/>
      <w:suff w:val="nothing"/>
      <w:lvlText w:val="%1.%2.%3.%4.%5　"/>
      <w:lvlJc w:val="left"/>
      <w:pPr>
        <w:ind w:left="0" w:firstLine="0"/>
      </w:pPr>
      <w:rPr>
        <w:rFonts w:hint="eastAsia" w:ascii="黑体" w:hAnsi="Times New Roman" w:eastAsia="黑体"/>
        <w:b w:val="0"/>
        <w:i w:val="0"/>
        <w:sz w:val="21"/>
      </w:rPr>
    </w:lvl>
    <w:lvl w:ilvl="5" w:tentative="0">
      <w:start w:val="1"/>
      <w:numFmt w:val="decimal"/>
      <w:pStyle w:val="106"/>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6">
    <w:nsid w:val="6D6C07CD"/>
    <w:multiLevelType w:val="multilevel"/>
    <w:tmpl w:val="6D6C07CD"/>
    <w:lvl w:ilvl="0" w:tentative="0">
      <w:start w:val="1"/>
      <w:numFmt w:val="lowerLetter"/>
      <w:pStyle w:val="115"/>
      <w:lvlText w:val="%1)"/>
      <w:lvlJc w:val="left"/>
      <w:pPr>
        <w:tabs>
          <w:tab w:val="left" w:pos="839"/>
        </w:tabs>
        <w:ind w:left="839" w:hanging="419"/>
      </w:pPr>
      <w:rPr>
        <w:rFonts w:hint="eastAsia" w:ascii="宋体" w:eastAsia="宋体"/>
        <w:b w:val="0"/>
        <w:i w:val="0"/>
        <w:sz w:val="21"/>
      </w:rPr>
    </w:lvl>
    <w:lvl w:ilvl="1" w:tentative="0">
      <w:start w:val="1"/>
      <w:numFmt w:val="decimal"/>
      <w:pStyle w:val="105"/>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7">
    <w:nsid w:val="6DBF04F4"/>
    <w:multiLevelType w:val="multilevel"/>
    <w:tmpl w:val="6DBF04F4"/>
    <w:lvl w:ilvl="0" w:tentative="0">
      <w:start w:val="1"/>
      <w:numFmt w:val="none"/>
      <w:pStyle w:val="67"/>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0"/>
  </w:num>
  <w:num w:numId="2">
    <w:abstractNumId w:val="9"/>
  </w:num>
  <w:num w:numId="3">
    <w:abstractNumId w:val="6"/>
  </w:num>
  <w:num w:numId="4">
    <w:abstractNumId w:val="8"/>
  </w:num>
  <w:num w:numId="5">
    <w:abstractNumId w:val="3"/>
  </w:num>
  <w:num w:numId="6">
    <w:abstractNumId w:val="10"/>
  </w:num>
  <w:num w:numId="7">
    <w:abstractNumId w:val="17"/>
  </w:num>
  <w:num w:numId="8">
    <w:abstractNumId w:val="1"/>
  </w:num>
  <w:num w:numId="9">
    <w:abstractNumId w:val="11"/>
  </w:num>
  <w:num w:numId="10">
    <w:abstractNumId w:val="5"/>
  </w:num>
  <w:num w:numId="11">
    <w:abstractNumId w:val="15"/>
  </w:num>
  <w:num w:numId="12">
    <w:abstractNumId w:val="13"/>
  </w:num>
  <w:num w:numId="13">
    <w:abstractNumId w:val="16"/>
  </w:num>
  <w:num w:numId="14">
    <w:abstractNumId w:val="7"/>
  </w:num>
  <w:num w:numId="15">
    <w:abstractNumId w:val="2"/>
  </w:num>
  <w:num w:numId="16">
    <w:abstractNumId w:val="4"/>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forms" w:enforcement="0"/>
  <w:defaultTabStop w:val="420"/>
  <w:drawingGridHorizontalSpacing w:val="105"/>
  <w:drawingGridVerticalSpacing w:val="17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iNWY2Njc1MDFlMmNjNDk3MDYxNDVkY2IxMWMxYzQifQ=="/>
  </w:docVars>
  <w:rsids>
    <w:rsidRoot w:val="00035925"/>
    <w:rsid w:val="00000244"/>
    <w:rsid w:val="00001213"/>
    <w:rsid w:val="0000185F"/>
    <w:rsid w:val="0000494F"/>
    <w:rsid w:val="0000586F"/>
    <w:rsid w:val="00011538"/>
    <w:rsid w:val="00013A49"/>
    <w:rsid w:val="00013D86"/>
    <w:rsid w:val="00013E02"/>
    <w:rsid w:val="000167EA"/>
    <w:rsid w:val="0002143C"/>
    <w:rsid w:val="00022985"/>
    <w:rsid w:val="00022A31"/>
    <w:rsid w:val="00025A65"/>
    <w:rsid w:val="00026C31"/>
    <w:rsid w:val="00027280"/>
    <w:rsid w:val="000320A7"/>
    <w:rsid w:val="00032D4C"/>
    <w:rsid w:val="00033698"/>
    <w:rsid w:val="00035925"/>
    <w:rsid w:val="00050FD3"/>
    <w:rsid w:val="00055770"/>
    <w:rsid w:val="00060F70"/>
    <w:rsid w:val="0006128E"/>
    <w:rsid w:val="00067CDF"/>
    <w:rsid w:val="00071C6D"/>
    <w:rsid w:val="00074B6F"/>
    <w:rsid w:val="00074FBE"/>
    <w:rsid w:val="00076118"/>
    <w:rsid w:val="00077378"/>
    <w:rsid w:val="000777D5"/>
    <w:rsid w:val="00077B4A"/>
    <w:rsid w:val="00083A09"/>
    <w:rsid w:val="0009005E"/>
    <w:rsid w:val="00091DD6"/>
    <w:rsid w:val="00092857"/>
    <w:rsid w:val="00095A6F"/>
    <w:rsid w:val="000A20A9"/>
    <w:rsid w:val="000A2477"/>
    <w:rsid w:val="000A321F"/>
    <w:rsid w:val="000A48B1"/>
    <w:rsid w:val="000B3143"/>
    <w:rsid w:val="000C067F"/>
    <w:rsid w:val="000C4E1F"/>
    <w:rsid w:val="000C6B05"/>
    <w:rsid w:val="000C6DD6"/>
    <w:rsid w:val="000C73D4"/>
    <w:rsid w:val="000D130E"/>
    <w:rsid w:val="000D22FD"/>
    <w:rsid w:val="000D3D4C"/>
    <w:rsid w:val="000D4F51"/>
    <w:rsid w:val="000D6990"/>
    <w:rsid w:val="000D6A70"/>
    <w:rsid w:val="000D718B"/>
    <w:rsid w:val="000E0B01"/>
    <w:rsid w:val="000E0B1C"/>
    <w:rsid w:val="000E0C46"/>
    <w:rsid w:val="000E3061"/>
    <w:rsid w:val="000E5087"/>
    <w:rsid w:val="000F030C"/>
    <w:rsid w:val="000F129C"/>
    <w:rsid w:val="000F2459"/>
    <w:rsid w:val="000F4B3A"/>
    <w:rsid w:val="00104A99"/>
    <w:rsid w:val="001056DE"/>
    <w:rsid w:val="00107480"/>
    <w:rsid w:val="00107857"/>
    <w:rsid w:val="001124C0"/>
    <w:rsid w:val="001129B4"/>
    <w:rsid w:val="00113DC3"/>
    <w:rsid w:val="00114E6B"/>
    <w:rsid w:val="001154CA"/>
    <w:rsid w:val="00124E33"/>
    <w:rsid w:val="00124FCE"/>
    <w:rsid w:val="0013175F"/>
    <w:rsid w:val="00133112"/>
    <w:rsid w:val="00134F79"/>
    <w:rsid w:val="001512B4"/>
    <w:rsid w:val="0015324B"/>
    <w:rsid w:val="00156374"/>
    <w:rsid w:val="00160378"/>
    <w:rsid w:val="001612EA"/>
    <w:rsid w:val="001620A5"/>
    <w:rsid w:val="00164C72"/>
    <w:rsid w:val="00164E53"/>
    <w:rsid w:val="0016699D"/>
    <w:rsid w:val="001669B5"/>
    <w:rsid w:val="00170E84"/>
    <w:rsid w:val="001732AF"/>
    <w:rsid w:val="00175159"/>
    <w:rsid w:val="00175777"/>
    <w:rsid w:val="00176208"/>
    <w:rsid w:val="00177927"/>
    <w:rsid w:val="0018129F"/>
    <w:rsid w:val="0018211B"/>
    <w:rsid w:val="001840D3"/>
    <w:rsid w:val="00184C40"/>
    <w:rsid w:val="001869D8"/>
    <w:rsid w:val="001900F8"/>
    <w:rsid w:val="00191258"/>
    <w:rsid w:val="00192680"/>
    <w:rsid w:val="00193037"/>
    <w:rsid w:val="0019343B"/>
    <w:rsid w:val="00193A2C"/>
    <w:rsid w:val="00193DFE"/>
    <w:rsid w:val="00193EA8"/>
    <w:rsid w:val="001A04F0"/>
    <w:rsid w:val="001A288E"/>
    <w:rsid w:val="001A434B"/>
    <w:rsid w:val="001A4F02"/>
    <w:rsid w:val="001B1C14"/>
    <w:rsid w:val="001B2222"/>
    <w:rsid w:val="001B5A10"/>
    <w:rsid w:val="001B6DC2"/>
    <w:rsid w:val="001C149C"/>
    <w:rsid w:val="001C21AC"/>
    <w:rsid w:val="001C2B24"/>
    <w:rsid w:val="001C3066"/>
    <w:rsid w:val="001C47BA"/>
    <w:rsid w:val="001C59EA"/>
    <w:rsid w:val="001C6025"/>
    <w:rsid w:val="001D0D00"/>
    <w:rsid w:val="001D2A7D"/>
    <w:rsid w:val="001D406C"/>
    <w:rsid w:val="001D41EE"/>
    <w:rsid w:val="001D641D"/>
    <w:rsid w:val="001D7031"/>
    <w:rsid w:val="001E0380"/>
    <w:rsid w:val="001E05E4"/>
    <w:rsid w:val="001E0EFE"/>
    <w:rsid w:val="001E13B1"/>
    <w:rsid w:val="001E329F"/>
    <w:rsid w:val="001F204A"/>
    <w:rsid w:val="001F3A19"/>
    <w:rsid w:val="00201D74"/>
    <w:rsid w:val="00202B3B"/>
    <w:rsid w:val="00203539"/>
    <w:rsid w:val="00211494"/>
    <w:rsid w:val="00216A4D"/>
    <w:rsid w:val="00216E99"/>
    <w:rsid w:val="00217817"/>
    <w:rsid w:val="00225955"/>
    <w:rsid w:val="00232E5A"/>
    <w:rsid w:val="00234467"/>
    <w:rsid w:val="0023767F"/>
    <w:rsid w:val="00237D8D"/>
    <w:rsid w:val="00241DA2"/>
    <w:rsid w:val="00247FEE"/>
    <w:rsid w:val="00250E7D"/>
    <w:rsid w:val="00252A5F"/>
    <w:rsid w:val="00254E8C"/>
    <w:rsid w:val="002565D5"/>
    <w:rsid w:val="00256E30"/>
    <w:rsid w:val="00262027"/>
    <w:rsid w:val="002622C0"/>
    <w:rsid w:val="00262F92"/>
    <w:rsid w:val="00274A92"/>
    <w:rsid w:val="002769F1"/>
    <w:rsid w:val="002778AE"/>
    <w:rsid w:val="00277C50"/>
    <w:rsid w:val="0028269A"/>
    <w:rsid w:val="00283590"/>
    <w:rsid w:val="00286973"/>
    <w:rsid w:val="002869A7"/>
    <w:rsid w:val="00287D82"/>
    <w:rsid w:val="00294E70"/>
    <w:rsid w:val="00296CF5"/>
    <w:rsid w:val="00297DD8"/>
    <w:rsid w:val="002A1924"/>
    <w:rsid w:val="002A7420"/>
    <w:rsid w:val="002B0F12"/>
    <w:rsid w:val="002B1308"/>
    <w:rsid w:val="002B2FFA"/>
    <w:rsid w:val="002B3C26"/>
    <w:rsid w:val="002B4554"/>
    <w:rsid w:val="002B5F61"/>
    <w:rsid w:val="002C245C"/>
    <w:rsid w:val="002C72D8"/>
    <w:rsid w:val="002D11FA"/>
    <w:rsid w:val="002D6698"/>
    <w:rsid w:val="002E0DDF"/>
    <w:rsid w:val="002E2906"/>
    <w:rsid w:val="002E33FA"/>
    <w:rsid w:val="002E5635"/>
    <w:rsid w:val="002E56F7"/>
    <w:rsid w:val="002E64C3"/>
    <w:rsid w:val="002E6A2C"/>
    <w:rsid w:val="002F1049"/>
    <w:rsid w:val="002F1D8C"/>
    <w:rsid w:val="002F21DA"/>
    <w:rsid w:val="002F373C"/>
    <w:rsid w:val="00301F39"/>
    <w:rsid w:val="003026F2"/>
    <w:rsid w:val="003033D3"/>
    <w:rsid w:val="0031277A"/>
    <w:rsid w:val="00315EAF"/>
    <w:rsid w:val="00320EEF"/>
    <w:rsid w:val="003215AD"/>
    <w:rsid w:val="003239F1"/>
    <w:rsid w:val="00325926"/>
    <w:rsid w:val="00327007"/>
    <w:rsid w:val="00327A8A"/>
    <w:rsid w:val="0033516D"/>
    <w:rsid w:val="00335B99"/>
    <w:rsid w:val="00336610"/>
    <w:rsid w:val="003409DC"/>
    <w:rsid w:val="00343F73"/>
    <w:rsid w:val="00345060"/>
    <w:rsid w:val="0035323B"/>
    <w:rsid w:val="003539D1"/>
    <w:rsid w:val="00353BB1"/>
    <w:rsid w:val="003609D2"/>
    <w:rsid w:val="00363F22"/>
    <w:rsid w:val="00364382"/>
    <w:rsid w:val="00370360"/>
    <w:rsid w:val="00370649"/>
    <w:rsid w:val="00370F4D"/>
    <w:rsid w:val="003749A0"/>
    <w:rsid w:val="00375564"/>
    <w:rsid w:val="00383191"/>
    <w:rsid w:val="00386DED"/>
    <w:rsid w:val="003912E7"/>
    <w:rsid w:val="00393947"/>
    <w:rsid w:val="0039402E"/>
    <w:rsid w:val="00397A5B"/>
    <w:rsid w:val="003A2275"/>
    <w:rsid w:val="003A543F"/>
    <w:rsid w:val="003A6A4F"/>
    <w:rsid w:val="003A7088"/>
    <w:rsid w:val="003B00DF"/>
    <w:rsid w:val="003B1275"/>
    <w:rsid w:val="003B1778"/>
    <w:rsid w:val="003B3D03"/>
    <w:rsid w:val="003B56FF"/>
    <w:rsid w:val="003B6B39"/>
    <w:rsid w:val="003C11CB"/>
    <w:rsid w:val="003C6602"/>
    <w:rsid w:val="003C73DC"/>
    <w:rsid w:val="003C75F3"/>
    <w:rsid w:val="003C78A3"/>
    <w:rsid w:val="003D2E2D"/>
    <w:rsid w:val="003D4A26"/>
    <w:rsid w:val="003D6265"/>
    <w:rsid w:val="003D6B07"/>
    <w:rsid w:val="003E1867"/>
    <w:rsid w:val="003E5729"/>
    <w:rsid w:val="003F4EE0"/>
    <w:rsid w:val="003F6885"/>
    <w:rsid w:val="00400730"/>
    <w:rsid w:val="00401BA8"/>
    <w:rsid w:val="00402153"/>
    <w:rsid w:val="00402FC1"/>
    <w:rsid w:val="00406CFE"/>
    <w:rsid w:val="00410A52"/>
    <w:rsid w:val="004119A8"/>
    <w:rsid w:val="00413379"/>
    <w:rsid w:val="00416AE4"/>
    <w:rsid w:val="00425082"/>
    <w:rsid w:val="00427865"/>
    <w:rsid w:val="00431DEB"/>
    <w:rsid w:val="00433D08"/>
    <w:rsid w:val="00440A9E"/>
    <w:rsid w:val="00443954"/>
    <w:rsid w:val="00443EC9"/>
    <w:rsid w:val="00444D19"/>
    <w:rsid w:val="0044505F"/>
    <w:rsid w:val="0044617F"/>
    <w:rsid w:val="00446B29"/>
    <w:rsid w:val="004478B4"/>
    <w:rsid w:val="0044796A"/>
    <w:rsid w:val="00453F9A"/>
    <w:rsid w:val="00460A3B"/>
    <w:rsid w:val="00466AED"/>
    <w:rsid w:val="00471E91"/>
    <w:rsid w:val="00472AF1"/>
    <w:rsid w:val="00472BDE"/>
    <w:rsid w:val="00474675"/>
    <w:rsid w:val="0047470C"/>
    <w:rsid w:val="004761D5"/>
    <w:rsid w:val="0048193A"/>
    <w:rsid w:val="004831FD"/>
    <w:rsid w:val="004875A8"/>
    <w:rsid w:val="00491300"/>
    <w:rsid w:val="004A35F9"/>
    <w:rsid w:val="004A6AB5"/>
    <w:rsid w:val="004B24C1"/>
    <w:rsid w:val="004B316E"/>
    <w:rsid w:val="004C292F"/>
    <w:rsid w:val="004C3053"/>
    <w:rsid w:val="004C3AC3"/>
    <w:rsid w:val="004D0DC0"/>
    <w:rsid w:val="004D3E90"/>
    <w:rsid w:val="004E2E9E"/>
    <w:rsid w:val="004E3943"/>
    <w:rsid w:val="004E51B3"/>
    <w:rsid w:val="004F5B0F"/>
    <w:rsid w:val="004F6C26"/>
    <w:rsid w:val="0050022D"/>
    <w:rsid w:val="00505762"/>
    <w:rsid w:val="0050625E"/>
    <w:rsid w:val="00507BAB"/>
    <w:rsid w:val="00510280"/>
    <w:rsid w:val="00511A93"/>
    <w:rsid w:val="00513D73"/>
    <w:rsid w:val="005145C1"/>
    <w:rsid w:val="00514A43"/>
    <w:rsid w:val="0051523D"/>
    <w:rsid w:val="00517368"/>
    <w:rsid w:val="005174E5"/>
    <w:rsid w:val="00522393"/>
    <w:rsid w:val="00522620"/>
    <w:rsid w:val="00525656"/>
    <w:rsid w:val="00533F46"/>
    <w:rsid w:val="00534C02"/>
    <w:rsid w:val="00535B99"/>
    <w:rsid w:val="0054264B"/>
    <w:rsid w:val="00542F83"/>
    <w:rsid w:val="00543786"/>
    <w:rsid w:val="00543C10"/>
    <w:rsid w:val="00544A61"/>
    <w:rsid w:val="00544EB6"/>
    <w:rsid w:val="00544F48"/>
    <w:rsid w:val="0054739D"/>
    <w:rsid w:val="00547EC0"/>
    <w:rsid w:val="005533D7"/>
    <w:rsid w:val="00554B13"/>
    <w:rsid w:val="005703DE"/>
    <w:rsid w:val="00574D5B"/>
    <w:rsid w:val="00576DEE"/>
    <w:rsid w:val="00581EC3"/>
    <w:rsid w:val="00582E5F"/>
    <w:rsid w:val="005839F3"/>
    <w:rsid w:val="00583AED"/>
    <w:rsid w:val="0058464E"/>
    <w:rsid w:val="005860A7"/>
    <w:rsid w:val="005945AF"/>
    <w:rsid w:val="00597FDA"/>
    <w:rsid w:val="005A01CB"/>
    <w:rsid w:val="005A58FF"/>
    <w:rsid w:val="005A5EAF"/>
    <w:rsid w:val="005A64C0"/>
    <w:rsid w:val="005A6D6D"/>
    <w:rsid w:val="005A7E0D"/>
    <w:rsid w:val="005B27E0"/>
    <w:rsid w:val="005B300A"/>
    <w:rsid w:val="005B3C11"/>
    <w:rsid w:val="005B3FC0"/>
    <w:rsid w:val="005B68D7"/>
    <w:rsid w:val="005B7CDC"/>
    <w:rsid w:val="005C1C28"/>
    <w:rsid w:val="005C317A"/>
    <w:rsid w:val="005C6DB5"/>
    <w:rsid w:val="005C7009"/>
    <w:rsid w:val="005C761A"/>
    <w:rsid w:val="005D2ECD"/>
    <w:rsid w:val="005D54A4"/>
    <w:rsid w:val="005E19E7"/>
    <w:rsid w:val="005E1BE4"/>
    <w:rsid w:val="005E7C1A"/>
    <w:rsid w:val="005E7DD8"/>
    <w:rsid w:val="005F1FDC"/>
    <w:rsid w:val="005F3E38"/>
    <w:rsid w:val="005F4D28"/>
    <w:rsid w:val="005F6EE0"/>
    <w:rsid w:val="0060442E"/>
    <w:rsid w:val="0060689F"/>
    <w:rsid w:val="00610B5A"/>
    <w:rsid w:val="00610FD8"/>
    <w:rsid w:val="0061716C"/>
    <w:rsid w:val="00621989"/>
    <w:rsid w:val="006243A1"/>
    <w:rsid w:val="0063078B"/>
    <w:rsid w:val="00632E56"/>
    <w:rsid w:val="00635CBA"/>
    <w:rsid w:val="0063790D"/>
    <w:rsid w:val="00641A08"/>
    <w:rsid w:val="0064338B"/>
    <w:rsid w:val="00645884"/>
    <w:rsid w:val="00646542"/>
    <w:rsid w:val="00647FB5"/>
    <w:rsid w:val="006504F4"/>
    <w:rsid w:val="00654BC9"/>
    <w:rsid w:val="006552FD"/>
    <w:rsid w:val="00661F49"/>
    <w:rsid w:val="00663AF3"/>
    <w:rsid w:val="00664FE5"/>
    <w:rsid w:val="00666B6C"/>
    <w:rsid w:val="006673E6"/>
    <w:rsid w:val="00673C5E"/>
    <w:rsid w:val="00674510"/>
    <w:rsid w:val="00677167"/>
    <w:rsid w:val="006777AD"/>
    <w:rsid w:val="00682682"/>
    <w:rsid w:val="00682702"/>
    <w:rsid w:val="00682EE1"/>
    <w:rsid w:val="00683E56"/>
    <w:rsid w:val="00692368"/>
    <w:rsid w:val="0069269A"/>
    <w:rsid w:val="00694258"/>
    <w:rsid w:val="006A2EBC"/>
    <w:rsid w:val="006A51F2"/>
    <w:rsid w:val="006A5813"/>
    <w:rsid w:val="006A5E50"/>
    <w:rsid w:val="006A5EA0"/>
    <w:rsid w:val="006A783B"/>
    <w:rsid w:val="006A7B33"/>
    <w:rsid w:val="006B0DAC"/>
    <w:rsid w:val="006B418F"/>
    <w:rsid w:val="006B4E13"/>
    <w:rsid w:val="006B75DD"/>
    <w:rsid w:val="006B793F"/>
    <w:rsid w:val="006C2A3D"/>
    <w:rsid w:val="006C67E0"/>
    <w:rsid w:val="006C6C86"/>
    <w:rsid w:val="006C7ABA"/>
    <w:rsid w:val="006C7EA8"/>
    <w:rsid w:val="006D0D60"/>
    <w:rsid w:val="006D1122"/>
    <w:rsid w:val="006D3C00"/>
    <w:rsid w:val="006E0A3D"/>
    <w:rsid w:val="006E12BF"/>
    <w:rsid w:val="006E3675"/>
    <w:rsid w:val="006E4A7F"/>
    <w:rsid w:val="006F1A1A"/>
    <w:rsid w:val="006F1A89"/>
    <w:rsid w:val="006F593A"/>
    <w:rsid w:val="00700E90"/>
    <w:rsid w:val="00703270"/>
    <w:rsid w:val="00704DF6"/>
    <w:rsid w:val="0070651C"/>
    <w:rsid w:val="007121ED"/>
    <w:rsid w:val="007132A3"/>
    <w:rsid w:val="007135AD"/>
    <w:rsid w:val="00716421"/>
    <w:rsid w:val="00722EE5"/>
    <w:rsid w:val="00724EFB"/>
    <w:rsid w:val="00724FBA"/>
    <w:rsid w:val="00737854"/>
    <w:rsid w:val="007419C3"/>
    <w:rsid w:val="0074257A"/>
    <w:rsid w:val="007446E5"/>
    <w:rsid w:val="007467A7"/>
    <w:rsid w:val="007469DD"/>
    <w:rsid w:val="0074741B"/>
    <w:rsid w:val="0074759E"/>
    <w:rsid w:val="007478EA"/>
    <w:rsid w:val="00747F47"/>
    <w:rsid w:val="007500A5"/>
    <w:rsid w:val="0075415C"/>
    <w:rsid w:val="0075441F"/>
    <w:rsid w:val="00754F96"/>
    <w:rsid w:val="007564E1"/>
    <w:rsid w:val="00757249"/>
    <w:rsid w:val="00763502"/>
    <w:rsid w:val="00764C3A"/>
    <w:rsid w:val="00764EB9"/>
    <w:rsid w:val="0076544E"/>
    <w:rsid w:val="00770A74"/>
    <w:rsid w:val="0077332F"/>
    <w:rsid w:val="00777892"/>
    <w:rsid w:val="00777D54"/>
    <w:rsid w:val="0078007F"/>
    <w:rsid w:val="00780DA8"/>
    <w:rsid w:val="00787270"/>
    <w:rsid w:val="0078792A"/>
    <w:rsid w:val="007903D5"/>
    <w:rsid w:val="007913AB"/>
    <w:rsid w:val="007914F7"/>
    <w:rsid w:val="007A1976"/>
    <w:rsid w:val="007B0AC4"/>
    <w:rsid w:val="007B1625"/>
    <w:rsid w:val="007B706E"/>
    <w:rsid w:val="007B71EB"/>
    <w:rsid w:val="007C13A4"/>
    <w:rsid w:val="007C1FDD"/>
    <w:rsid w:val="007C6205"/>
    <w:rsid w:val="007C686A"/>
    <w:rsid w:val="007C728E"/>
    <w:rsid w:val="007D2C53"/>
    <w:rsid w:val="007D2CBE"/>
    <w:rsid w:val="007D3715"/>
    <w:rsid w:val="007D3D60"/>
    <w:rsid w:val="007E1980"/>
    <w:rsid w:val="007E2A93"/>
    <w:rsid w:val="007E4149"/>
    <w:rsid w:val="007E4B76"/>
    <w:rsid w:val="007E5A88"/>
    <w:rsid w:val="007E5EA8"/>
    <w:rsid w:val="007F0CF1"/>
    <w:rsid w:val="007F12A5"/>
    <w:rsid w:val="007F1B23"/>
    <w:rsid w:val="007F4CF1"/>
    <w:rsid w:val="007F4F75"/>
    <w:rsid w:val="007F6AEA"/>
    <w:rsid w:val="007F758D"/>
    <w:rsid w:val="007F7D52"/>
    <w:rsid w:val="00800C70"/>
    <w:rsid w:val="0080654C"/>
    <w:rsid w:val="008071C6"/>
    <w:rsid w:val="00810061"/>
    <w:rsid w:val="0081403F"/>
    <w:rsid w:val="00817A00"/>
    <w:rsid w:val="00817CB4"/>
    <w:rsid w:val="008214FF"/>
    <w:rsid w:val="0082501A"/>
    <w:rsid w:val="00831E22"/>
    <w:rsid w:val="008349EC"/>
    <w:rsid w:val="00834EF4"/>
    <w:rsid w:val="0083550F"/>
    <w:rsid w:val="00835DB3"/>
    <w:rsid w:val="0083617B"/>
    <w:rsid w:val="008361A2"/>
    <w:rsid w:val="008371BD"/>
    <w:rsid w:val="00837BB3"/>
    <w:rsid w:val="00843844"/>
    <w:rsid w:val="008503F4"/>
    <w:rsid w:val="008504A8"/>
    <w:rsid w:val="0085282E"/>
    <w:rsid w:val="00854E69"/>
    <w:rsid w:val="00857662"/>
    <w:rsid w:val="00860C7F"/>
    <w:rsid w:val="00861242"/>
    <w:rsid w:val="0086273B"/>
    <w:rsid w:val="00862900"/>
    <w:rsid w:val="00862982"/>
    <w:rsid w:val="008641AF"/>
    <w:rsid w:val="0087198C"/>
    <w:rsid w:val="00872C1F"/>
    <w:rsid w:val="00873B42"/>
    <w:rsid w:val="00877CAC"/>
    <w:rsid w:val="008856D8"/>
    <w:rsid w:val="00890920"/>
    <w:rsid w:val="00891752"/>
    <w:rsid w:val="00892724"/>
    <w:rsid w:val="008928F1"/>
    <w:rsid w:val="00892E82"/>
    <w:rsid w:val="008A23A2"/>
    <w:rsid w:val="008A45FE"/>
    <w:rsid w:val="008A6085"/>
    <w:rsid w:val="008A7DC6"/>
    <w:rsid w:val="008B3C96"/>
    <w:rsid w:val="008B6452"/>
    <w:rsid w:val="008B7614"/>
    <w:rsid w:val="008C16B9"/>
    <w:rsid w:val="008C1B58"/>
    <w:rsid w:val="008C39AE"/>
    <w:rsid w:val="008C590D"/>
    <w:rsid w:val="008C78C6"/>
    <w:rsid w:val="008D02B9"/>
    <w:rsid w:val="008D0526"/>
    <w:rsid w:val="008D72E6"/>
    <w:rsid w:val="008E031B"/>
    <w:rsid w:val="008E7029"/>
    <w:rsid w:val="008E7EF6"/>
    <w:rsid w:val="008F0C45"/>
    <w:rsid w:val="008F1F98"/>
    <w:rsid w:val="008F2416"/>
    <w:rsid w:val="008F6758"/>
    <w:rsid w:val="009034E0"/>
    <w:rsid w:val="009040DD"/>
    <w:rsid w:val="009049BF"/>
    <w:rsid w:val="00904CA5"/>
    <w:rsid w:val="00904E64"/>
    <w:rsid w:val="00905B47"/>
    <w:rsid w:val="0091220C"/>
    <w:rsid w:val="0091331C"/>
    <w:rsid w:val="00914532"/>
    <w:rsid w:val="009204D1"/>
    <w:rsid w:val="009223B5"/>
    <w:rsid w:val="00922A2C"/>
    <w:rsid w:val="009279DE"/>
    <w:rsid w:val="00927D4E"/>
    <w:rsid w:val="00930116"/>
    <w:rsid w:val="0093172E"/>
    <w:rsid w:val="00935AA1"/>
    <w:rsid w:val="00940FBC"/>
    <w:rsid w:val="0094212C"/>
    <w:rsid w:val="00944CF9"/>
    <w:rsid w:val="00953E9B"/>
    <w:rsid w:val="00954689"/>
    <w:rsid w:val="009617C9"/>
    <w:rsid w:val="00961C93"/>
    <w:rsid w:val="00965324"/>
    <w:rsid w:val="009653D5"/>
    <w:rsid w:val="0097091E"/>
    <w:rsid w:val="009715AB"/>
    <w:rsid w:val="009760D3"/>
    <w:rsid w:val="00976751"/>
    <w:rsid w:val="00977132"/>
    <w:rsid w:val="00981A4B"/>
    <w:rsid w:val="00982501"/>
    <w:rsid w:val="00982A47"/>
    <w:rsid w:val="009877D3"/>
    <w:rsid w:val="00991E5F"/>
    <w:rsid w:val="00993CDB"/>
    <w:rsid w:val="00994E8F"/>
    <w:rsid w:val="009951DC"/>
    <w:rsid w:val="009959BB"/>
    <w:rsid w:val="00997158"/>
    <w:rsid w:val="009A3A7C"/>
    <w:rsid w:val="009A584E"/>
    <w:rsid w:val="009A5A33"/>
    <w:rsid w:val="009A7DF2"/>
    <w:rsid w:val="009B2ADB"/>
    <w:rsid w:val="009B603A"/>
    <w:rsid w:val="009B7D95"/>
    <w:rsid w:val="009C1534"/>
    <w:rsid w:val="009C2976"/>
    <w:rsid w:val="009C2D0E"/>
    <w:rsid w:val="009C3DAC"/>
    <w:rsid w:val="009C42E0"/>
    <w:rsid w:val="009C575F"/>
    <w:rsid w:val="009C6111"/>
    <w:rsid w:val="009C672F"/>
    <w:rsid w:val="009D1940"/>
    <w:rsid w:val="009D23CA"/>
    <w:rsid w:val="009D5362"/>
    <w:rsid w:val="009E1415"/>
    <w:rsid w:val="009E6116"/>
    <w:rsid w:val="009E7BC0"/>
    <w:rsid w:val="009F04F8"/>
    <w:rsid w:val="009F060D"/>
    <w:rsid w:val="009F2754"/>
    <w:rsid w:val="009F3AED"/>
    <w:rsid w:val="009F523F"/>
    <w:rsid w:val="00A003A8"/>
    <w:rsid w:val="00A02E43"/>
    <w:rsid w:val="00A065F9"/>
    <w:rsid w:val="00A07F21"/>
    <w:rsid w:val="00A07F34"/>
    <w:rsid w:val="00A2117E"/>
    <w:rsid w:val="00A22154"/>
    <w:rsid w:val="00A25C38"/>
    <w:rsid w:val="00A26CCA"/>
    <w:rsid w:val="00A2754F"/>
    <w:rsid w:val="00A30F11"/>
    <w:rsid w:val="00A3482B"/>
    <w:rsid w:val="00A36BBE"/>
    <w:rsid w:val="00A37C64"/>
    <w:rsid w:val="00A40D46"/>
    <w:rsid w:val="00A4283D"/>
    <w:rsid w:val="00A4307A"/>
    <w:rsid w:val="00A44BFD"/>
    <w:rsid w:val="00A460B1"/>
    <w:rsid w:val="00A47EBB"/>
    <w:rsid w:val="00A50AC8"/>
    <w:rsid w:val="00A51CDD"/>
    <w:rsid w:val="00A5631D"/>
    <w:rsid w:val="00A62442"/>
    <w:rsid w:val="00A62DD7"/>
    <w:rsid w:val="00A647EF"/>
    <w:rsid w:val="00A6677C"/>
    <w:rsid w:val="00A6730D"/>
    <w:rsid w:val="00A71625"/>
    <w:rsid w:val="00A71B9B"/>
    <w:rsid w:val="00A72866"/>
    <w:rsid w:val="00A751C7"/>
    <w:rsid w:val="00A76298"/>
    <w:rsid w:val="00A77EE0"/>
    <w:rsid w:val="00A812BA"/>
    <w:rsid w:val="00A839DB"/>
    <w:rsid w:val="00A852A1"/>
    <w:rsid w:val="00A86561"/>
    <w:rsid w:val="00A87844"/>
    <w:rsid w:val="00A87E23"/>
    <w:rsid w:val="00A90773"/>
    <w:rsid w:val="00A96A17"/>
    <w:rsid w:val="00AA038C"/>
    <w:rsid w:val="00AA4A38"/>
    <w:rsid w:val="00AA4E9A"/>
    <w:rsid w:val="00AA7A09"/>
    <w:rsid w:val="00AB2833"/>
    <w:rsid w:val="00AB3B50"/>
    <w:rsid w:val="00AB3E78"/>
    <w:rsid w:val="00AB5799"/>
    <w:rsid w:val="00AB5F92"/>
    <w:rsid w:val="00AC03BF"/>
    <w:rsid w:val="00AC05B1"/>
    <w:rsid w:val="00AC0C3B"/>
    <w:rsid w:val="00AC40B3"/>
    <w:rsid w:val="00AC50E5"/>
    <w:rsid w:val="00AC5CA4"/>
    <w:rsid w:val="00AD356C"/>
    <w:rsid w:val="00AD3A39"/>
    <w:rsid w:val="00AD3C0A"/>
    <w:rsid w:val="00AD52D6"/>
    <w:rsid w:val="00AD57E3"/>
    <w:rsid w:val="00AE2914"/>
    <w:rsid w:val="00AE6D15"/>
    <w:rsid w:val="00AE7A04"/>
    <w:rsid w:val="00AF4367"/>
    <w:rsid w:val="00AF6BDA"/>
    <w:rsid w:val="00AF74B0"/>
    <w:rsid w:val="00B04182"/>
    <w:rsid w:val="00B062BF"/>
    <w:rsid w:val="00B07AE3"/>
    <w:rsid w:val="00B10282"/>
    <w:rsid w:val="00B11430"/>
    <w:rsid w:val="00B1352F"/>
    <w:rsid w:val="00B15BAB"/>
    <w:rsid w:val="00B23E4D"/>
    <w:rsid w:val="00B276EC"/>
    <w:rsid w:val="00B315E8"/>
    <w:rsid w:val="00B353EB"/>
    <w:rsid w:val="00B35F0E"/>
    <w:rsid w:val="00B36670"/>
    <w:rsid w:val="00B439C4"/>
    <w:rsid w:val="00B4535E"/>
    <w:rsid w:val="00B47434"/>
    <w:rsid w:val="00B4766C"/>
    <w:rsid w:val="00B52A8C"/>
    <w:rsid w:val="00B52EE4"/>
    <w:rsid w:val="00B52F9F"/>
    <w:rsid w:val="00B60970"/>
    <w:rsid w:val="00B636A8"/>
    <w:rsid w:val="00B65090"/>
    <w:rsid w:val="00B665C6"/>
    <w:rsid w:val="00B71650"/>
    <w:rsid w:val="00B7354B"/>
    <w:rsid w:val="00B73CF3"/>
    <w:rsid w:val="00B74CCF"/>
    <w:rsid w:val="00B805AF"/>
    <w:rsid w:val="00B8139F"/>
    <w:rsid w:val="00B82E1A"/>
    <w:rsid w:val="00B83210"/>
    <w:rsid w:val="00B869EC"/>
    <w:rsid w:val="00B87E44"/>
    <w:rsid w:val="00B9397A"/>
    <w:rsid w:val="00B95B9F"/>
    <w:rsid w:val="00B9633D"/>
    <w:rsid w:val="00B97496"/>
    <w:rsid w:val="00BA2EBE"/>
    <w:rsid w:val="00BB0F03"/>
    <w:rsid w:val="00BB0F28"/>
    <w:rsid w:val="00BB458A"/>
    <w:rsid w:val="00BB6D3D"/>
    <w:rsid w:val="00BB784C"/>
    <w:rsid w:val="00BC1DD1"/>
    <w:rsid w:val="00BC58DC"/>
    <w:rsid w:val="00BC7312"/>
    <w:rsid w:val="00BC7C1C"/>
    <w:rsid w:val="00BD00D3"/>
    <w:rsid w:val="00BD1659"/>
    <w:rsid w:val="00BD3AA9"/>
    <w:rsid w:val="00BD4A18"/>
    <w:rsid w:val="00BD6200"/>
    <w:rsid w:val="00BD6DB2"/>
    <w:rsid w:val="00BE11CF"/>
    <w:rsid w:val="00BE19F0"/>
    <w:rsid w:val="00BE21AB"/>
    <w:rsid w:val="00BE2E55"/>
    <w:rsid w:val="00BE3A23"/>
    <w:rsid w:val="00BE55CB"/>
    <w:rsid w:val="00BF617A"/>
    <w:rsid w:val="00C0379D"/>
    <w:rsid w:val="00C03931"/>
    <w:rsid w:val="00C03975"/>
    <w:rsid w:val="00C05FE3"/>
    <w:rsid w:val="00C14B86"/>
    <w:rsid w:val="00C16052"/>
    <w:rsid w:val="00C2136D"/>
    <w:rsid w:val="00C214EE"/>
    <w:rsid w:val="00C2314B"/>
    <w:rsid w:val="00C23AA8"/>
    <w:rsid w:val="00C24971"/>
    <w:rsid w:val="00C266D8"/>
    <w:rsid w:val="00C2673F"/>
    <w:rsid w:val="00C26BE5"/>
    <w:rsid w:val="00C26E4D"/>
    <w:rsid w:val="00C27278"/>
    <w:rsid w:val="00C27909"/>
    <w:rsid w:val="00C27B03"/>
    <w:rsid w:val="00C314E1"/>
    <w:rsid w:val="00C32C99"/>
    <w:rsid w:val="00C34397"/>
    <w:rsid w:val="00C36201"/>
    <w:rsid w:val="00C37E66"/>
    <w:rsid w:val="00C4095D"/>
    <w:rsid w:val="00C4457C"/>
    <w:rsid w:val="00C4588D"/>
    <w:rsid w:val="00C578A7"/>
    <w:rsid w:val="00C601D2"/>
    <w:rsid w:val="00C62AD4"/>
    <w:rsid w:val="00C63650"/>
    <w:rsid w:val="00C637DA"/>
    <w:rsid w:val="00C65BCC"/>
    <w:rsid w:val="00C65D02"/>
    <w:rsid w:val="00C66970"/>
    <w:rsid w:val="00C70347"/>
    <w:rsid w:val="00C77862"/>
    <w:rsid w:val="00C83140"/>
    <w:rsid w:val="00C831BC"/>
    <w:rsid w:val="00C83CA0"/>
    <w:rsid w:val="00C86473"/>
    <w:rsid w:val="00C8691C"/>
    <w:rsid w:val="00C90B4D"/>
    <w:rsid w:val="00CA168A"/>
    <w:rsid w:val="00CA3083"/>
    <w:rsid w:val="00CA32FF"/>
    <w:rsid w:val="00CA357E"/>
    <w:rsid w:val="00CA44F9"/>
    <w:rsid w:val="00CA4A69"/>
    <w:rsid w:val="00CB1C6A"/>
    <w:rsid w:val="00CB3B39"/>
    <w:rsid w:val="00CB5BEE"/>
    <w:rsid w:val="00CC0D65"/>
    <w:rsid w:val="00CC2058"/>
    <w:rsid w:val="00CC3E0C"/>
    <w:rsid w:val="00CC583F"/>
    <w:rsid w:val="00CC58D3"/>
    <w:rsid w:val="00CC784D"/>
    <w:rsid w:val="00CD05F8"/>
    <w:rsid w:val="00CD1291"/>
    <w:rsid w:val="00CD146E"/>
    <w:rsid w:val="00CD18D5"/>
    <w:rsid w:val="00CD343B"/>
    <w:rsid w:val="00CD4409"/>
    <w:rsid w:val="00CD6101"/>
    <w:rsid w:val="00CD67CA"/>
    <w:rsid w:val="00CE12C5"/>
    <w:rsid w:val="00CE6BB6"/>
    <w:rsid w:val="00CF3AD6"/>
    <w:rsid w:val="00CF49E4"/>
    <w:rsid w:val="00D0337B"/>
    <w:rsid w:val="00D079B2"/>
    <w:rsid w:val="00D10E6C"/>
    <w:rsid w:val="00D114E9"/>
    <w:rsid w:val="00D13132"/>
    <w:rsid w:val="00D23441"/>
    <w:rsid w:val="00D243A9"/>
    <w:rsid w:val="00D248F0"/>
    <w:rsid w:val="00D26ECB"/>
    <w:rsid w:val="00D40F93"/>
    <w:rsid w:val="00D429C6"/>
    <w:rsid w:val="00D42DE7"/>
    <w:rsid w:val="00D47748"/>
    <w:rsid w:val="00D51085"/>
    <w:rsid w:val="00D54CC3"/>
    <w:rsid w:val="00D57DDF"/>
    <w:rsid w:val="00D6041A"/>
    <w:rsid w:val="00D62474"/>
    <w:rsid w:val="00D633EB"/>
    <w:rsid w:val="00D70999"/>
    <w:rsid w:val="00D71C89"/>
    <w:rsid w:val="00D71D16"/>
    <w:rsid w:val="00D71F77"/>
    <w:rsid w:val="00D72CD2"/>
    <w:rsid w:val="00D779B4"/>
    <w:rsid w:val="00D82EC9"/>
    <w:rsid w:val="00D82FF7"/>
    <w:rsid w:val="00D844F5"/>
    <w:rsid w:val="00D847FE"/>
    <w:rsid w:val="00D87D67"/>
    <w:rsid w:val="00D93220"/>
    <w:rsid w:val="00D964EA"/>
    <w:rsid w:val="00D966D0"/>
    <w:rsid w:val="00DA0C59"/>
    <w:rsid w:val="00DA3991"/>
    <w:rsid w:val="00DB452F"/>
    <w:rsid w:val="00DB6CCA"/>
    <w:rsid w:val="00DB7E6C"/>
    <w:rsid w:val="00DC2111"/>
    <w:rsid w:val="00DC32B8"/>
    <w:rsid w:val="00DD0F34"/>
    <w:rsid w:val="00DD5A29"/>
    <w:rsid w:val="00DD5D9D"/>
    <w:rsid w:val="00DE35CB"/>
    <w:rsid w:val="00DE3989"/>
    <w:rsid w:val="00DF1277"/>
    <w:rsid w:val="00DF154F"/>
    <w:rsid w:val="00DF21E9"/>
    <w:rsid w:val="00DF5C33"/>
    <w:rsid w:val="00DF63E1"/>
    <w:rsid w:val="00DF790C"/>
    <w:rsid w:val="00E00F14"/>
    <w:rsid w:val="00E02A9F"/>
    <w:rsid w:val="00E02D58"/>
    <w:rsid w:val="00E04170"/>
    <w:rsid w:val="00E04264"/>
    <w:rsid w:val="00E06386"/>
    <w:rsid w:val="00E07F22"/>
    <w:rsid w:val="00E1275F"/>
    <w:rsid w:val="00E13A88"/>
    <w:rsid w:val="00E165C3"/>
    <w:rsid w:val="00E242B2"/>
    <w:rsid w:val="00E24EB4"/>
    <w:rsid w:val="00E31253"/>
    <w:rsid w:val="00E31BB5"/>
    <w:rsid w:val="00E320ED"/>
    <w:rsid w:val="00E3230E"/>
    <w:rsid w:val="00E33AFB"/>
    <w:rsid w:val="00E33ED2"/>
    <w:rsid w:val="00E34218"/>
    <w:rsid w:val="00E34FB2"/>
    <w:rsid w:val="00E368C9"/>
    <w:rsid w:val="00E44674"/>
    <w:rsid w:val="00E45140"/>
    <w:rsid w:val="00E46282"/>
    <w:rsid w:val="00E5216E"/>
    <w:rsid w:val="00E60DC8"/>
    <w:rsid w:val="00E634B2"/>
    <w:rsid w:val="00E66247"/>
    <w:rsid w:val="00E816C6"/>
    <w:rsid w:val="00E81C0B"/>
    <w:rsid w:val="00E82344"/>
    <w:rsid w:val="00E84C82"/>
    <w:rsid w:val="00E84D64"/>
    <w:rsid w:val="00E85F4F"/>
    <w:rsid w:val="00E863EE"/>
    <w:rsid w:val="00E87408"/>
    <w:rsid w:val="00E914C4"/>
    <w:rsid w:val="00E9337A"/>
    <w:rsid w:val="00E934F5"/>
    <w:rsid w:val="00E94024"/>
    <w:rsid w:val="00E96961"/>
    <w:rsid w:val="00EA099E"/>
    <w:rsid w:val="00EA6004"/>
    <w:rsid w:val="00EA6BA3"/>
    <w:rsid w:val="00EA72EC"/>
    <w:rsid w:val="00EB11CB"/>
    <w:rsid w:val="00EB275A"/>
    <w:rsid w:val="00EB37A8"/>
    <w:rsid w:val="00EB44CD"/>
    <w:rsid w:val="00EB517D"/>
    <w:rsid w:val="00EB518F"/>
    <w:rsid w:val="00EB6260"/>
    <w:rsid w:val="00EB6A84"/>
    <w:rsid w:val="00EB786A"/>
    <w:rsid w:val="00EB7DFA"/>
    <w:rsid w:val="00EC1578"/>
    <w:rsid w:val="00EC1C72"/>
    <w:rsid w:val="00EC1F84"/>
    <w:rsid w:val="00EC39E7"/>
    <w:rsid w:val="00EC3C80"/>
    <w:rsid w:val="00EC3CC9"/>
    <w:rsid w:val="00EC680A"/>
    <w:rsid w:val="00ED2054"/>
    <w:rsid w:val="00ED393E"/>
    <w:rsid w:val="00ED5A9A"/>
    <w:rsid w:val="00ED6D8B"/>
    <w:rsid w:val="00EE0CB0"/>
    <w:rsid w:val="00EE2BED"/>
    <w:rsid w:val="00EE374B"/>
    <w:rsid w:val="00EF79FF"/>
    <w:rsid w:val="00EF7E37"/>
    <w:rsid w:val="00F04728"/>
    <w:rsid w:val="00F058B7"/>
    <w:rsid w:val="00F079E1"/>
    <w:rsid w:val="00F101B9"/>
    <w:rsid w:val="00F11BB5"/>
    <w:rsid w:val="00F12741"/>
    <w:rsid w:val="00F138D5"/>
    <w:rsid w:val="00F1417B"/>
    <w:rsid w:val="00F15226"/>
    <w:rsid w:val="00F2020A"/>
    <w:rsid w:val="00F206F4"/>
    <w:rsid w:val="00F24190"/>
    <w:rsid w:val="00F3191B"/>
    <w:rsid w:val="00F33C54"/>
    <w:rsid w:val="00F34B99"/>
    <w:rsid w:val="00F405CE"/>
    <w:rsid w:val="00F412D4"/>
    <w:rsid w:val="00F42D4D"/>
    <w:rsid w:val="00F448B8"/>
    <w:rsid w:val="00F45B1A"/>
    <w:rsid w:val="00F46A44"/>
    <w:rsid w:val="00F50F93"/>
    <w:rsid w:val="00F51B5A"/>
    <w:rsid w:val="00F52DAB"/>
    <w:rsid w:val="00F543F0"/>
    <w:rsid w:val="00F54C7E"/>
    <w:rsid w:val="00F6180E"/>
    <w:rsid w:val="00F71ECB"/>
    <w:rsid w:val="00F75252"/>
    <w:rsid w:val="00F76A94"/>
    <w:rsid w:val="00F81BE2"/>
    <w:rsid w:val="00F81D29"/>
    <w:rsid w:val="00F828C0"/>
    <w:rsid w:val="00F84644"/>
    <w:rsid w:val="00F84AA0"/>
    <w:rsid w:val="00F86478"/>
    <w:rsid w:val="00F90F8D"/>
    <w:rsid w:val="00F91C4D"/>
    <w:rsid w:val="00F92BD1"/>
    <w:rsid w:val="00F92FD9"/>
    <w:rsid w:val="00FA2322"/>
    <w:rsid w:val="00FA6684"/>
    <w:rsid w:val="00FA69EF"/>
    <w:rsid w:val="00FA6EE9"/>
    <w:rsid w:val="00FA731E"/>
    <w:rsid w:val="00FA7813"/>
    <w:rsid w:val="00FB1C1F"/>
    <w:rsid w:val="00FB2B38"/>
    <w:rsid w:val="00FB6240"/>
    <w:rsid w:val="00FB6C61"/>
    <w:rsid w:val="00FC1DA3"/>
    <w:rsid w:val="00FC38F1"/>
    <w:rsid w:val="00FC4879"/>
    <w:rsid w:val="00FC6358"/>
    <w:rsid w:val="00FD08BF"/>
    <w:rsid w:val="00FD253A"/>
    <w:rsid w:val="00FD320D"/>
    <w:rsid w:val="00FD456B"/>
    <w:rsid w:val="00FE23DE"/>
    <w:rsid w:val="00FE3300"/>
    <w:rsid w:val="00FE349C"/>
    <w:rsid w:val="00FF2EE2"/>
    <w:rsid w:val="00FF3A5B"/>
    <w:rsid w:val="00FF42E8"/>
    <w:rsid w:val="01D04668"/>
    <w:rsid w:val="02D15CA8"/>
    <w:rsid w:val="0C820223"/>
    <w:rsid w:val="0D5A51E9"/>
    <w:rsid w:val="0E876748"/>
    <w:rsid w:val="10E7231B"/>
    <w:rsid w:val="14AB6E01"/>
    <w:rsid w:val="14F85F04"/>
    <w:rsid w:val="159F27B6"/>
    <w:rsid w:val="162C760D"/>
    <w:rsid w:val="1AEB73B7"/>
    <w:rsid w:val="1B3E6E0B"/>
    <w:rsid w:val="21637167"/>
    <w:rsid w:val="23F73A9C"/>
    <w:rsid w:val="24E94C70"/>
    <w:rsid w:val="26205229"/>
    <w:rsid w:val="27370304"/>
    <w:rsid w:val="2B370B09"/>
    <w:rsid w:val="2B9A334B"/>
    <w:rsid w:val="2C11136C"/>
    <w:rsid w:val="2D5D2A93"/>
    <w:rsid w:val="2E567DAF"/>
    <w:rsid w:val="2E7C2F01"/>
    <w:rsid w:val="2EBBBA12"/>
    <w:rsid w:val="2EF6111F"/>
    <w:rsid w:val="2F8B1E73"/>
    <w:rsid w:val="31EF6164"/>
    <w:rsid w:val="374274C9"/>
    <w:rsid w:val="38712827"/>
    <w:rsid w:val="3DFFD944"/>
    <w:rsid w:val="3EB4357F"/>
    <w:rsid w:val="3F31569B"/>
    <w:rsid w:val="3F6743EC"/>
    <w:rsid w:val="3FBF2B5E"/>
    <w:rsid w:val="465B5160"/>
    <w:rsid w:val="47AF232D"/>
    <w:rsid w:val="49466821"/>
    <w:rsid w:val="49A7049B"/>
    <w:rsid w:val="4A0D2577"/>
    <w:rsid w:val="4DF01BAB"/>
    <w:rsid w:val="4E2A13F9"/>
    <w:rsid w:val="4F053E56"/>
    <w:rsid w:val="50E557F8"/>
    <w:rsid w:val="529E77B3"/>
    <w:rsid w:val="57F72005"/>
    <w:rsid w:val="5AE82AB0"/>
    <w:rsid w:val="5B8014E1"/>
    <w:rsid w:val="5BFFA84D"/>
    <w:rsid w:val="5CBB4FA8"/>
    <w:rsid w:val="5DCD599D"/>
    <w:rsid w:val="5F703309"/>
    <w:rsid w:val="631B1ED4"/>
    <w:rsid w:val="63802C93"/>
    <w:rsid w:val="67D930E9"/>
    <w:rsid w:val="6BDF340D"/>
    <w:rsid w:val="6BFA503D"/>
    <w:rsid w:val="6EB215B7"/>
    <w:rsid w:val="6FBF6717"/>
    <w:rsid w:val="70B163BB"/>
    <w:rsid w:val="744C18C2"/>
    <w:rsid w:val="75FF7A64"/>
    <w:rsid w:val="781235B1"/>
    <w:rsid w:val="78C7306C"/>
    <w:rsid w:val="79DD17FA"/>
    <w:rsid w:val="79FF5341"/>
    <w:rsid w:val="7A77D934"/>
    <w:rsid w:val="8EE3C504"/>
    <w:rsid w:val="9FFF16E7"/>
    <w:rsid w:val="A357DC5E"/>
    <w:rsid w:val="BDBAB77A"/>
    <w:rsid w:val="BEEF9F2A"/>
    <w:rsid w:val="DBFF2CDD"/>
    <w:rsid w:val="DF97DA21"/>
    <w:rsid w:val="F7FF8D03"/>
    <w:rsid w:val="FEBFA2CF"/>
    <w:rsid w:val="FEED9B32"/>
    <w:rsid w:val="FFDB5D1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8"/>
    <w:qFormat/>
    <w:uiPriority w:val="0"/>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0"/>
    <w:pPr>
      <w:keepNext/>
      <w:keepLines/>
      <w:numPr>
        <w:ilvl w:val="1"/>
        <w:numId w:val="1"/>
      </w:numPr>
      <w:outlineLvl w:val="1"/>
    </w:pPr>
    <w:rPr>
      <w:rFonts w:hAnsi="Arial"/>
      <w:b/>
      <w:bCs/>
      <w:szCs w:val="32"/>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paragraph" w:styleId="6">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40">
    <w:name w:val="Default Paragraph Font"/>
    <w:unhideWhenUsed/>
    <w:qFormat/>
    <w:uiPriority w:val="1"/>
  </w:style>
  <w:style w:type="table" w:default="1" w:styleId="38">
    <w:name w:val="Normal Table"/>
    <w:unhideWhenUsed/>
    <w:qFormat/>
    <w:uiPriority w:val="99"/>
    <w:tblPr>
      <w:tblCellMar>
        <w:top w:w="0" w:type="dxa"/>
        <w:left w:w="108" w:type="dxa"/>
        <w:bottom w:w="0" w:type="dxa"/>
        <w:right w:w="108" w:type="dxa"/>
      </w:tblCellMar>
    </w:tblPr>
  </w:style>
  <w:style w:type="paragraph" w:customStyle="1" w:styleId="2">
    <w:name w:val="普通正文"/>
    <w:basedOn w:val="1"/>
    <w:qFormat/>
    <w:uiPriority w:val="0"/>
    <w:pPr>
      <w:adjustRightInd w:val="0"/>
      <w:spacing w:before="120" w:after="120" w:line="360" w:lineRule="auto"/>
      <w:ind w:firstLine="482"/>
      <w:textAlignment w:val="baseline"/>
    </w:pPr>
    <w:rPr>
      <w:rFonts w:ascii="Arial" w:hAnsi="Arial"/>
      <w:szCs w:val="24"/>
    </w:rPr>
  </w:style>
  <w:style w:type="paragraph" w:styleId="7">
    <w:name w:val="toc 7"/>
    <w:basedOn w:val="1"/>
    <w:next w:val="1"/>
    <w:semiHidden/>
    <w:qFormat/>
    <w:uiPriority w:val="0"/>
    <w:pPr>
      <w:tabs>
        <w:tab w:val="right" w:leader="dot" w:pos="9241"/>
      </w:tabs>
      <w:ind w:firstLine="505" w:firstLineChars="500"/>
      <w:jc w:val="left"/>
    </w:pPr>
    <w:rPr>
      <w:rFonts w:ascii="宋体"/>
      <w:szCs w:val="21"/>
    </w:rPr>
  </w:style>
  <w:style w:type="paragraph" w:styleId="8">
    <w:name w:val="index 8"/>
    <w:basedOn w:val="1"/>
    <w:next w:val="1"/>
    <w:qFormat/>
    <w:uiPriority w:val="0"/>
    <w:pPr>
      <w:ind w:left="1680" w:hanging="210"/>
      <w:jc w:val="left"/>
    </w:pPr>
    <w:rPr>
      <w:rFonts w:ascii="Calibri" w:hAnsi="Calibri"/>
      <w:sz w:val="20"/>
      <w:szCs w:val="20"/>
    </w:rPr>
  </w:style>
  <w:style w:type="paragraph" w:styleId="9">
    <w:name w:val="caption"/>
    <w:basedOn w:val="1"/>
    <w:next w:val="1"/>
    <w:qFormat/>
    <w:uiPriority w:val="0"/>
    <w:pPr>
      <w:spacing w:before="152" w:after="160"/>
    </w:pPr>
    <w:rPr>
      <w:rFonts w:ascii="Arial" w:hAnsi="Arial" w:eastAsia="黑体" w:cs="Arial"/>
      <w:sz w:val="20"/>
      <w:szCs w:val="20"/>
    </w:rPr>
  </w:style>
  <w:style w:type="paragraph" w:styleId="10">
    <w:name w:val="index 5"/>
    <w:basedOn w:val="1"/>
    <w:next w:val="1"/>
    <w:qFormat/>
    <w:uiPriority w:val="0"/>
    <w:pPr>
      <w:ind w:left="1050" w:hanging="210"/>
      <w:jc w:val="left"/>
    </w:pPr>
    <w:rPr>
      <w:rFonts w:ascii="Calibri" w:hAnsi="Calibri"/>
      <w:sz w:val="20"/>
      <w:szCs w:val="20"/>
    </w:rPr>
  </w:style>
  <w:style w:type="paragraph" w:styleId="11">
    <w:name w:val="Document Map"/>
    <w:basedOn w:val="1"/>
    <w:semiHidden/>
    <w:qFormat/>
    <w:uiPriority w:val="0"/>
    <w:pPr>
      <w:shd w:val="clear" w:color="auto" w:fill="000080"/>
    </w:pPr>
  </w:style>
  <w:style w:type="paragraph" w:styleId="12">
    <w:name w:val="annotation text"/>
    <w:basedOn w:val="1"/>
    <w:link w:val="148"/>
    <w:qFormat/>
    <w:uiPriority w:val="0"/>
    <w:pPr>
      <w:jc w:val="left"/>
    </w:pPr>
  </w:style>
  <w:style w:type="paragraph" w:styleId="13">
    <w:name w:val="index 6"/>
    <w:basedOn w:val="1"/>
    <w:next w:val="1"/>
    <w:qFormat/>
    <w:uiPriority w:val="0"/>
    <w:pPr>
      <w:ind w:left="1260" w:hanging="210"/>
      <w:jc w:val="left"/>
    </w:pPr>
    <w:rPr>
      <w:rFonts w:ascii="Calibri" w:hAnsi="Calibri"/>
      <w:sz w:val="20"/>
      <w:szCs w:val="20"/>
    </w:rPr>
  </w:style>
  <w:style w:type="paragraph" w:styleId="14">
    <w:name w:val="index 4"/>
    <w:basedOn w:val="1"/>
    <w:next w:val="1"/>
    <w:qFormat/>
    <w:uiPriority w:val="0"/>
    <w:pPr>
      <w:ind w:left="840" w:hanging="210"/>
      <w:jc w:val="left"/>
    </w:pPr>
    <w:rPr>
      <w:rFonts w:ascii="Calibri" w:hAnsi="Calibri"/>
      <w:sz w:val="20"/>
      <w:szCs w:val="20"/>
    </w:rPr>
  </w:style>
  <w:style w:type="paragraph" w:styleId="15">
    <w:name w:val="toc 5"/>
    <w:basedOn w:val="1"/>
    <w:next w:val="1"/>
    <w:semiHidden/>
    <w:qFormat/>
    <w:uiPriority w:val="0"/>
    <w:pPr>
      <w:tabs>
        <w:tab w:val="right" w:leader="dot" w:pos="9241"/>
      </w:tabs>
      <w:ind w:firstLine="300" w:firstLineChars="300"/>
      <w:jc w:val="left"/>
    </w:pPr>
    <w:rPr>
      <w:rFonts w:ascii="宋体"/>
      <w:szCs w:val="21"/>
    </w:rPr>
  </w:style>
  <w:style w:type="paragraph" w:styleId="16">
    <w:name w:val="toc 3"/>
    <w:basedOn w:val="1"/>
    <w:next w:val="1"/>
    <w:qFormat/>
    <w:uiPriority w:val="39"/>
    <w:pPr>
      <w:tabs>
        <w:tab w:val="right" w:leader="dot" w:pos="9241"/>
      </w:tabs>
      <w:ind w:firstLine="102" w:firstLineChars="100"/>
      <w:jc w:val="left"/>
    </w:pPr>
    <w:rPr>
      <w:rFonts w:ascii="宋体"/>
      <w:szCs w:val="21"/>
    </w:rPr>
  </w:style>
  <w:style w:type="paragraph" w:styleId="17">
    <w:name w:val="toc 8"/>
    <w:basedOn w:val="1"/>
    <w:next w:val="1"/>
    <w:semiHidden/>
    <w:qFormat/>
    <w:uiPriority w:val="0"/>
    <w:pPr>
      <w:tabs>
        <w:tab w:val="right" w:leader="dot" w:pos="9241"/>
      </w:tabs>
      <w:ind w:firstLine="607" w:firstLineChars="600"/>
      <w:jc w:val="left"/>
    </w:pPr>
    <w:rPr>
      <w:rFonts w:ascii="宋体"/>
      <w:szCs w:val="21"/>
    </w:rPr>
  </w:style>
  <w:style w:type="paragraph" w:styleId="18">
    <w:name w:val="index 3"/>
    <w:basedOn w:val="1"/>
    <w:next w:val="1"/>
    <w:qFormat/>
    <w:uiPriority w:val="0"/>
    <w:pPr>
      <w:ind w:left="630" w:hanging="210"/>
      <w:jc w:val="left"/>
    </w:pPr>
    <w:rPr>
      <w:rFonts w:ascii="Calibri" w:hAnsi="Calibri"/>
      <w:sz w:val="20"/>
      <w:szCs w:val="20"/>
    </w:rPr>
  </w:style>
  <w:style w:type="paragraph" w:styleId="19">
    <w:name w:val="Body Text Indent 2"/>
    <w:basedOn w:val="1"/>
    <w:qFormat/>
    <w:uiPriority w:val="0"/>
    <w:pPr>
      <w:spacing w:after="120" w:afterLines="0" w:afterAutospacing="0" w:line="480" w:lineRule="auto"/>
      <w:ind w:left="420" w:leftChars="200"/>
    </w:pPr>
  </w:style>
  <w:style w:type="paragraph" w:styleId="20">
    <w:name w:val="endnote text"/>
    <w:basedOn w:val="1"/>
    <w:semiHidden/>
    <w:qFormat/>
    <w:uiPriority w:val="0"/>
    <w:pPr>
      <w:snapToGrid w:val="0"/>
      <w:jc w:val="left"/>
    </w:pPr>
  </w:style>
  <w:style w:type="paragraph" w:styleId="21">
    <w:name w:val="Balloon Text"/>
    <w:basedOn w:val="1"/>
    <w:link w:val="147"/>
    <w:qFormat/>
    <w:uiPriority w:val="0"/>
    <w:rPr>
      <w:sz w:val="18"/>
      <w:szCs w:val="18"/>
    </w:rPr>
  </w:style>
  <w:style w:type="paragraph" w:styleId="22">
    <w:name w:val="footer"/>
    <w:basedOn w:val="1"/>
    <w:link w:val="65"/>
    <w:qFormat/>
    <w:uiPriority w:val="99"/>
    <w:pPr>
      <w:snapToGrid w:val="0"/>
      <w:ind w:right="210" w:rightChars="100"/>
      <w:jc w:val="right"/>
    </w:pPr>
    <w:rPr>
      <w:sz w:val="18"/>
      <w:szCs w:val="18"/>
    </w:rPr>
  </w:style>
  <w:style w:type="paragraph" w:styleId="23">
    <w:name w:val="header"/>
    <w:basedOn w:val="1"/>
    <w:link w:val="66"/>
    <w:qFormat/>
    <w:uiPriority w:val="99"/>
    <w:pPr>
      <w:snapToGrid w:val="0"/>
      <w:jc w:val="left"/>
    </w:pPr>
    <w:rPr>
      <w:sz w:val="18"/>
      <w:szCs w:val="18"/>
    </w:rPr>
  </w:style>
  <w:style w:type="paragraph" w:styleId="24">
    <w:name w:val="toc 1"/>
    <w:basedOn w:val="1"/>
    <w:next w:val="1"/>
    <w:qFormat/>
    <w:uiPriority w:val="39"/>
    <w:pPr>
      <w:tabs>
        <w:tab w:val="right" w:leader="dot" w:pos="9241"/>
      </w:tabs>
      <w:spacing w:beforeLines="25" w:afterLines="25"/>
      <w:jc w:val="left"/>
    </w:pPr>
    <w:rPr>
      <w:rFonts w:ascii="宋体"/>
      <w:szCs w:val="21"/>
    </w:rPr>
  </w:style>
  <w:style w:type="paragraph" w:styleId="25">
    <w:name w:val="toc 4"/>
    <w:basedOn w:val="1"/>
    <w:next w:val="1"/>
    <w:semiHidden/>
    <w:qFormat/>
    <w:uiPriority w:val="0"/>
    <w:pPr>
      <w:tabs>
        <w:tab w:val="right" w:leader="dot" w:pos="9241"/>
      </w:tabs>
      <w:ind w:firstLine="198" w:firstLineChars="200"/>
      <w:jc w:val="left"/>
    </w:pPr>
    <w:rPr>
      <w:rFonts w:ascii="宋体"/>
      <w:szCs w:val="21"/>
    </w:rPr>
  </w:style>
  <w:style w:type="paragraph" w:styleId="26">
    <w:name w:val="index heading"/>
    <w:basedOn w:val="1"/>
    <w:next w:val="27"/>
    <w:qFormat/>
    <w:uiPriority w:val="0"/>
    <w:pPr>
      <w:spacing w:before="120" w:after="120"/>
      <w:jc w:val="center"/>
    </w:pPr>
    <w:rPr>
      <w:rFonts w:ascii="Calibri" w:hAnsi="Calibri"/>
      <w:b/>
      <w:bCs/>
      <w:iCs/>
      <w:szCs w:val="20"/>
    </w:rPr>
  </w:style>
  <w:style w:type="paragraph" w:styleId="27">
    <w:name w:val="index 1"/>
    <w:basedOn w:val="1"/>
    <w:next w:val="28"/>
    <w:qFormat/>
    <w:uiPriority w:val="0"/>
    <w:pPr>
      <w:tabs>
        <w:tab w:val="right" w:leader="dot" w:pos="9299"/>
      </w:tabs>
      <w:jc w:val="left"/>
    </w:pPr>
    <w:rPr>
      <w:rFonts w:ascii="宋体"/>
      <w:szCs w:val="21"/>
    </w:rPr>
  </w:style>
  <w:style w:type="paragraph" w:customStyle="1" w:styleId="28">
    <w:name w:val="段"/>
    <w:link w:val="49"/>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29">
    <w:name w:val="footnote text"/>
    <w:basedOn w:val="1"/>
    <w:qFormat/>
    <w:uiPriority w:val="0"/>
    <w:pPr>
      <w:numPr>
        <w:ilvl w:val="0"/>
        <w:numId w:val="2"/>
      </w:numPr>
      <w:snapToGrid w:val="0"/>
      <w:jc w:val="left"/>
    </w:pPr>
    <w:rPr>
      <w:rFonts w:ascii="宋体"/>
      <w:sz w:val="18"/>
      <w:szCs w:val="18"/>
    </w:rPr>
  </w:style>
  <w:style w:type="paragraph" w:styleId="30">
    <w:name w:val="toc 6"/>
    <w:basedOn w:val="1"/>
    <w:next w:val="1"/>
    <w:semiHidden/>
    <w:qFormat/>
    <w:uiPriority w:val="0"/>
    <w:pPr>
      <w:tabs>
        <w:tab w:val="right" w:leader="dot" w:pos="9241"/>
      </w:tabs>
      <w:ind w:firstLine="403" w:firstLineChars="400"/>
      <w:jc w:val="left"/>
    </w:pPr>
    <w:rPr>
      <w:rFonts w:ascii="宋体"/>
      <w:szCs w:val="21"/>
    </w:rPr>
  </w:style>
  <w:style w:type="paragraph" w:styleId="31">
    <w:name w:val="index 7"/>
    <w:basedOn w:val="1"/>
    <w:next w:val="1"/>
    <w:qFormat/>
    <w:uiPriority w:val="0"/>
    <w:pPr>
      <w:ind w:left="1470" w:hanging="210"/>
      <w:jc w:val="left"/>
    </w:pPr>
    <w:rPr>
      <w:rFonts w:ascii="Calibri" w:hAnsi="Calibri"/>
      <w:sz w:val="20"/>
      <w:szCs w:val="20"/>
    </w:rPr>
  </w:style>
  <w:style w:type="paragraph" w:styleId="32">
    <w:name w:val="index 9"/>
    <w:basedOn w:val="1"/>
    <w:next w:val="1"/>
    <w:qFormat/>
    <w:uiPriority w:val="0"/>
    <w:pPr>
      <w:ind w:left="1890" w:hanging="210"/>
      <w:jc w:val="left"/>
    </w:pPr>
    <w:rPr>
      <w:rFonts w:ascii="Calibri" w:hAnsi="Calibri"/>
      <w:sz w:val="20"/>
      <w:szCs w:val="20"/>
    </w:rPr>
  </w:style>
  <w:style w:type="paragraph" w:styleId="33">
    <w:name w:val="toc 2"/>
    <w:basedOn w:val="1"/>
    <w:next w:val="1"/>
    <w:qFormat/>
    <w:uiPriority w:val="39"/>
    <w:pPr>
      <w:tabs>
        <w:tab w:val="right" w:leader="dot" w:pos="9241"/>
      </w:tabs>
    </w:pPr>
    <w:rPr>
      <w:rFonts w:ascii="宋体"/>
      <w:szCs w:val="21"/>
    </w:rPr>
  </w:style>
  <w:style w:type="paragraph" w:styleId="34">
    <w:name w:val="toc 9"/>
    <w:basedOn w:val="1"/>
    <w:next w:val="1"/>
    <w:semiHidden/>
    <w:qFormat/>
    <w:uiPriority w:val="0"/>
    <w:pPr>
      <w:ind w:left="1470"/>
      <w:jc w:val="left"/>
    </w:pPr>
    <w:rPr>
      <w:sz w:val="20"/>
      <w:szCs w:val="20"/>
    </w:rPr>
  </w:style>
  <w:style w:type="paragraph" w:styleId="35">
    <w:name w:val="Normal (Web)"/>
    <w:basedOn w:val="1"/>
    <w:unhideWhenUsed/>
    <w:qFormat/>
    <w:uiPriority w:val="99"/>
    <w:pPr>
      <w:jc w:val="left"/>
    </w:pPr>
    <w:rPr>
      <w:kern w:val="0"/>
      <w:sz w:val="24"/>
    </w:rPr>
  </w:style>
  <w:style w:type="paragraph" w:styleId="36">
    <w:name w:val="index 2"/>
    <w:basedOn w:val="1"/>
    <w:next w:val="1"/>
    <w:qFormat/>
    <w:uiPriority w:val="0"/>
    <w:pPr>
      <w:ind w:left="420" w:hanging="210"/>
      <w:jc w:val="left"/>
    </w:pPr>
    <w:rPr>
      <w:rFonts w:ascii="Calibri" w:hAnsi="Calibri"/>
      <w:sz w:val="20"/>
      <w:szCs w:val="20"/>
    </w:rPr>
  </w:style>
  <w:style w:type="paragraph" w:styleId="37">
    <w:name w:val="annotation subject"/>
    <w:basedOn w:val="12"/>
    <w:next w:val="12"/>
    <w:link w:val="149"/>
    <w:qFormat/>
    <w:uiPriority w:val="0"/>
    <w:rPr>
      <w:b/>
      <w:bCs/>
    </w:rPr>
  </w:style>
  <w:style w:type="table" w:styleId="39">
    <w:name w:val="Table Grid"/>
    <w:basedOn w:val="38"/>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rPr>
  </w:style>
  <w:style w:type="character" w:styleId="42">
    <w:name w:val="endnote reference"/>
    <w:semiHidden/>
    <w:qFormat/>
    <w:uiPriority w:val="0"/>
    <w:rPr>
      <w:vertAlign w:val="superscript"/>
    </w:rPr>
  </w:style>
  <w:style w:type="character" w:styleId="43">
    <w:name w:val="page number"/>
    <w:qFormat/>
    <w:uiPriority w:val="0"/>
    <w:rPr>
      <w:rFonts w:ascii="Times New Roman" w:hAnsi="Times New Roman" w:eastAsia="宋体"/>
      <w:sz w:val="18"/>
    </w:rPr>
  </w:style>
  <w:style w:type="character" w:styleId="44">
    <w:name w:val="FollowedHyperlink"/>
    <w:qFormat/>
    <w:uiPriority w:val="0"/>
    <w:rPr>
      <w:color w:val="800080"/>
      <w:u w:val="single"/>
    </w:rPr>
  </w:style>
  <w:style w:type="character" w:styleId="45">
    <w:name w:val="Hyperlink"/>
    <w:qFormat/>
    <w:uiPriority w:val="99"/>
    <w:rPr>
      <w:color w:val="0000FF"/>
      <w:spacing w:val="0"/>
      <w:w w:val="100"/>
      <w:szCs w:val="21"/>
      <w:u w:val="single"/>
    </w:rPr>
  </w:style>
  <w:style w:type="character" w:styleId="46">
    <w:name w:val="annotation reference"/>
    <w:qFormat/>
    <w:uiPriority w:val="0"/>
    <w:rPr>
      <w:sz w:val="21"/>
      <w:szCs w:val="21"/>
    </w:rPr>
  </w:style>
  <w:style w:type="character" w:styleId="47">
    <w:name w:val="footnote reference"/>
    <w:semiHidden/>
    <w:qFormat/>
    <w:uiPriority w:val="0"/>
    <w:rPr>
      <w:vertAlign w:val="superscript"/>
    </w:rPr>
  </w:style>
  <w:style w:type="character" w:customStyle="1" w:styleId="48">
    <w:name w:val="标题 1 Char"/>
    <w:basedOn w:val="40"/>
    <w:link w:val="3"/>
    <w:qFormat/>
    <w:uiPriority w:val="0"/>
    <w:rPr>
      <w:b/>
      <w:bCs/>
      <w:kern w:val="44"/>
      <w:sz w:val="44"/>
      <w:szCs w:val="44"/>
    </w:rPr>
  </w:style>
  <w:style w:type="character" w:customStyle="1" w:styleId="49">
    <w:name w:val="段 Char"/>
    <w:link w:val="28"/>
    <w:qFormat/>
    <w:uiPriority w:val="0"/>
    <w:rPr>
      <w:rFonts w:ascii="宋体"/>
      <w:sz w:val="21"/>
      <w:lang w:val="en-US" w:eastAsia="zh-CN" w:bidi="ar-SA"/>
    </w:rPr>
  </w:style>
  <w:style w:type="paragraph" w:customStyle="1" w:styleId="50">
    <w:name w:val="一级条标题"/>
    <w:next w:val="28"/>
    <w:qFormat/>
    <w:uiPriority w:val="0"/>
    <w:pPr>
      <w:numPr>
        <w:ilvl w:val="1"/>
        <w:numId w:val="3"/>
      </w:numPr>
      <w:spacing w:beforeLines="50" w:afterLines="50"/>
      <w:outlineLvl w:val="2"/>
    </w:pPr>
    <w:rPr>
      <w:rFonts w:ascii="黑体" w:hAnsi="Times New Roman" w:eastAsia="黑体" w:cs="Times New Roman"/>
      <w:sz w:val="21"/>
      <w:szCs w:val="21"/>
      <w:lang w:val="en-US" w:eastAsia="zh-CN" w:bidi="ar-SA"/>
    </w:rPr>
  </w:style>
  <w:style w:type="paragraph" w:customStyle="1" w:styleId="51">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52">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53">
    <w:name w:val="章标题"/>
    <w:next w:val="28"/>
    <w:qFormat/>
    <w:uiPriority w:val="0"/>
    <w:pPr>
      <w:numPr>
        <w:ilvl w:val="0"/>
        <w:numId w:val="3"/>
      </w:numPr>
      <w:spacing w:beforeLines="100" w:afterLines="100"/>
      <w:jc w:val="both"/>
      <w:outlineLvl w:val="1"/>
    </w:pPr>
    <w:rPr>
      <w:rFonts w:ascii="黑体" w:hAnsi="Times New Roman" w:eastAsia="黑体" w:cs="Times New Roman"/>
      <w:sz w:val="21"/>
      <w:lang w:val="en-US" w:eastAsia="zh-CN" w:bidi="ar-SA"/>
    </w:rPr>
  </w:style>
  <w:style w:type="paragraph" w:customStyle="1" w:styleId="54">
    <w:name w:val="二级条标题"/>
    <w:basedOn w:val="50"/>
    <w:next w:val="28"/>
    <w:qFormat/>
    <w:uiPriority w:val="0"/>
    <w:pPr>
      <w:numPr>
        <w:ilvl w:val="2"/>
      </w:numPr>
      <w:spacing w:before="50" w:after="50"/>
      <w:outlineLvl w:val="3"/>
    </w:pPr>
  </w:style>
  <w:style w:type="paragraph" w:customStyle="1" w:styleId="55">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56">
    <w:name w:val="列项——（一级）"/>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57">
    <w:name w:val="列项●（二级）"/>
    <w:qFormat/>
    <w:uiPriority w:val="0"/>
    <w:pPr>
      <w:numPr>
        <w:ilvl w:val="1"/>
        <w:numId w:val="4"/>
      </w:numPr>
      <w:tabs>
        <w:tab w:val="left" w:pos="840"/>
      </w:tabs>
      <w:jc w:val="both"/>
    </w:pPr>
    <w:rPr>
      <w:rFonts w:ascii="宋体" w:hAnsi="Times New Roman" w:eastAsia="宋体" w:cs="Times New Roman"/>
      <w:sz w:val="21"/>
      <w:lang w:val="en-US" w:eastAsia="zh-CN" w:bidi="ar-SA"/>
    </w:rPr>
  </w:style>
  <w:style w:type="paragraph" w:customStyle="1" w:styleId="58">
    <w:name w:val="目次、标准名称标题"/>
    <w:basedOn w:val="1"/>
    <w:next w:val="28"/>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59">
    <w:name w:val="三级条标题"/>
    <w:basedOn w:val="54"/>
    <w:next w:val="28"/>
    <w:qFormat/>
    <w:uiPriority w:val="0"/>
    <w:pPr>
      <w:numPr>
        <w:ilvl w:val="3"/>
      </w:numPr>
      <w:outlineLvl w:val="4"/>
    </w:pPr>
  </w:style>
  <w:style w:type="paragraph" w:customStyle="1" w:styleId="60">
    <w:name w:val="示例"/>
    <w:next w:val="61"/>
    <w:qFormat/>
    <w:uiPriority w:val="0"/>
    <w:pPr>
      <w:widowControl w:val="0"/>
      <w:numPr>
        <w:ilvl w:val="0"/>
        <w:numId w:val="5"/>
      </w:numPr>
      <w:jc w:val="both"/>
    </w:pPr>
    <w:rPr>
      <w:rFonts w:ascii="宋体" w:hAnsi="Times New Roman" w:eastAsia="宋体" w:cs="Times New Roman"/>
      <w:sz w:val="18"/>
      <w:szCs w:val="18"/>
      <w:lang w:val="en-US" w:eastAsia="zh-CN" w:bidi="ar-SA"/>
    </w:rPr>
  </w:style>
  <w:style w:type="paragraph" w:customStyle="1" w:styleId="61">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62">
    <w:name w:val="数字编号列项（二级）"/>
    <w:qFormat/>
    <w:uiPriority w:val="0"/>
    <w:pPr>
      <w:numPr>
        <w:ilvl w:val="1"/>
        <w:numId w:val="6"/>
      </w:numPr>
      <w:jc w:val="both"/>
    </w:pPr>
    <w:rPr>
      <w:rFonts w:ascii="宋体" w:hAnsi="Times New Roman" w:eastAsia="宋体" w:cs="Times New Roman"/>
      <w:sz w:val="21"/>
      <w:lang w:val="en-US" w:eastAsia="zh-CN" w:bidi="ar-SA"/>
    </w:rPr>
  </w:style>
  <w:style w:type="paragraph" w:customStyle="1" w:styleId="63">
    <w:name w:val="四级条标题"/>
    <w:basedOn w:val="59"/>
    <w:next w:val="28"/>
    <w:qFormat/>
    <w:uiPriority w:val="0"/>
    <w:pPr>
      <w:numPr>
        <w:ilvl w:val="4"/>
      </w:numPr>
      <w:outlineLvl w:val="5"/>
    </w:pPr>
  </w:style>
  <w:style w:type="paragraph" w:customStyle="1" w:styleId="64">
    <w:name w:val="五级条标题"/>
    <w:basedOn w:val="63"/>
    <w:next w:val="28"/>
    <w:qFormat/>
    <w:uiPriority w:val="0"/>
    <w:pPr>
      <w:numPr>
        <w:ilvl w:val="5"/>
      </w:numPr>
      <w:outlineLvl w:val="6"/>
    </w:pPr>
  </w:style>
  <w:style w:type="character" w:customStyle="1" w:styleId="65">
    <w:name w:val="页脚 Char"/>
    <w:link w:val="22"/>
    <w:qFormat/>
    <w:uiPriority w:val="99"/>
    <w:rPr>
      <w:kern w:val="2"/>
      <w:sz w:val="18"/>
      <w:szCs w:val="18"/>
    </w:rPr>
  </w:style>
  <w:style w:type="character" w:customStyle="1" w:styleId="66">
    <w:name w:val="页眉 Char"/>
    <w:basedOn w:val="40"/>
    <w:link w:val="23"/>
    <w:qFormat/>
    <w:uiPriority w:val="99"/>
    <w:rPr>
      <w:kern w:val="2"/>
      <w:sz w:val="18"/>
      <w:szCs w:val="18"/>
    </w:rPr>
  </w:style>
  <w:style w:type="paragraph" w:customStyle="1" w:styleId="67">
    <w:name w:val="注："/>
    <w:next w:val="28"/>
    <w:qFormat/>
    <w:uiPriority w:val="0"/>
    <w:pPr>
      <w:widowControl w:val="0"/>
      <w:numPr>
        <w:ilvl w:val="0"/>
        <w:numId w:val="7"/>
      </w:numPr>
      <w:autoSpaceDE w:val="0"/>
      <w:autoSpaceDN w:val="0"/>
      <w:jc w:val="both"/>
    </w:pPr>
    <w:rPr>
      <w:rFonts w:ascii="宋体" w:hAnsi="Times New Roman" w:eastAsia="宋体" w:cs="Times New Roman"/>
      <w:sz w:val="18"/>
      <w:szCs w:val="18"/>
      <w:lang w:val="en-US" w:eastAsia="zh-CN" w:bidi="ar-SA"/>
    </w:rPr>
  </w:style>
  <w:style w:type="paragraph" w:customStyle="1" w:styleId="68">
    <w:name w:val="注×："/>
    <w:qFormat/>
    <w:uiPriority w:val="0"/>
    <w:pPr>
      <w:widowControl w:val="0"/>
      <w:numPr>
        <w:ilvl w:val="0"/>
        <w:numId w:val="8"/>
      </w:numPr>
      <w:autoSpaceDE w:val="0"/>
      <w:autoSpaceDN w:val="0"/>
      <w:jc w:val="both"/>
    </w:pPr>
    <w:rPr>
      <w:rFonts w:ascii="宋体" w:hAnsi="Times New Roman" w:eastAsia="宋体" w:cs="Times New Roman"/>
      <w:sz w:val="18"/>
      <w:szCs w:val="18"/>
      <w:lang w:val="en-US" w:eastAsia="zh-CN" w:bidi="ar-SA"/>
    </w:rPr>
  </w:style>
  <w:style w:type="paragraph" w:customStyle="1" w:styleId="69">
    <w:name w:val="字母编号列项（一级）"/>
    <w:qFormat/>
    <w:uiPriority w:val="0"/>
    <w:pPr>
      <w:numPr>
        <w:ilvl w:val="0"/>
        <w:numId w:val="6"/>
      </w:numPr>
      <w:jc w:val="both"/>
    </w:pPr>
    <w:rPr>
      <w:rFonts w:ascii="宋体" w:hAnsi="Times New Roman" w:eastAsia="宋体" w:cs="Times New Roman"/>
      <w:sz w:val="21"/>
      <w:lang w:val="en-US" w:eastAsia="zh-CN" w:bidi="ar-SA"/>
    </w:rPr>
  </w:style>
  <w:style w:type="paragraph" w:customStyle="1" w:styleId="70">
    <w:name w:val="列项◆（三级）"/>
    <w:basedOn w:val="1"/>
    <w:qFormat/>
    <w:uiPriority w:val="0"/>
    <w:pPr>
      <w:numPr>
        <w:ilvl w:val="2"/>
        <w:numId w:val="4"/>
      </w:numPr>
    </w:pPr>
    <w:rPr>
      <w:rFonts w:ascii="宋体"/>
      <w:szCs w:val="21"/>
    </w:rPr>
  </w:style>
  <w:style w:type="paragraph" w:customStyle="1" w:styleId="71">
    <w:name w:val="编号列项（三级）"/>
    <w:qFormat/>
    <w:uiPriority w:val="0"/>
    <w:pPr>
      <w:numPr>
        <w:ilvl w:val="2"/>
        <w:numId w:val="6"/>
      </w:numPr>
    </w:pPr>
    <w:rPr>
      <w:rFonts w:ascii="宋体" w:hAnsi="Times New Roman" w:eastAsia="宋体" w:cs="Times New Roman"/>
      <w:sz w:val="21"/>
      <w:lang w:val="en-US" w:eastAsia="zh-CN" w:bidi="ar-SA"/>
    </w:rPr>
  </w:style>
  <w:style w:type="paragraph" w:customStyle="1" w:styleId="72">
    <w:name w:val="示例×："/>
    <w:basedOn w:val="53"/>
    <w:qFormat/>
    <w:uiPriority w:val="0"/>
    <w:pPr>
      <w:numPr>
        <w:numId w:val="9"/>
      </w:numPr>
      <w:spacing w:beforeLines="0" w:afterLines="0"/>
      <w:outlineLvl w:val="9"/>
    </w:pPr>
    <w:rPr>
      <w:rFonts w:ascii="宋体" w:eastAsia="宋体"/>
      <w:sz w:val="18"/>
      <w:szCs w:val="18"/>
    </w:rPr>
  </w:style>
  <w:style w:type="paragraph" w:customStyle="1" w:styleId="73">
    <w:name w:val="二级无"/>
    <w:basedOn w:val="54"/>
    <w:qFormat/>
    <w:uiPriority w:val="0"/>
    <w:pPr>
      <w:spacing w:beforeLines="0" w:afterLines="0"/>
    </w:pPr>
    <w:rPr>
      <w:rFonts w:ascii="宋体" w:eastAsia="宋体"/>
    </w:rPr>
  </w:style>
  <w:style w:type="paragraph" w:customStyle="1" w:styleId="74">
    <w:name w:val="注：（正文）"/>
    <w:basedOn w:val="67"/>
    <w:next w:val="28"/>
    <w:qFormat/>
    <w:uiPriority w:val="0"/>
  </w:style>
  <w:style w:type="paragraph" w:customStyle="1" w:styleId="75">
    <w:name w:val="注×：（正文）"/>
    <w:qFormat/>
    <w:uiPriority w:val="0"/>
    <w:pPr>
      <w:numPr>
        <w:ilvl w:val="0"/>
        <w:numId w:val="10"/>
      </w:numPr>
      <w:jc w:val="both"/>
    </w:pPr>
    <w:rPr>
      <w:rFonts w:ascii="宋体" w:hAnsi="Times New Roman" w:eastAsia="宋体" w:cs="Times New Roman"/>
      <w:sz w:val="18"/>
      <w:szCs w:val="18"/>
      <w:lang w:val="en-US" w:eastAsia="zh-CN" w:bidi="ar-SA"/>
    </w:rPr>
  </w:style>
  <w:style w:type="paragraph" w:customStyle="1" w:styleId="76">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77">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78">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79">
    <w:name w:val="标准书眉_偶数页"/>
    <w:basedOn w:val="52"/>
    <w:next w:val="1"/>
    <w:qFormat/>
    <w:uiPriority w:val="0"/>
    <w:pPr>
      <w:jc w:val="left"/>
    </w:pPr>
  </w:style>
  <w:style w:type="paragraph" w:customStyle="1" w:styleId="80">
    <w:name w:val="标准书眉一"/>
    <w:qFormat/>
    <w:uiPriority w:val="0"/>
    <w:pPr>
      <w:jc w:val="both"/>
    </w:pPr>
    <w:rPr>
      <w:rFonts w:ascii="Times New Roman" w:hAnsi="Times New Roman" w:eastAsia="宋体" w:cs="Times New Roman"/>
      <w:lang w:val="en-US" w:eastAsia="zh-CN" w:bidi="ar-SA"/>
    </w:rPr>
  </w:style>
  <w:style w:type="paragraph" w:customStyle="1" w:styleId="81">
    <w:name w:val="参考文献"/>
    <w:basedOn w:val="1"/>
    <w:next w:val="28"/>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82">
    <w:name w:val="参考文献、索引标题"/>
    <w:basedOn w:val="1"/>
    <w:next w:val="28"/>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83">
    <w:name w:val="发布"/>
    <w:qFormat/>
    <w:uiPriority w:val="0"/>
    <w:rPr>
      <w:rFonts w:ascii="黑体" w:eastAsia="黑体"/>
      <w:spacing w:val="85"/>
      <w:w w:val="100"/>
      <w:position w:val="3"/>
      <w:sz w:val="28"/>
      <w:szCs w:val="28"/>
    </w:rPr>
  </w:style>
  <w:style w:type="paragraph" w:customStyle="1" w:styleId="84">
    <w:name w:val="发布部门"/>
    <w:next w:val="28"/>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85">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86">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87">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88">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89">
    <w:name w:val="封面标准英文名称"/>
    <w:basedOn w:val="88"/>
    <w:qFormat/>
    <w:uiPriority w:val="0"/>
    <w:pPr>
      <w:spacing w:before="370" w:line="400" w:lineRule="exact"/>
    </w:pPr>
    <w:rPr>
      <w:rFonts w:ascii="Times New Roman"/>
      <w:sz w:val="28"/>
      <w:szCs w:val="28"/>
    </w:rPr>
  </w:style>
  <w:style w:type="paragraph" w:customStyle="1" w:styleId="90">
    <w:name w:val="封面一致性程度标识"/>
    <w:basedOn w:val="89"/>
    <w:qFormat/>
    <w:uiPriority w:val="0"/>
    <w:pPr>
      <w:spacing w:before="440"/>
    </w:pPr>
    <w:rPr>
      <w:rFonts w:ascii="宋体" w:eastAsia="宋体"/>
    </w:rPr>
  </w:style>
  <w:style w:type="paragraph" w:customStyle="1" w:styleId="91">
    <w:name w:val="封面标准文稿类别"/>
    <w:basedOn w:val="90"/>
    <w:qFormat/>
    <w:uiPriority w:val="0"/>
    <w:pPr>
      <w:spacing w:after="160" w:line="240" w:lineRule="auto"/>
    </w:pPr>
    <w:rPr>
      <w:sz w:val="24"/>
    </w:rPr>
  </w:style>
  <w:style w:type="paragraph" w:customStyle="1" w:styleId="92">
    <w:name w:val="封面标准文稿编辑信息"/>
    <w:basedOn w:val="91"/>
    <w:qFormat/>
    <w:uiPriority w:val="0"/>
    <w:pPr>
      <w:spacing w:before="180" w:line="180" w:lineRule="exact"/>
    </w:pPr>
    <w:rPr>
      <w:sz w:val="21"/>
    </w:rPr>
  </w:style>
  <w:style w:type="paragraph" w:customStyle="1" w:styleId="93">
    <w:name w:val="封面正文"/>
    <w:qFormat/>
    <w:uiPriority w:val="0"/>
    <w:pPr>
      <w:jc w:val="both"/>
    </w:pPr>
    <w:rPr>
      <w:rFonts w:ascii="Times New Roman" w:hAnsi="Times New Roman" w:eastAsia="宋体" w:cs="Times New Roman"/>
      <w:lang w:val="en-US" w:eastAsia="zh-CN" w:bidi="ar-SA"/>
    </w:rPr>
  </w:style>
  <w:style w:type="paragraph" w:customStyle="1" w:styleId="94">
    <w:name w:val="附录标识"/>
    <w:basedOn w:val="1"/>
    <w:next w:val="28"/>
    <w:qFormat/>
    <w:uiPriority w:val="0"/>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95">
    <w:name w:val="附录标题"/>
    <w:basedOn w:val="28"/>
    <w:next w:val="28"/>
    <w:qFormat/>
    <w:uiPriority w:val="0"/>
    <w:pPr>
      <w:ind w:firstLine="0" w:firstLineChars="0"/>
      <w:jc w:val="center"/>
    </w:pPr>
    <w:rPr>
      <w:rFonts w:ascii="黑体" w:eastAsia="黑体"/>
    </w:rPr>
  </w:style>
  <w:style w:type="paragraph" w:customStyle="1" w:styleId="96">
    <w:name w:val="附录表标号"/>
    <w:basedOn w:val="1"/>
    <w:next w:val="28"/>
    <w:qFormat/>
    <w:uiPriority w:val="0"/>
    <w:pPr>
      <w:numPr>
        <w:ilvl w:val="0"/>
        <w:numId w:val="12"/>
      </w:numPr>
      <w:tabs>
        <w:tab w:val="clear" w:pos="0"/>
      </w:tabs>
      <w:spacing w:line="14" w:lineRule="exact"/>
      <w:ind w:left="811" w:hanging="448"/>
      <w:jc w:val="center"/>
      <w:outlineLvl w:val="0"/>
    </w:pPr>
    <w:rPr>
      <w:color w:val="FFFFFF"/>
    </w:rPr>
  </w:style>
  <w:style w:type="paragraph" w:customStyle="1" w:styleId="97">
    <w:name w:val="附录表标题"/>
    <w:basedOn w:val="1"/>
    <w:next w:val="28"/>
    <w:qFormat/>
    <w:uiPriority w:val="0"/>
    <w:pPr>
      <w:numPr>
        <w:ilvl w:val="1"/>
        <w:numId w:val="12"/>
      </w:numPr>
      <w:tabs>
        <w:tab w:val="left" w:pos="180"/>
      </w:tabs>
      <w:spacing w:beforeLines="50" w:afterLines="50"/>
      <w:ind w:left="0" w:firstLine="0"/>
      <w:jc w:val="center"/>
    </w:pPr>
    <w:rPr>
      <w:rFonts w:ascii="黑体" w:eastAsia="黑体"/>
      <w:szCs w:val="21"/>
    </w:rPr>
  </w:style>
  <w:style w:type="paragraph" w:customStyle="1" w:styleId="98">
    <w:name w:val="附录二级条标题"/>
    <w:basedOn w:val="1"/>
    <w:next w:val="28"/>
    <w:qFormat/>
    <w:uiPriority w:val="0"/>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99">
    <w:name w:val="附录二级无"/>
    <w:basedOn w:val="98"/>
    <w:qFormat/>
    <w:uiPriority w:val="0"/>
    <w:pPr>
      <w:tabs>
        <w:tab w:val="clear" w:pos="360"/>
      </w:tabs>
      <w:spacing w:beforeLines="0" w:afterLines="0"/>
    </w:pPr>
    <w:rPr>
      <w:rFonts w:ascii="宋体" w:eastAsia="宋体"/>
      <w:szCs w:val="21"/>
    </w:rPr>
  </w:style>
  <w:style w:type="paragraph" w:customStyle="1" w:styleId="100">
    <w:name w:val="附录公式"/>
    <w:basedOn w:val="28"/>
    <w:next w:val="28"/>
    <w:link w:val="101"/>
    <w:qFormat/>
    <w:uiPriority w:val="0"/>
  </w:style>
  <w:style w:type="character" w:customStyle="1" w:styleId="101">
    <w:name w:val="附录公式 Char"/>
    <w:basedOn w:val="49"/>
    <w:link w:val="100"/>
    <w:qFormat/>
    <w:uiPriority w:val="0"/>
    <w:rPr>
      <w:rFonts w:ascii="宋体"/>
      <w:sz w:val="21"/>
      <w:lang w:val="en-US" w:eastAsia="zh-CN" w:bidi="ar-SA"/>
    </w:rPr>
  </w:style>
  <w:style w:type="paragraph" w:customStyle="1" w:styleId="102">
    <w:name w:val="附录公式编号制表符"/>
    <w:basedOn w:val="1"/>
    <w:next w:val="28"/>
    <w:qFormat/>
    <w:uiPriority w:val="0"/>
    <w:pPr>
      <w:widowControl/>
      <w:tabs>
        <w:tab w:val="center" w:pos="4201"/>
        <w:tab w:val="right" w:leader="dot" w:pos="9298"/>
      </w:tabs>
      <w:autoSpaceDE w:val="0"/>
      <w:autoSpaceDN w:val="0"/>
    </w:pPr>
    <w:rPr>
      <w:rFonts w:ascii="宋体"/>
      <w:kern w:val="0"/>
      <w:szCs w:val="20"/>
    </w:rPr>
  </w:style>
  <w:style w:type="paragraph" w:customStyle="1" w:styleId="103">
    <w:name w:val="附录三级条标题"/>
    <w:basedOn w:val="98"/>
    <w:next w:val="28"/>
    <w:qFormat/>
    <w:uiPriority w:val="0"/>
    <w:pPr>
      <w:numPr>
        <w:ilvl w:val="4"/>
      </w:numPr>
      <w:outlineLvl w:val="4"/>
    </w:pPr>
  </w:style>
  <w:style w:type="paragraph" w:customStyle="1" w:styleId="104">
    <w:name w:val="附录三级无"/>
    <w:basedOn w:val="103"/>
    <w:qFormat/>
    <w:uiPriority w:val="0"/>
    <w:pPr>
      <w:tabs>
        <w:tab w:val="clear" w:pos="360"/>
      </w:tabs>
      <w:spacing w:beforeLines="0" w:afterLines="0"/>
    </w:pPr>
    <w:rPr>
      <w:rFonts w:ascii="宋体" w:eastAsia="宋体"/>
      <w:szCs w:val="21"/>
    </w:rPr>
  </w:style>
  <w:style w:type="paragraph" w:customStyle="1" w:styleId="105">
    <w:name w:val="附录数字编号列项（二级）"/>
    <w:qFormat/>
    <w:uiPriority w:val="0"/>
    <w:pPr>
      <w:numPr>
        <w:ilvl w:val="1"/>
        <w:numId w:val="13"/>
      </w:numPr>
    </w:pPr>
    <w:rPr>
      <w:rFonts w:ascii="宋体" w:hAnsi="Times New Roman" w:eastAsia="宋体" w:cs="Times New Roman"/>
      <w:sz w:val="21"/>
      <w:lang w:val="en-US" w:eastAsia="zh-CN" w:bidi="ar-SA"/>
    </w:rPr>
  </w:style>
  <w:style w:type="paragraph" w:customStyle="1" w:styleId="106">
    <w:name w:val="附录四级条标题"/>
    <w:basedOn w:val="103"/>
    <w:next w:val="28"/>
    <w:qFormat/>
    <w:uiPriority w:val="0"/>
    <w:pPr>
      <w:numPr>
        <w:ilvl w:val="5"/>
      </w:numPr>
      <w:outlineLvl w:val="5"/>
    </w:pPr>
  </w:style>
  <w:style w:type="paragraph" w:customStyle="1" w:styleId="107">
    <w:name w:val="附录四级无"/>
    <w:basedOn w:val="106"/>
    <w:qFormat/>
    <w:uiPriority w:val="0"/>
    <w:pPr>
      <w:tabs>
        <w:tab w:val="clear" w:pos="360"/>
      </w:tabs>
      <w:spacing w:beforeLines="0" w:afterLines="0"/>
    </w:pPr>
    <w:rPr>
      <w:rFonts w:ascii="宋体" w:eastAsia="宋体"/>
      <w:szCs w:val="21"/>
    </w:rPr>
  </w:style>
  <w:style w:type="paragraph" w:customStyle="1" w:styleId="108">
    <w:name w:val="附录图标号"/>
    <w:basedOn w:val="1"/>
    <w:qFormat/>
    <w:uiPriority w:val="0"/>
    <w:pPr>
      <w:keepNext/>
      <w:pageBreakBefore/>
      <w:widowControl/>
      <w:numPr>
        <w:ilvl w:val="0"/>
        <w:numId w:val="14"/>
      </w:numPr>
      <w:spacing w:line="14" w:lineRule="exact"/>
      <w:ind w:left="0" w:firstLine="363"/>
      <w:jc w:val="center"/>
      <w:outlineLvl w:val="0"/>
    </w:pPr>
    <w:rPr>
      <w:color w:val="FFFFFF"/>
    </w:rPr>
  </w:style>
  <w:style w:type="paragraph" w:customStyle="1" w:styleId="109">
    <w:name w:val="附录图标题"/>
    <w:basedOn w:val="1"/>
    <w:next w:val="28"/>
    <w:qFormat/>
    <w:uiPriority w:val="0"/>
    <w:pPr>
      <w:numPr>
        <w:ilvl w:val="1"/>
        <w:numId w:val="14"/>
      </w:numPr>
      <w:tabs>
        <w:tab w:val="left" w:pos="363"/>
      </w:tabs>
      <w:spacing w:beforeLines="50" w:afterLines="50"/>
      <w:ind w:left="0" w:firstLine="0"/>
      <w:jc w:val="center"/>
    </w:pPr>
    <w:rPr>
      <w:rFonts w:ascii="黑体" w:eastAsia="黑体"/>
      <w:szCs w:val="21"/>
    </w:rPr>
  </w:style>
  <w:style w:type="paragraph" w:customStyle="1" w:styleId="110">
    <w:name w:val="附录五级条标题"/>
    <w:basedOn w:val="106"/>
    <w:next w:val="28"/>
    <w:qFormat/>
    <w:uiPriority w:val="0"/>
    <w:pPr>
      <w:numPr>
        <w:ilvl w:val="0"/>
        <w:numId w:val="0"/>
      </w:numPr>
      <w:outlineLvl w:val="6"/>
    </w:pPr>
  </w:style>
  <w:style w:type="paragraph" w:customStyle="1" w:styleId="111">
    <w:name w:val="附录五级无"/>
    <w:basedOn w:val="110"/>
    <w:qFormat/>
    <w:uiPriority w:val="0"/>
    <w:pPr>
      <w:tabs>
        <w:tab w:val="clear" w:pos="360"/>
      </w:tabs>
      <w:spacing w:beforeLines="0" w:afterLines="0"/>
    </w:pPr>
    <w:rPr>
      <w:rFonts w:ascii="宋体" w:eastAsia="宋体"/>
      <w:szCs w:val="21"/>
    </w:rPr>
  </w:style>
  <w:style w:type="paragraph" w:customStyle="1" w:styleId="112">
    <w:name w:val="附录章标题"/>
    <w:next w:val="28"/>
    <w:qFormat/>
    <w:uiPriority w:val="0"/>
    <w:pPr>
      <w:numPr>
        <w:ilvl w:val="1"/>
        <w:numId w:val="11"/>
      </w:numPr>
      <w:tabs>
        <w:tab w:val="left" w:pos="360"/>
      </w:tabs>
      <w:wordWrap w:val="0"/>
      <w:overflowPunct w:val="0"/>
      <w:autoSpaceDE w:val="0"/>
      <w:spacing w:beforeLines="100" w:afterLines="100"/>
      <w:ind w:left="0"/>
      <w:jc w:val="both"/>
      <w:textAlignment w:val="baseline"/>
      <w:outlineLvl w:val="1"/>
    </w:pPr>
    <w:rPr>
      <w:rFonts w:ascii="黑体" w:hAnsi="Times New Roman" w:eastAsia="黑体" w:cs="Times New Roman"/>
      <w:kern w:val="21"/>
      <w:sz w:val="21"/>
      <w:lang w:val="en-US" w:eastAsia="zh-CN" w:bidi="ar-SA"/>
    </w:rPr>
  </w:style>
  <w:style w:type="paragraph" w:customStyle="1" w:styleId="113">
    <w:name w:val="附录一级条标题"/>
    <w:basedOn w:val="112"/>
    <w:next w:val="28"/>
    <w:qFormat/>
    <w:uiPriority w:val="0"/>
    <w:pPr>
      <w:numPr>
        <w:ilvl w:val="0"/>
        <w:numId w:val="0"/>
      </w:numPr>
      <w:autoSpaceDN w:val="0"/>
      <w:spacing w:beforeLines="50" w:afterLines="50"/>
      <w:outlineLvl w:val="2"/>
    </w:pPr>
  </w:style>
  <w:style w:type="paragraph" w:customStyle="1" w:styleId="114">
    <w:name w:val="附录一级无"/>
    <w:basedOn w:val="113"/>
    <w:qFormat/>
    <w:uiPriority w:val="0"/>
    <w:pPr>
      <w:tabs>
        <w:tab w:val="clear" w:pos="360"/>
      </w:tabs>
      <w:spacing w:beforeLines="0" w:afterLines="0"/>
    </w:pPr>
    <w:rPr>
      <w:rFonts w:ascii="宋体" w:eastAsia="宋体"/>
      <w:szCs w:val="21"/>
    </w:rPr>
  </w:style>
  <w:style w:type="paragraph" w:customStyle="1" w:styleId="115">
    <w:name w:val="附录字母编号列项（一级）"/>
    <w:qFormat/>
    <w:uiPriority w:val="0"/>
    <w:pPr>
      <w:numPr>
        <w:ilvl w:val="0"/>
        <w:numId w:val="13"/>
      </w:numPr>
    </w:pPr>
    <w:rPr>
      <w:rFonts w:ascii="宋体" w:hAnsi="Times New Roman" w:eastAsia="宋体" w:cs="Times New Roman"/>
      <w:sz w:val="21"/>
      <w:lang w:val="en-US" w:eastAsia="zh-CN" w:bidi="ar-SA"/>
    </w:rPr>
  </w:style>
  <w:style w:type="paragraph" w:customStyle="1" w:styleId="116">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17">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1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19">
    <w:name w:val="其他标准标志"/>
    <w:basedOn w:val="76"/>
    <w:qFormat/>
    <w:uiPriority w:val="0"/>
    <w:pPr>
      <w:framePr w:w="6101" w:vAnchor="page" w:hAnchor="page" w:x="4673" w:y="942"/>
    </w:pPr>
    <w:rPr>
      <w:w w:val="130"/>
    </w:rPr>
  </w:style>
  <w:style w:type="paragraph" w:customStyle="1" w:styleId="120">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21">
    <w:name w:val="其他发布部门"/>
    <w:basedOn w:val="84"/>
    <w:qFormat/>
    <w:uiPriority w:val="0"/>
    <w:pPr>
      <w:framePr w:y="15310"/>
      <w:spacing w:line="0" w:lineRule="atLeast"/>
    </w:pPr>
    <w:rPr>
      <w:rFonts w:ascii="黑体" w:eastAsia="黑体"/>
      <w:b w:val="0"/>
    </w:rPr>
  </w:style>
  <w:style w:type="paragraph" w:customStyle="1" w:styleId="122">
    <w:name w:val="前言、引言标题"/>
    <w:next w:val="28"/>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23">
    <w:name w:val="三级无"/>
    <w:basedOn w:val="59"/>
    <w:qFormat/>
    <w:uiPriority w:val="0"/>
    <w:pPr>
      <w:spacing w:beforeLines="0" w:afterLines="0"/>
    </w:pPr>
    <w:rPr>
      <w:rFonts w:ascii="宋体" w:eastAsia="宋体"/>
    </w:rPr>
  </w:style>
  <w:style w:type="paragraph" w:customStyle="1" w:styleId="124">
    <w:name w:val="实施日期"/>
    <w:basedOn w:val="85"/>
    <w:qFormat/>
    <w:uiPriority w:val="0"/>
    <w:pPr>
      <w:framePr w:vAnchor="page" w:hAnchor="text"/>
      <w:jc w:val="right"/>
    </w:pPr>
  </w:style>
  <w:style w:type="paragraph" w:customStyle="1" w:styleId="125">
    <w:name w:val="示例后文字"/>
    <w:basedOn w:val="28"/>
    <w:next w:val="28"/>
    <w:qFormat/>
    <w:uiPriority w:val="0"/>
    <w:pPr>
      <w:ind w:firstLine="360"/>
    </w:pPr>
    <w:rPr>
      <w:sz w:val="18"/>
    </w:rPr>
  </w:style>
  <w:style w:type="paragraph" w:customStyle="1" w:styleId="126">
    <w:name w:val="首示例"/>
    <w:next w:val="28"/>
    <w:link w:val="127"/>
    <w:qFormat/>
    <w:uiPriority w:val="0"/>
    <w:pPr>
      <w:numPr>
        <w:ilvl w:val="0"/>
        <w:numId w:val="15"/>
      </w:numPr>
      <w:tabs>
        <w:tab w:val="left" w:pos="360"/>
      </w:tabs>
      <w:ind w:firstLine="0"/>
    </w:pPr>
    <w:rPr>
      <w:rFonts w:ascii="宋体" w:hAnsi="宋体" w:eastAsia="宋体" w:cs="Times New Roman"/>
      <w:kern w:val="2"/>
      <w:sz w:val="18"/>
      <w:szCs w:val="18"/>
      <w:lang w:val="en-US" w:eastAsia="zh-CN" w:bidi="ar-SA"/>
    </w:rPr>
  </w:style>
  <w:style w:type="character" w:customStyle="1" w:styleId="127">
    <w:name w:val="首示例 Char"/>
    <w:link w:val="126"/>
    <w:qFormat/>
    <w:uiPriority w:val="0"/>
    <w:rPr>
      <w:rFonts w:ascii="宋体" w:hAnsi="宋体"/>
      <w:kern w:val="2"/>
      <w:sz w:val="18"/>
      <w:szCs w:val="18"/>
    </w:rPr>
  </w:style>
  <w:style w:type="paragraph" w:customStyle="1" w:styleId="128">
    <w:name w:val="四级无"/>
    <w:basedOn w:val="63"/>
    <w:qFormat/>
    <w:uiPriority w:val="0"/>
    <w:pPr>
      <w:spacing w:beforeLines="0" w:afterLines="0"/>
    </w:pPr>
    <w:rPr>
      <w:rFonts w:ascii="宋体" w:eastAsia="宋体"/>
    </w:rPr>
  </w:style>
  <w:style w:type="paragraph" w:customStyle="1" w:styleId="129">
    <w:name w:val="条文脚注"/>
    <w:basedOn w:val="29"/>
    <w:qFormat/>
    <w:uiPriority w:val="0"/>
    <w:pPr>
      <w:numPr>
        <w:numId w:val="0"/>
      </w:numPr>
      <w:jc w:val="both"/>
    </w:pPr>
  </w:style>
  <w:style w:type="paragraph" w:customStyle="1" w:styleId="130">
    <w:name w:val="图标脚注说明"/>
    <w:basedOn w:val="28"/>
    <w:qFormat/>
    <w:uiPriority w:val="0"/>
    <w:pPr>
      <w:ind w:left="840" w:hanging="420" w:firstLineChars="0"/>
    </w:pPr>
    <w:rPr>
      <w:sz w:val="18"/>
      <w:szCs w:val="18"/>
    </w:rPr>
  </w:style>
  <w:style w:type="paragraph" w:customStyle="1" w:styleId="131">
    <w:name w:val="图表脚注说明"/>
    <w:basedOn w:val="1"/>
    <w:qFormat/>
    <w:uiPriority w:val="0"/>
    <w:pPr>
      <w:numPr>
        <w:ilvl w:val="0"/>
        <w:numId w:val="16"/>
      </w:numPr>
    </w:pPr>
    <w:rPr>
      <w:rFonts w:ascii="宋体"/>
      <w:sz w:val="18"/>
      <w:szCs w:val="18"/>
    </w:rPr>
  </w:style>
  <w:style w:type="paragraph" w:customStyle="1" w:styleId="132">
    <w:name w:val="图的脚注"/>
    <w:next w:val="28"/>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33">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34">
    <w:name w:val="五级无"/>
    <w:basedOn w:val="64"/>
    <w:qFormat/>
    <w:uiPriority w:val="0"/>
    <w:pPr>
      <w:spacing w:beforeLines="0" w:afterLines="0"/>
    </w:pPr>
    <w:rPr>
      <w:rFonts w:ascii="宋体" w:eastAsia="宋体"/>
    </w:rPr>
  </w:style>
  <w:style w:type="paragraph" w:customStyle="1" w:styleId="135">
    <w:name w:val="一级无"/>
    <w:basedOn w:val="50"/>
    <w:qFormat/>
    <w:uiPriority w:val="0"/>
    <w:pPr>
      <w:spacing w:beforeLines="0" w:afterLines="0"/>
    </w:pPr>
    <w:rPr>
      <w:rFonts w:ascii="宋体" w:eastAsia="宋体"/>
    </w:rPr>
  </w:style>
  <w:style w:type="paragraph" w:customStyle="1" w:styleId="136">
    <w:name w:val="正文表标题"/>
    <w:next w:val="28"/>
    <w:qFormat/>
    <w:uiPriority w:val="0"/>
    <w:pPr>
      <w:numPr>
        <w:ilvl w:val="0"/>
        <w:numId w:val="17"/>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7">
    <w:name w:val="正文公式编号制表符"/>
    <w:basedOn w:val="28"/>
    <w:next w:val="28"/>
    <w:qFormat/>
    <w:uiPriority w:val="0"/>
    <w:pPr>
      <w:ind w:firstLine="0" w:firstLineChars="0"/>
    </w:pPr>
  </w:style>
  <w:style w:type="paragraph" w:customStyle="1" w:styleId="138">
    <w:name w:val="正文图标题"/>
    <w:next w:val="28"/>
    <w:qFormat/>
    <w:uiPriority w:val="0"/>
    <w:pPr>
      <w:numPr>
        <w:ilvl w:val="0"/>
        <w:numId w:val="18"/>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9">
    <w:name w:val="终结线"/>
    <w:basedOn w:val="1"/>
    <w:qFormat/>
    <w:uiPriority w:val="0"/>
    <w:pPr>
      <w:framePr w:hSpace="181" w:vSpace="181" w:wrap="around" w:vAnchor="text" w:hAnchor="margin" w:xAlign="center" w:y="285"/>
    </w:pPr>
  </w:style>
  <w:style w:type="paragraph" w:customStyle="1" w:styleId="140">
    <w:name w:val="其他发布日期"/>
    <w:basedOn w:val="85"/>
    <w:qFormat/>
    <w:uiPriority w:val="0"/>
    <w:pPr>
      <w:framePr w:vAnchor="page" w:hAnchor="text" w:x="1419"/>
    </w:pPr>
  </w:style>
  <w:style w:type="paragraph" w:customStyle="1" w:styleId="141">
    <w:name w:val="其他实施日期"/>
    <w:basedOn w:val="124"/>
    <w:qFormat/>
    <w:uiPriority w:val="0"/>
  </w:style>
  <w:style w:type="paragraph" w:customStyle="1" w:styleId="142">
    <w:name w:val="封面标准名称2"/>
    <w:basedOn w:val="88"/>
    <w:qFormat/>
    <w:uiPriority w:val="0"/>
    <w:pPr>
      <w:framePr w:y="4469"/>
      <w:spacing w:beforeLines="630"/>
    </w:pPr>
  </w:style>
  <w:style w:type="paragraph" w:customStyle="1" w:styleId="143">
    <w:name w:val="封面标准英文名称2"/>
    <w:basedOn w:val="89"/>
    <w:qFormat/>
    <w:uiPriority w:val="0"/>
    <w:pPr>
      <w:framePr w:y="4469"/>
    </w:pPr>
  </w:style>
  <w:style w:type="paragraph" w:customStyle="1" w:styleId="144">
    <w:name w:val="封面一致性程度标识2"/>
    <w:basedOn w:val="90"/>
    <w:qFormat/>
    <w:uiPriority w:val="0"/>
    <w:pPr>
      <w:framePr w:y="4469"/>
    </w:pPr>
  </w:style>
  <w:style w:type="paragraph" w:customStyle="1" w:styleId="145">
    <w:name w:val="封面标准文稿类别2"/>
    <w:basedOn w:val="91"/>
    <w:qFormat/>
    <w:uiPriority w:val="0"/>
    <w:pPr>
      <w:framePr w:y="4469"/>
    </w:pPr>
  </w:style>
  <w:style w:type="paragraph" w:customStyle="1" w:styleId="146">
    <w:name w:val="封面标准文稿编辑信息2"/>
    <w:basedOn w:val="92"/>
    <w:qFormat/>
    <w:uiPriority w:val="0"/>
    <w:pPr>
      <w:framePr w:y="4469"/>
    </w:pPr>
  </w:style>
  <w:style w:type="character" w:customStyle="1" w:styleId="147">
    <w:name w:val="批注框文本 Char"/>
    <w:link w:val="21"/>
    <w:qFormat/>
    <w:uiPriority w:val="0"/>
    <w:rPr>
      <w:kern w:val="2"/>
      <w:sz w:val="18"/>
      <w:szCs w:val="18"/>
    </w:rPr>
  </w:style>
  <w:style w:type="character" w:customStyle="1" w:styleId="148">
    <w:name w:val="批注文字 Char"/>
    <w:link w:val="12"/>
    <w:qFormat/>
    <w:uiPriority w:val="0"/>
    <w:rPr>
      <w:kern w:val="2"/>
      <w:sz w:val="21"/>
      <w:szCs w:val="24"/>
    </w:rPr>
  </w:style>
  <w:style w:type="character" w:customStyle="1" w:styleId="149">
    <w:name w:val="批注主题 Char"/>
    <w:link w:val="37"/>
    <w:qFormat/>
    <w:uiPriority w:val="0"/>
    <w:rPr>
      <w:b/>
      <w:bCs/>
      <w:kern w:val="2"/>
      <w:sz w:val="21"/>
      <w:szCs w:val="24"/>
    </w:rPr>
  </w:style>
  <w:style w:type="paragraph" w:customStyle="1" w:styleId="150">
    <w:name w:val="List Paragraph"/>
    <w:basedOn w:val="1"/>
    <w:qFormat/>
    <w:uiPriority w:val="34"/>
    <w:pPr>
      <w:ind w:firstLine="420" w:firstLineChars="200"/>
    </w:pPr>
  </w:style>
  <w:style w:type="paragraph" w:customStyle="1" w:styleId="151">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52">
    <w:name w:val="正文格式"/>
    <w:basedOn w:val="1"/>
    <w:link w:val="153"/>
    <w:qFormat/>
    <w:uiPriority w:val="0"/>
    <w:pPr>
      <w:topLinePunct/>
      <w:ind w:firstLine="420" w:firstLineChars="200"/>
    </w:pPr>
    <w:rPr>
      <w:rFonts w:ascii="宋体" w:hAnsi="宋体"/>
      <w:bCs/>
      <w:szCs w:val="21"/>
    </w:rPr>
  </w:style>
  <w:style w:type="character" w:customStyle="1" w:styleId="153">
    <w:name w:val="正文格式 Char"/>
    <w:link w:val="152"/>
    <w:qFormat/>
    <w:uiPriority w:val="0"/>
    <w:rPr>
      <w:rFonts w:ascii="宋体" w:hAnsi="宋体"/>
      <w:bCs/>
      <w:kern w:val="2"/>
      <w:sz w:val="21"/>
      <w:szCs w:val="21"/>
    </w:rPr>
  </w:style>
  <w:style w:type="paragraph" w:customStyle="1" w:styleId="154">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155">
    <w:name w:val="样式 标题 2"/>
    <w:basedOn w:val="4"/>
    <w:qFormat/>
    <w:uiPriority w:val="0"/>
    <w:rPr>
      <w:b w:val="0"/>
      <w:bCs w:val="0"/>
    </w:rPr>
  </w:style>
  <w:style w:type="paragraph" w:customStyle="1" w:styleId="156">
    <w:name w:val="样式1"/>
    <w:basedOn w:val="1"/>
    <w:qFormat/>
    <w:uiPriority w:val="0"/>
    <w:pPr>
      <w:numPr>
        <w:ilvl w:val="2"/>
        <w:numId w:val="1"/>
      </w:numPr>
    </w:p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microsoft.com/office/2006/relationships/keyMapCustomizations" Target="customization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zle</Company>
  <Pages>7</Pages>
  <Words>2961</Words>
  <Characters>3293</Characters>
  <Lines>36</Lines>
  <Paragraphs>10</Paragraphs>
  <TotalTime>2</TotalTime>
  <ScaleCrop>false</ScaleCrop>
  <LinksUpToDate>false</LinksUpToDate>
  <CharactersWithSpaces>3470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2017-03-21T14:44:00Z</dcterms:created>
  <dc:creator>CNIS</dc:creator>
  <cp:lastModifiedBy>fuda</cp:lastModifiedBy>
  <cp:lastPrinted>2016-01-21T10:14:00Z</cp:lastPrinted>
  <dcterms:modified xsi:type="dcterms:W3CDTF">2025-07-07T02:01:24Z</dcterms:modified>
  <dc:title>标准名称</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8E78AA05D8744EFA899F76695B37768C_13</vt:lpwstr>
  </property>
  <property fmtid="{D5CDD505-2E9C-101B-9397-08002B2CF9AE}" pid="4" name="KSOTemplateDocerSaveRecord">
    <vt:lpwstr>eyJoZGlkIjoiYjdiMmNkNDg2OWQyZTFkYWE0ZjJiZjI5MWRjMWQ1MDYiLCJ1c2VySWQiOiIyNzYwNDYxMTUifQ==</vt:lpwstr>
  </property>
</Properties>
</file>