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 w:eastAsiaTheme="minorEastAsia"/>
          <w:b/>
          <w:bCs/>
          <w:color w:val="auto"/>
          <w:sz w:val="36"/>
          <w:szCs w:val="36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u w:val="none"/>
          <w:lang w:eastAsia="zh-CN"/>
        </w:rPr>
        <w:t>报价表（标的</w:t>
      </w: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u w:val="none"/>
          <w:lang w:val="en-US" w:eastAsia="zh-CN"/>
        </w:rPr>
        <w:t>1）</w:t>
      </w:r>
    </w:p>
    <w:p>
      <w:pPr>
        <w:rPr>
          <w:rFonts w:hint="eastAsia" w:hAnsi="宋体"/>
          <w:bCs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u w:val="single"/>
        </w:rPr>
        <w:t>标的1：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u w:val="single"/>
          <w:lang w:val="en-US" w:eastAsia="zh-CN"/>
        </w:rPr>
        <w:t>广东电力通信科技有限公司2025-2026年硬件产品检测检验技术服务框架采购</w:t>
      </w:r>
    </w:p>
    <w:tbl>
      <w:tblPr>
        <w:tblStyle w:val="4"/>
        <w:tblW w:w="9494" w:type="dxa"/>
        <w:jc w:val="center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3860"/>
        <w:gridCol w:w="1460"/>
        <w:gridCol w:w="1460"/>
        <w:gridCol w:w="1105"/>
        <w:gridCol w:w="908"/>
      </w:tblGrid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6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6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</w:rPr>
              <w:t>检测项目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autoSpaceDE w:val="0"/>
              <w:autoSpaceDN w:val="0"/>
              <w:adjustRightInd w:val="0"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</w:rPr>
              <w:t>检测要求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6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限价金额（元）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6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报价（元）</w:t>
            </w: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pStyle w:val="6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外观检查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88.33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结构检查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电气间隙和爬电距离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760.00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外壳和端子着火试验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1460.00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外壳及其防护性能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防水试验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1238.33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3.2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防尘试验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1671.67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绝缘性能试验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绝缘电阻试验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953.33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绝缘强度试验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763.33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4.3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冲击电压试验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5320" w:type="dxa"/>
            <w:gridSpan w:val="2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color w:val="auto"/>
                <w:highlight w:val="none"/>
              </w:rPr>
            </w:pP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电源断相试验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1510.00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电源电压变化试验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1510.00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后备电源试验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760.00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功率消耗试验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5.5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数据和时钟保持试验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760.00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连续通电试验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1910.00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电磁兼容性能试验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电源端子骚扰电压试验（传导发射（CE）限值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静电放电抗扰度试验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射频电磁场辐射抗扰度试验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2066.67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电快速瞬变脉冲群抗扰度试验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浪涌(冲击)抗扰度试验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7.6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射频场感应的传导骚扰抗扰度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1863.33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7.7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工频磁场抗扰度试验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7.8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脉冲磁场抗扰度试验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7.9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阻尼振荡磁场抗扰度试验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7.10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电压暂降、短时中断和电压变化的抗扰度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振铃波抗扰度试验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1455.00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阻尼振荡波抗扰度试验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3133.33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谐波电流发射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1833.33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7.14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电压变化、电压波动和闪烁发射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1833.33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5320" w:type="dxa"/>
            <w:gridSpan w:val="2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color w:val="auto"/>
                <w:highlight w:val="none"/>
              </w:rPr>
            </w:pP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top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bookmarkStart w:id="0" w:name="_Toc20728"/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高温试验</w:t>
            </w:r>
            <w:bookmarkEnd w:id="0"/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bookmarkStart w:id="1" w:name="_Toc23424"/>
            <w:bookmarkStart w:id="2" w:name="_Toc25572"/>
            <w:bookmarkStart w:id="3" w:name="_Toc29126"/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低温试验</w:t>
            </w:r>
            <w:bookmarkEnd w:id="1"/>
            <w:bookmarkEnd w:id="2"/>
            <w:bookmarkEnd w:id="3"/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bookmarkStart w:id="4" w:name="_Toc6544"/>
            <w:bookmarkStart w:id="5" w:name="_Toc27151"/>
            <w:bookmarkStart w:id="6" w:name="_Toc26667"/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湿热试验</w:t>
            </w:r>
            <w:bookmarkEnd w:id="4"/>
            <w:bookmarkEnd w:id="5"/>
            <w:bookmarkEnd w:id="6"/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最高运行温度试验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1600.00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最低运行温度试验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1550.00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8.6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最高贮存温度试验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1550.00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8.7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最低贮存温度试验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1550.00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8.8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低气压试验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2516.67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8.9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温度变化试验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2516.67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8.10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交变湿热试验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10833.33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自由跌落试验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1516.67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盐雾试验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6633.33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灼热丝试验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1683.33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针焰试验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2233.33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水平与垂直火焰试验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2666.67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8.16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温度冲击试验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2866.67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rPr>
                <w:rFonts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机械性能试验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振动响应试验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振动耐久试验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冲击响应试验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2100.00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冲击耐久试验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9.5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碰撞试验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8366.67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功能试验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10.1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1-20个功能点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5133.33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10.2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20以上功能点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7066.67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性能试验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11.1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1-20个性能点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12766.67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11.2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20以上性能点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16000.00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Lucida Sans" w:hAnsi="Lucida Sans" w:eastAsia="宋3f体3f" w:cs="Lucida Sans"/>
                <w:b/>
                <w:bCs/>
                <w:color w:val="auto"/>
                <w:kern w:val="0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交流输入模拟量基本误差试验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12.1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电压、电流基本误差测量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2416.67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12.2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有功功率、无功功率基本误差测量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2416.67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12.3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功率因数基本误差测量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2416.67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12.4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谐波分量基本误差测量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2416.67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Lucida Sans" w:hAnsi="Lucida Sans" w:eastAsia="宋3f体3f" w:cs="Lucida Sans"/>
                <w:b/>
                <w:color w:val="auto"/>
                <w:kern w:val="0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交流模拟量输入的影响量试验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输入量频率变化引起的改变量试验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输入量的谐波含量引起的改变量试验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13.3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功率因数变化对有功功率、无功功率引起的改变量试验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13.4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不平衡电流对三相有功功率和无功功率引起的改变量试验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13.5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被测量超量限引起的改变量试验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13.6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输入电压变化引起的输出改变量试验(电压、电流量除外)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13.7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输入电流变化引起的输出改变量试验(仅对相角和功率因数)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1816.67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Lucida Sans" w:hAnsi="Lucida Sans" w:eastAsia="宋3f体3f" w:cs="Lucida Sans"/>
                <w:b/>
                <w:bCs/>
                <w:color w:val="auto"/>
                <w:kern w:val="0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通信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14.1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通信协议一致性试验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8150.00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14.2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通信功能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3150.00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6780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Lucida Sans" w:hAnsi="Lucida Sans" w:eastAsia="宋3f体3f" w:cs="Lucida Sans"/>
                <w:color w:val="auto"/>
                <w:kern w:val="0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科研摸底试验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left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70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15.1</w:t>
            </w:r>
          </w:p>
        </w:tc>
        <w:tc>
          <w:tcPr>
            <w:tcW w:w="38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摸底试验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详见技术规范书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按需测试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  <w:lang w:eastAsia="zh-CN"/>
              </w:rPr>
              <w:t>此项无需报价</w:t>
            </w: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spacing w:line="240" w:lineRule="auto"/>
              <w:ind w:firstLine="0" w:firstLineChars="0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  <w:lang w:eastAsia="zh-CN"/>
              </w:rPr>
              <w:t>此项无需报价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6021" w:type="dxa"/>
            <w:gridSpan w:val="3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合计（元）：</w:t>
            </w:r>
          </w:p>
        </w:tc>
        <w:tc>
          <w:tcPr>
            <w:tcW w:w="14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182170.00 </w:t>
            </w:r>
          </w:p>
        </w:tc>
        <w:tc>
          <w:tcPr>
            <w:tcW w:w="110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0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topLinePunct/>
              <w:spacing w:line="240" w:lineRule="auto"/>
              <w:ind w:firstLine="0" w:firstLineChars="0"/>
              <w:jc w:val="center"/>
              <w:rPr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此合计为序号1至序号14.2的合计价格</w:t>
            </w:r>
          </w:p>
        </w:tc>
      </w:tr>
    </w:tbl>
    <w:p>
      <w:pPr>
        <w:ind w:left="0" w:leftChars="0" w:firstLine="0" w:firstLineChars="0"/>
        <w:rPr>
          <w:color w:val="auto"/>
          <w:highlight w:val="none"/>
        </w:rPr>
      </w:pP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宋3f体3f">
    <w:altName w:val="等线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9D702F"/>
    <w:rsid w:val="049D702F"/>
    <w:rsid w:val="6758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customStyle="1" w:styleId="6">
    <w:name w:val="列出段落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2025-07-16T01:58:00Z</dcterms:created>
  <dc:creator>林铠冲</dc:creator>
  <cp:lastModifiedBy>林铠冲</cp:lastModifiedBy>
  <dcterms:modified xsi:type="dcterms:W3CDTF">2025-07-16T02:01:56Z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BC94C127095642C187DBFE2717533998</vt:lpwstr>
  </property>
</Properties>
</file>