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2025年南方电网大数据服务有限公司数据中心相关商标代理服务采购项目技术规范书</w:t>
      </w:r>
    </w:p>
    <w:p>
      <w:pPr>
        <w:keepNext w:val="0"/>
        <w:keepLines w:val="0"/>
        <w:pageBreakBefore w:val="0"/>
        <w:widowControl w:val="0"/>
        <w:shd w:val="clear"/>
        <w:kinsoku/>
        <w:wordWrap/>
        <w:overflowPunct/>
        <w:topLinePunct w:val="0"/>
        <w:autoSpaceDE/>
        <w:autoSpaceDN/>
        <w:bidi w:val="0"/>
        <w:adjustRightInd/>
        <w:snapToGrid/>
        <w:spacing w:beforeAutospacing="0" w:after="0" w:afterAutospacing="0" w:line="560" w:lineRule="exact"/>
        <w:textAlignment w:val="auto"/>
        <w:rPr>
          <w:rFonts w:hint="eastAsia" w:ascii="宋体" w:hAnsi="宋体" w:cs="宋体"/>
          <w:kern w:val="2"/>
          <w:sz w:val="24"/>
          <w:szCs w:val="24"/>
          <w:highlight w:val="none"/>
          <w:shd w:val="clear"/>
          <w:lang w:val="en-US" w:eastAsia="zh-CN" w:bidi="ar-SA"/>
        </w:rPr>
      </w:pPr>
    </w:p>
    <w:p>
      <w:pPr>
        <w:pStyle w:val="4"/>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1、</w:t>
      </w:r>
      <w:r>
        <w:rPr>
          <w:rFonts w:hint="eastAsia" w:ascii="宋体" w:hAnsi="宋体" w:cs="宋体"/>
          <w:highlight w:val="none"/>
          <w:lang w:val="en-US" w:eastAsia="zh-CN"/>
        </w:rPr>
        <w:t>报价方资格要求</w:t>
      </w:r>
    </w:p>
    <w:p>
      <w:pPr>
        <w:keepNext w:val="0"/>
        <w:keepLines w:val="0"/>
        <w:pageBreakBefore w:val="0"/>
        <w:widowControl w:val="0"/>
        <w:shd w:val="clear"/>
        <w:kinsoku/>
        <w:wordWrap/>
        <w:overflowPunct/>
        <w:topLinePunct w:val="0"/>
        <w:autoSpaceDE/>
        <w:autoSpaceDN/>
        <w:bidi w:val="0"/>
        <w:adjustRightInd/>
        <w:snapToGrid/>
        <w:spacing w:beforeAutospacing="0" w:after="0" w:afterAutospacing="0" w:line="560" w:lineRule="exact"/>
        <w:ind w:left="0" w:firstLine="480" w:firstLineChars="200"/>
        <w:textAlignment w:val="auto"/>
        <w:rPr>
          <w:rFonts w:hint="eastAsia" w:ascii="宋体" w:hAnsi="宋体" w:cs="宋体"/>
          <w:kern w:val="2"/>
          <w:sz w:val="24"/>
          <w:szCs w:val="24"/>
          <w:highlight w:val="none"/>
          <w:shd w:val="clear"/>
          <w:lang w:val="en-US" w:eastAsia="zh-CN" w:bidi="ar-SA"/>
        </w:rPr>
      </w:pPr>
      <w:r>
        <w:rPr>
          <w:rFonts w:hint="eastAsia" w:ascii="宋体" w:hAnsi="宋体" w:cs="宋体"/>
          <w:kern w:val="2"/>
          <w:sz w:val="24"/>
          <w:szCs w:val="24"/>
          <w:highlight w:val="none"/>
          <w:shd w:val="clear"/>
          <w:lang w:val="en-US" w:eastAsia="zh-CN" w:bidi="ar-SA"/>
        </w:rPr>
        <w:t>（1）</w:t>
      </w:r>
      <w:r>
        <w:rPr>
          <w:rFonts w:hint="eastAsia" w:ascii="宋体" w:hAnsi="宋体" w:eastAsia="宋体" w:cs="宋体"/>
          <w:kern w:val="2"/>
          <w:sz w:val="24"/>
          <w:szCs w:val="24"/>
          <w:highlight w:val="none"/>
          <w:shd w:val="clear"/>
          <w:lang w:val="en-US" w:eastAsia="zh-CN" w:bidi="ar-SA"/>
        </w:rPr>
        <w:t>报价方</w:t>
      </w:r>
      <w:r>
        <w:rPr>
          <w:rFonts w:hint="eastAsia" w:ascii="宋体" w:hAnsi="宋体" w:cs="宋体"/>
          <w:kern w:val="2"/>
          <w:sz w:val="24"/>
          <w:szCs w:val="24"/>
          <w:highlight w:val="none"/>
          <w:shd w:val="clear"/>
          <w:lang w:val="en-US" w:eastAsia="zh-CN" w:bidi="ar-SA"/>
        </w:rPr>
        <w:t>应为在国家知识产权局商标局备案的商标代理机构（提供“国家知识产权局商标局 中国商标网”（sbj.cnipa.gov.cn/sbj/）的查询结果截图），且属有效内的代理机构。</w:t>
      </w:r>
    </w:p>
    <w:p>
      <w:pPr>
        <w:keepNext w:val="0"/>
        <w:keepLines w:val="0"/>
        <w:pageBreakBefore w:val="0"/>
        <w:widowControl w:val="0"/>
        <w:shd w:val="clear"/>
        <w:kinsoku/>
        <w:wordWrap/>
        <w:overflowPunct/>
        <w:topLinePunct w:val="0"/>
        <w:autoSpaceDE/>
        <w:autoSpaceDN/>
        <w:bidi w:val="0"/>
        <w:adjustRightInd/>
        <w:snapToGrid/>
        <w:spacing w:beforeAutospacing="0" w:after="0" w:afterAutospacing="0" w:line="560" w:lineRule="exact"/>
        <w:ind w:left="0" w:firstLine="480" w:firstLineChars="200"/>
        <w:textAlignment w:val="auto"/>
        <w:rPr>
          <w:rFonts w:hint="eastAsia" w:ascii="宋体" w:hAnsi="宋体" w:cs="宋体"/>
          <w:kern w:val="2"/>
          <w:sz w:val="24"/>
          <w:szCs w:val="24"/>
          <w:highlight w:val="none"/>
          <w:shd w:val="clear"/>
          <w:lang w:val="en-US" w:eastAsia="zh-CN" w:bidi="ar-SA"/>
        </w:rPr>
      </w:pPr>
      <w:r>
        <w:rPr>
          <w:rFonts w:hint="eastAsia" w:ascii="宋体" w:hAnsi="宋体" w:cs="宋体"/>
          <w:kern w:val="2"/>
          <w:sz w:val="24"/>
          <w:szCs w:val="24"/>
          <w:highlight w:val="none"/>
          <w:shd w:val="clear"/>
          <w:lang w:val="en-US" w:eastAsia="zh-CN" w:bidi="ar-SA"/>
        </w:rPr>
        <w:t>（2）报价方应提供近两年内开展代理商标注册申请、变更、续展转让、异议、撤销、评审、侵权投诉等商标事宜相关业绩证明材料，包含但不限于合同或其他相关材料的扫描件。</w:t>
      </w:r>
    </w:p>
    <w:p>
      <w:pPr>
        <w:keepNext w:val="0"/>
        <w:keepLines w:val="0"/>
        <w:pageBreakBefore w:val="0"/>
        <w:widowControl w:val="0"/>
        <w:shd w:val="clear"/>
        <w:kinsoku/>
        <w:wordWrap/>
        <w:overflowPunct/>
        <w:topLinePunct w:val="0"/>
        <w:autoSpaceDE/>
        <w:autoSpaceDN/>
        <w:bidi w:val="0"/>
        <w:adjustRightInd/>
        <w:snapToGrid/>
        <w:spacing w:beforeAutospacing="0" w:after="0" w:afterAutospacing="0" w:line="560" w:lineRule="exact"/>
        <w:ind w:left="0" w:firstLine="480" w:firstLineChars="200"/>
        <w:textAlignment w:val="auto"/>
        <w:rPr>
          <w:rFonts w:hint="eastAsia" w:ascii="宋体" w:hAnsi="宋体" w:cs="宋体"/>
          <w:kern w:val="2"/>
          <w:sz w:val="24"/>
          <w:szCs w:val="24"/>
          <w:highlight w:val="none"/>
          <w:shd w:val="clear"/>
          <w:lang w:val="en-US" w:eastAsia="zh-CN" w:bidi="ar-SA"/>
        </w:rPr>
      </w:pPr>
      <w:r>
        <w:rPr>
          <w:rFonts w:hint="eastAsia" w:ascii="宋体" w:hAnsi="宋体" w:cs="宋体"/>
          <w:kern w:val="2"/>
          <w:sz w:val="24"/>
          <w:szCs w:val="24"/>
          <w:highlight w:val="none"/>
          <w:shd w:val="clear"/>
          <w:lang w:val="en-US" w:eastAsia="zh-CN" w:bidi="ar-SA"/>
        </w:rPr>
        <w:t>（3）报价方应提供数据中心相关商标初版设计样例，数量共计8项，每个商标需要设计5个样例。</w:t>
      </w:r>
    </w:p>
    <w:p>
      <w:pPr>
        <w:pStyle w:val="4"/>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采购范围</w:t>
      </w:r>
    </w:p>
    <w:p>
      <w:pPr>
        <w:pStyle w:val="2"/>
        <w:pageBreakBefore w:val="0"/>
        <w:kinsoku/>
        <w:wordWrap/>
        <w:overflowPunct/>
        <w:topLinePunct w:val="0"/>
        <w:autoSpaceDE/>
        <w:autoSpaceDN/>
        <w:bidi w:val="0"/>
        <w:adjustRightInd/>
        <w:snapToGrid/>
        <w:spacing w:after="0" w:afterLines="0" w:line="560" w:lineRule="exact"/>
        <w:ind w:firstLine="480" w:firstLineChars="200"/>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南方电</w:t>
      </w:r>
      <w:r>
        <w:rPr>
          <w:rFonts w:hint="eastAsia" w:ascii="宋体" w:hAnsi="宋体" w:cs="宋体"/>
          <w:szCs w:val="24"/>
          <w:highlight w:val="none"/>
          <w:lang w:val="en-US" w:eastAsia="zh-CN"/>
        </w:rPr>
        <w:t>网大数据服务</w:t>
      </w:r>
      <w:r>
        <w:rPr>
          <w:rFonts w:hint="eastAsia" w:ascii="宋体" w:hAnsi="宋体" w:eastAsia="宋体" w:cs="宋体"/>
          <w:szCs w:val="24"/>
          <w:highlight w:val="none"/>
          <w:lang w:val="en-US" w:eastAsia="zh-CN"/>
        </w:rPr>
        <w:t>有限公司为采购方，报价方为采购方提供收集、准备和提交商标注册申请的代理服务，确保所有必</w:t>
      </w:r>
      <w:bookmarkStart w:id="1" w:name="_GoBack"/>
      <w:bookmarkEnd w:id="1"/>
      <w:r>
        <w:rPr>
          <w:rFonts w:hint="eastAsia" w:ascii="宋体" w:hAnsi="宋体" w:eastAsia="宋体" w:cs="宋体"/>
          <w:szCs w:val="24"/>
          <w:highlight w:val="none"/>
          <w:lang w:val="en-US" w:eastAsia="zh-CN"/>
        </w:rPr>
        <w:t>要的文件和信息齐全目符合国家知识产权局的要求。</w:t>
      </w:r>
      <w:r>
        <w:rPr>
          <w:rFonts w:hint="eastAsia" w:ascii="宋体" w:hAnsi="宋体" w:cs="宋体"/>
          <w:szCs w:val="24"/>
          <w:highlight w:val="none"/>
          <w:lang w:val="en-US" w:eastAsia="zh-CN"/>
        </w:rPr>
        <w:t>报价方</w:t>
      </w:r>
      <w:r>
        <w:rPr>
          <w:rFonts w:hint="eastAsia" w:ascii="宋体" w:hAnsi="宋体" w:eastAsia="宋体" w:cs="宋体"/>
          <w:szCs w:val="24"/>
          <w:highlight w:val="none"/>
          <w:lang w:val="en-US" w:eastAsia="zh-CN"/>
        </w:rPr>
        <w:t>同时负责监控商标注册进度，及时回应任何官方查询或异议。采购方、报价方双方签订服务合同，服务期自合同签订</w:t>
      </w:r>
      <w:r>
        <w:rPr>
          <w:rFonts w:hint="eastAsia" w:ascii="宋体" w:hAnsi="宋体" w:cs="宋体"/>
          <w:szCs w:val="24"/>
          <w:highlight w:val="none"/>
          <w:lang w:val="en-US" w:eastAsia="zh-CN"/>
        </w:rPr>
        <w:t>之日</w:t>
      </w:r>
      <w:r>
        <w:rPr>
          <w:rFonts w:hint="eastAsia" w:ascii="宋体" w:hAnsi="宋体" w:eastAsia="宋体" w:cs="宋体"/>
          <w:szCs w:val="24"/>
          <w:highlight w:val="none"/>
          <w:lang w:val="en-US" w:eastAsia="zh-CN"/>
        </w:rPr>
        <w:t>起</w:t>
      </w:r>
      <w:r>
        <w:rPr>
          <w:rFonts w:hint="eastAsia" w:ascii="宋体" w:hAnsi="宋体" w:cs="宋体"/>
          <w:szCs w:val="24"/>
          <w:highlight w:val="none"/>
          <w:lang w:val="en-US" w:eastAsia="zh-CN"/>
        </w:rPr>
        <w:t>至</w:t>
      </w:r>
      <w:r>
        <w:rPr>
          <w:rFonts w:hint="eastAsia" w:ascii="宋体" w:hAnsi="宋体" w:eastAsia="宋体" w:cs="宋体"/>
          <w:szCs w:val="24"/>
          <w:highlight w:val="none"/>
          <w:lang w:val="en-US" w:eastAsia="zh-CN"/>
        </w:rPr>
        <w:t>满一年</w:t>
      </w:r>
      <w:r>
        <w:rPr>
          <w:rFonts w:hint="eastAsia" w:ascii="宋体" w:hAnsi="宋体" w:cs="宋体"/>
          <w:szCs w:val="24"/>
          <w:highlight w:val="none"/>
          <w:lang w:val="en-US" w:eastAsia="zh-CN"/>
        </w:rPr>
        <w:t>止</w:t>
      </w:r>
      <w:r>
        <w:rPr>
          <w:rFonts w:hint="eastAsia" w:ascii="宋体" w:hAnsi="宋体" w:eastAsia="宋体" w:cs="宋体"/>
          <w:szCs w:val="24"/>
          <w:highlight w:val="none"/>
          <w:lang w:val="en-US" w:eastAsia="zh-CN"/>
        </w:rPr>
        <w:t>。</w:t>
      </w:r>
    </w:p>
    <w:p>
      <w:pPr>
        <w:pStyle w:val="2"/>
        <w:pageBreakBefore w:val="0"/>
        <w:kinsoku/>
        <w:wordWrap/>
        <w:overflowPunct/>
        <w:topLinePunct w:val="0"/>
        <w:autoSpaceDE/>
        <w:autoSpaceDN/>
        <w:bidi w:val="0"/>
        <w:adjustRightInd/>
        <w:snapToGrid/>
        <w:spacing w:after="0" w:afterLines="0" w:line="560" w:lineRule="exact"/>
        <w:ind w:firstLine="480" w:firstLineChars="200"/>
        <w:rPr>
          <w:rFonts w:hint="eastAsia" w:ascii="宋体" w:hAnsi="宋体" w:cs="宋体"/>
          <w:szCs w:val="24"/>
          <w:highlight w:val="none"/>
          <w:lang w:val="en-US" w:eastAsia="zh-CN"/>
        </w:rPr>
      </w:pPr>
      <w:r>
        <w:rPr>
          <w:rFonts w:hint="eastAsia" w:ascii="宋体" w:hAnsi="宋体" w:cs="宋体"/>
          <w:szCs w:val="24"/>
          <w:highlight w:val="none"/>
          <w:lang w:val="en-US" w:eastAsia="zh-CN"/>
        </w:rPr>
        <w:t>采购内容：</w:t>
      </w:r>
    </w:p>
    <w:tbl>
      <w:tblPr>
        <w:tblStyle w:val="10"/>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6"/>
        <w:gridCol w:w="6018"/>
        <w:gridCol w:w="16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4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序号</w:t>
            </w:r>
          </w:p>
        </w:tc>
        <w:tc>
          <w:tcPr>
            <w:tcW w:w="35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业务项目</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注册数量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4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w:t>
            </w:r>
          </w:p>
        </w:tc>
        <w:tc>
          <w:tcPr>
            <w:tcW w:w="35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南网大数据公司</w:t>
            </w:r>
            <w:r>
              <w:rPr>
                <w:rFonts w:hint="eastAsia" w:ascii="宋体" w:hAnsi="宋体" w:cs="宋体"/>
                <w:kern w:val="2"/>
                <w:sz w:val="24"/>
                <w:szCs w:val="24"/>
                <w:highlight w:val="none"/>
                <w:lang w:val="en-US" w:eastAsia="zh-CN" w:bidi="ar-SA"/>
              </w:rPr>
              <w:t>数据中心相关</w:t>
            </w:r>
            <w:r>
              <w:rPr>
                <w:rFonts w:hint="eastAsia" w:ascii="宋体" w:hAnsi="宋体" w:eastAsia="宋体" w:cs="宋体"/>
                <w:kern w:val="2"/>
                <w:sz w:val="24"/>
                <w:szCs w:val="24"/>
                <w:highlight w:val="none"/>
                <w:lang w:val="en-US" w:eastAsia="zh-CN" w:bidi="ar-SA"/>
              </w:rPr>
              <w:t>商标注册服务</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560" w:lineRule="exact"/>
              <w:jc w:val="center"/>
              <w:textAlignment w:val="center"/>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8项</w:t>
            </w:r>
          </w:p>
        </w:tc>
      </w:tr>
    </w:tbl>
    <w:p>
      <w:pPr>
        <w:pStyle w:val="2"/>
        <w:rPr>
          <w:rFonts w:hint="eastAsia"/>
          <w:lang w:val="en-US" w:eastAsia="zh-CN"/>
        </w:rPr>
      </w:pPr>
    </w:p>
    <w:p>
      <w:pPr>
        <w:pStyle w:val="4"/>
        <w:keepNext/>
        <w:keepLines/>
        <w:pageBreakBefore w:val="0"/>
        <w:widowControl w:val="0"/>
        <w:numPr>
          <w:ilvl w:val="0"/>
          <w:numId w:val="1"/>
        </w:numPr>
        <w:shd w:val="clear"/>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服务</w:t>
      </w:r>
      <w:r>
        <w:rPr>
          <w:rFonts w:hint="eastAsia" w:ascii="宋体" w:hAnsi="宋体" w:cs="宋体"/>
          <w:highlight w:val="none"/>
          <w:lang w:val="en-US" w:eastAsia="zh-CN"/>
        </w:rPr>
        <w:t>内容</w:t>
      </w:r>
      <w:r>
        <w:rPr>
          <w:rFonts w:hint="eastAsia" w:ascii="宋体" w:hAnsi="宋体" w:eastAsia="宋体" w:cs="宋体"/>
          <w:highlight w:val="none"/>
          <w:lang w:val="en-US" w:eastAsia="zh-CN"/>
        </w:rPr>
        <w:t>及要求</w:t>
      </w:r>
    </w:p>
    <w:p>
      <w:pPr>
        <w:pStyle w:val="5"/>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default"/>
          <w:highlight w:val="none"/>
          <w:lang w:val="en-US" w:eastAsia="zh-CN"/>
        </w:rPr>
      </w:pPr>
      <w:r>
        <w:rPr>
          <w:rFonts w:hint="eastAsia"/>
          <w:highlight w:val="none"/>
          <w:lang w:val="en-US" w:eastAsia="zh-CN"/>
        </w:rPr>
        <w:t>3.1服务内容</w:t>
      </w:r>
    </w:p>
    <w:p>
      <w:pPr>
        <w:spacing w:after="0" w:line="560" w:lineRule="exact"/>
        <w:ind w:firstLine="480" w:firstLineChars="200"/>
        <w:rPr>
          <w:rFonts w:hint="eastAsia"/>
          <w:lang w:val="en-US" w:eastAsia="zh-CN"/>
        </w:rPr>
      </w:pPr>
      <w:r>
        <w:rPr>
          <w:rFonts w:hint="eastAsia" w:ascii="宋体" w:hAnsi="宋体" w:cs="宋体"/>
          <w:szCs w:val="24"/>
          <w:highlight w:val="none"/>
          <w:lang w:val="en-US" w:eastAsia="zh-CN"/>
        </w:rPr>
        <w:t>为</w:t>
      </w:r>
      <w:r>
        <w:rPr>
          <w:rFonts w:hint="eastAsia" w:ascii="宋体" w:hAnsi="宋体" w:eastAsia="宋体" w:cs="宋体"/>
          <w:szCs w:val="24"/>
          <w:highlight w:val="none"/>
          <w:lang w:val="en-US" w:eastAsia="zh-CN"/>
        </w:rPr>
        <w:t>南方电</w:t>
      </w:r>
      <w:r>
        <w:rPr>
          <w:rFonts w:hint="eastAsia" w:ascii="宋体" w:hAnsi="宋体" w:cs="宋体"/>
          <w:szCs w:val="24"/>
          <w:highlight w:val="none"/>
          <w:lang w:val="en-US" w:eastAsia="zh-CN"/>
        </w:rPr>
        <w:t>网大数据服务</w:t>
      </w:r>
      <w:r>
        <w:rPr>
          <w:rFonts w:hint="eastAsia" w:ascii="宋体" w:hAnsi="宋体" w:eastAsia="宋体" w:cs="宋体"/>
          <w:szCs w:val="24"/>
          <w:highlight w:val="none"/>
          <w:lang w:val="en-US" w:eastAsia="zh-CN"/>
        </w:rPr>
        <w:t>有限公司</w:t>
      </w:r>
      <w:r>
        <w:rPr>
          <w:rFonts w:hint="eastAsia" w:ascii="宋体" w:hAnsi="宋体" w:cs="宋体"/>
          <w:szCs w:val="24"/>
          <w:highlight w:val="none"/>
          <w:lang w:val="en-US" w:eastAsia="zh-CN"/>
        </w:rPr>
        <w:t>办理商标申请，以下为申请小项内容：</w:t>
      </w:r>
    </w:p>
    <w:tbl>
      <w:tblPr>
        <w:tblStyle w:val="10"/>
        <w:tblW w:w="85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21"/>
        <w:gridCol w:w="68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72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类别</w:t>
            </w:r>
          </w:p>
        </w:tc>
        <w:tc>
          <w:tcPr>
            <w:tcW w:w="68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商品/服务项目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5" w:hRule="atLeast"/>
          <w:jc w:val="center"/>
        </w:trPr>
        <w:tc>
          <w:tcPr>
            <w:tcW w:w="172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09</w:t>
            </w:r>
          </w:p>
        </w:tc>
        <w:tc>
          <w:tcPr>
            <w:tcW w:w="68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0901 电子计算机及其外部设备</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0902 记录、记数检测器</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0905 量具</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0907 通信导航设备</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0908 音像设备</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0910 测量仪器仪表，实验室用器具，电测量仪器，科学仪器</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0913 电器用晶体及碳素材料，电子，电气通用元件</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0920 警报装置，电铃</w:t>
            </w:r>
          </w:p>
        </w:tc>
      </w:tr>
    </w:tbl>
    <w:p>
      <w:pPr>
        <w:pStyle w:val="2"/>
        <w:rPr>
          <w:rFonts w:hint="default"/>
          <w:color w:val="auto"/>
          <w:lang w:val="en-US" w:eastAsia="zh-CN"/>
        </w:rPr>
      </w:pPr>
      <w:r>
        <w:rPr>
          <w:rFonts w:hint="eastAsia"/>
          <w:color w:val="auto"/>
          <w:lang w:val="en-US" w:eastAsia="zh-CN"/>
        </w:rPr>
        <w:t>注：最终服务内容以采购方与报价方签订合同后实际委托开展的商标代理服务要求为准。</w:t>
      </w:r>
    </w:p>
    <w:p>
      <w:pPr>
        <w:pStyle w:val="5"/>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default"/>
          <w:lang w:val="en-US" w:eastAsia="zh-CN"/>
        </w:rPr>
      </w:pPr>
      <w:r>
        <w:rPr>
          <w:rFonts w:hint="eastAsia"/>
          <w:highlight w:val="none"/>
          <w:lang w:val="en-US" w:eastAsia="zh-CN"/>
        </w:rPr>
        <w:t>3.2服务相关要求</w:t>
      </w:r>
    </w:p>
    <w:p>
      <w:pPr>
        <w:keepNext w:val="0"/>
        <w:keepLines w:val="0"/>
        <w:pageBreakBefore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cs="宋体"/>
          <w:szCs w:val="24"/>
          <w:highlight w:val="none"/>
          <w:lang w:val="en-US" w:eastAsia="zh-CN"/>
        </w:rPr>
      </w:pPr>
      <w:r>
        <w:rPr>
          <w:rFonts w:hint="eastAsia" w:ascii="宋体" w:hAnsi="宋体" w:cs="宋体"/>
          <w:szCs w:val="24"/>
          <w:highlight w:val="none"/>
          <w:lang w:val="en-US" w:eastAsia="zh-CN"/>
        </w:rPr>
        <w:t>（1）提供收集商标材料，及时提交商标局。</w:t>
      </w:r>
      <w:r>
        <w:rPr>
          <w:rFonts w:hint="default" w:ascii="宋体" w:hAnsi="宋体" w:cs="宋体"/>
          <w:szCs w:val="24"/>
          <w:highlight w:val="none"/>
          <w:lang w:val="en-US" w:eastAsia="zh-CN"/>
        </w:rPr>
        <w:t>准备商标注册所需的文件，包括申请人的身份证明（如身份证、营业执照等）、商标注册申请书、商标图样等。在提交商标注册申请前，</w:t>
      </w:r>
      <w:r>
        <w:rPr>
          <w:rFonts w:hint="eastAsia" w:ascii="宋体" w:hAnsi="宋体" w:cs="宋体"/>
          <w:szCs w:val="24"/>
          <w:highlight w:val="none"/>
          <w:lang w:val="en-US" w:eastAsia="zh-CN"/>
        </w:rPr>
        <w:t>需要</w:t>
      </w:r>
      <w:r>
        <w:rPr>
          <w:rFonts w:hint="default" w:ascii="宋体" w:hAnsi="宋体" w:cs="宋体"/>
          <w:szCs w:val="24"/>
          <w:highlight w:val="none"/>
          <w:lang w:val="en-US" w:eastAsia="zh-CN"/>
        </w:rPr>
        <w:t>进行商标查询，以确认所申请商标是否</w:t>
      </w:r>
      <w:r>
        <w:rPr>
          <w:rFonts w:hint="eastAsia" w:ascii="宋体" w:hAnsi="宋体" w:cs="宋体"/>
          <w:szCs w:val="24"/>
          <w:highlight w:val="none"/>
          <w:lang w:val="en-US" w:eastAsia="zh-CN"/>
        </w:rPr>
        <w:t>存在注册风险</w:t>
      </w:r>
      <w:r>
        <w:rPr>
          <w:rFonts w:hint="default" w:ascii="宋体" w:hAnsi="宋体" w:cs="宋体"/>
          <w:szCs w:val="24"/>
          <w:highlight w:val="none"/>
          <w:lang w:val="en-US" w:eastAsia="zh-CN"/>
        </w:rPr>
        <w:t>，</w:t>
      </w:r>
      <w:r>
        <w:rPr>
          <w:rFonts w:hint="eastAsia" w:ascii="宋体" w:hAnsi="宋体" w:cs="宋体"/>
          <w:szCs w:val="24"/>
          <w:highlight w:val="none"/>
          <w:lang w:val="en-US" w:eastAsia="zh-CN"/>
        </w:rPr>
        <w:t>给出必要的申请建议，以便采购方尽量规避驳回风险</w:t>
      </w:r>
      <w:r>
        <w:rPr>
          <w:rFonts w:hint="default" w:ascii="宋体" w:hAnsi="宋体" w:cs="宋体"/>
          <w:szCs w:val="24"/>
          <w:highlight w:val="none"/>
          <w:lang w:val="en-US" w:eastAsia="zh-CN"/>
        </w:rPr>
        <w:t>。将准备好的</w:t>
      </w:r>
      <w:r>
        <w:rPr>
          <w:rFonts w:hint="eastAsia" w:ascii="宋体" w:hAnsi="宋体" w:cs="宋体"/>
          <w:szCs w:val="24"/>
          <w:highlight w:val="none"/>
          <w:lang w:val="en-US" w:eastAsia="zh-CN"/>
        </w:rPr>
        <w:t>申请</w:t>
      </w:r>
      <w:r>
        <w:rPr>
          <w:rFonts w:hint="default" w:ascii="宋体" w:hAnsi="宋体" w:cs="宋体"/>
          <w:szCs w:val="24"/>
          <w:highlight w:val="none"/>
          <w:lang w:val="en-US" w:eastAsia="zh-CN"/>
        </w:rPr>
        <w:t>文件提交给国家知识产权局商标局或通过网上申请系统提交。</w:t>
      </w:r>
    </w:p>
    <w:p>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firstLineChars="200"/>
        <w:textAlignment w:val="auto"/>
        <w:rPr>
          <w:rFonts w:hint="default"/>
          <w:lang w:val="en-US" w:eastAsia="zh-CN"/>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kern w:val="2"/>
          <w:sz w:val="24"/>
          <w:szCs w:val="24"/>
          <w:lang w:val="en-US" w:eastAsia="zh-CN" w:bidi="ar-SA"/>
        </w:rPr>
        <w:t>商标申请过程中，如果出现“官方审查意见”或“驳回”等有时限要求的情况，及时通知甲方。</w:t>
      </w:r>
      <w:r>
        <w:rPr>
          <w:rFonts w:hint="default" w:ascii="宋体" w:hAnsi="宋体" w:eastAsia="宋体" w:cs="宋体"/>
          <w:kern w:val="2"/>
          <w:sz w:val="24"/>
          <w:szCs w:val="24"/>
          <w:lang w:val="en-US" w:eastAsia="zh-CN" w:bidi="ar-SA"/>
        </w:rPr>
        <w:t>商标局会对提交的商标注册申请进行审查，包括形式审查和实质审查。形式审查主要检查申请文件是否齐全、符合规定；实质审查则是对商标是否具备注册条件进行审查，如商标的显著性、是否违反禁用条款等</w:t>
      </w:r>
      <w:r>
        <w:rPr>
          <w:rFonts w:hint="eastAsia" w:ascii="宋体" w:hAnsi="宋体" w:eastAsia="宋体" w:cs="宋体"/>
          <w:kern w:val="2"/>
          <w:sz w:val="24"/>
          <w:szCs w:val="24"/>
          <w:lang w:val="en-US" w:eastAsia="zh-CN" w:bidi="ar-SA"/>
        </w:rPr>
        <w:t>，应及时通知甲方。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default"/>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费用按申请的类别包含注册申请、</w:t>
      </w:r>
      <w:r>
        <w:rPr>
          <w:rFonts w:hint="eastAsia" w:ascii="宋体" w:hAnsi="宋体" w:cs="宋体"/>
          <w:sz w:val="24"/>
          <w:szCs w:val="24"/>
          <w:lang w:eastAsia="zh-CN"/>
        </w:rPr>
        <w:t>驳回</w:t>
      </w:r>
      <w:r>
        <w:rPr>
          <w:rFonts w:hint="eastAsia" w:ascii="宋体" w:hAnsi="宋体" w:eastAsia="宋体" w:cs="宋体"/>
          <w:sz w:val="24"/>
          <w:szCs w:val="24"/>
        </w:rPr>
        <w:t>复审、撤三、无效宣告等相关费用</w:t>
      </w:r>
      <w:r>
        <w:rPr>
          <w:rFonts w:hint="eastAsia" w:ascii="宋体" w:hAnsi="宋体" w:cs="宋体"/>
          <w:sz w:val="24"/>
          <w:szCs w:val="24"/>
          <w:lang w:eastAsia="zh-CN"/>
        </w:rPr>
        <w:t>，</w:t>
      </w:r>
      <w:r>
        <w:rPr>
          <w:rFonts w:hint="eastAsia" w:ascii="宋体" w:hAnsi="宋体" w:eastAsia="宋体" w:cs="宋体"/>
          <w:sz w:val="24"/>
          <w:szCs w:val="24"/>
          <w:lang w:eastAsia="zh-CN"/>
        </w:rPr>
        <w:t>费用参照</w:t>
      </w:r>
      <w:r>
        <w:rPr>
          <w:rFonts w:hint="eastAsia" w:ascii="宋体" w:hAnsi="宋体" w:eastAsia="宋体" w:cs="宋体"/>
          <w:sz w:val="24"/>
          <w:szCs w:val="24"/>
          <w:lang w:val="en-US" w:eastAsia="zh-CN"/>
        </w:rPr>
        <w:t>报价单</w:t>
      </w:r>
      <w:r>
        <w:rPr>
          <w:rFonts w:hint="eastAsia" w:ascii="宋体" w:hAnsi="宋体" w:eastAsia="宋体" w:cs="宋体"/>
          <w:sz w:val="24"/>
          <w:szCs w:val="24"/>
          <w:lang w:eastAsia="zh-CN"/>
        </w:rPr>
        <w:t>按实际发生费用结算</w:t>
      </w:r>
      <w:r>
        <w:rPr>
          <w:rFonts w:hint="eastAsia" w:ascii="宋体" w:hAnsi="宋体" w:eastAsia="宋体" w:cs="宋体"/>
          <w:sz w:val="24"/>
          <w:szCs w:val="24"/>
        </w:rPr>
        <w:t>。</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ascii="宋体" w:hAnsi="宋体" w:eastAsia="宋体" w:cs="宋体"/>
          <w:sz w:val="24"/>
          <w:szCs w:val="24"/>
        </w:rPr>
        <w:t>提供知识产权咨询服务和保护建议，包括但不限于：商标、著作权申请注册，行政诉讼和侵权诉讼，商标复审、异议、无效宣告，知识产权价值评估、企业知识产权工作体系建设等。</w:t>
      </w:r>
    </w:p>
    <w:p>
      <w:pPr>
        <w:pStyle w:val="4"/>
        <w:keepNext/>
        <w:keepLines/>
        <w:pageBreakBefore w:val="0"/>
        <w:widowControl w:val="0"/>
        <w:numPr>
          <w:ilvl w:val="0"/>
          <w:numId w:val="1"/>
        </w:numPr>
        <w:shd w:val="clear"/>
        <w:kinsoku/>
        <w:wordWrap/>
        <w:overflowPunct/>
        <w:topLinePunct w:val="0"/>
        <w:autoSpaceDE/>
        <w:autoSpaceDN/>
        <w:bidi w:val="0"/>
        <w:adjustRightInd/>
        <w:snapToGrid/>
        <w:spacing w:before="0" w:beforeLines="0" w:after="0" w:afterLines="0" w:line="560" w:lineRule="exact"/>
        <w:textAlignment w:val="auto"/>
        <w:rPr>
          <w:rFonts w:hint="default" w:ascii="宋体" w:hAnsi="宋体" w:eastAsia="宋体" w:cs="宋体"/>
          <w:highlight w:val="none"/>
          <w:lang w:val="en-US" w:eastAsia="zh-CN"/>
        </w:rPr>
      </w:pPr>
      <w:r>
        <w:rPr>
          <w:rFonts w:hint="default" w:ascii="宋体" w:hAnsi="宋体" w:eastAsia="宋体" w:cs="宋体"/>
          <w:highlight w:val="none"/>
          <w:lang w:val="en-US" w:eastAsia="zh-CN"/>
        </w:rPr>
        <w:t>双方责任</w:t>
      </w:r>
    </w:p>
    <w:p>
      <w:pPr>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default" w:ascii="Arial" w:hAnsi="Arial" w:eastAsia="宋体" w:cs="Times New Roman"/>
          <w:b/>
          <w:kern w:val="2"/>
          <w:sz w:val="25"/>
          <w:szCs w:val="22"/>
          <w:highlight w:val="none"/>
          <w:lang w:val="en-US" w:eastAsia="zh-CN" w:bidi="ar-SA"/>
        </w:rPr>
      </w:pPr>
      <w:r>
        <w:rPr>
          <w:rFonts w:hint="eastAsia" w:ascii="Arial" w:hAnsi="Arial" w:eastAsia="宋体" w:cs="Times New Roman"/>
          <w:b/>
          <w:kern w:val="2"/>
          <w:sz w:val="25"/>
          <w:szCs w:val="22"/>
          <w:highlight w:val="none"/>
          <w:lang w:val="en-US" w:eastAsia="zh-CN" w:bidi="ar-SA"/>
        </w:rPr>
        <w:t>4.1</w:t>
      </w:r>
      <w:r>
        <w:rPr>
          <w:rFonts w:hint="eastAsia" w:ascii="Arial" w:hAnsi="Arial" w:cs="Times New Roman"/>
          <w:b/>
          <w:kern w:val="2"/>
          <w:sz w:val="25"/>
          <w:szCs w:val="22"/>
          <w:highlight w:val="none"/>
          <w:lang w:val="en-US" w:eastAsia="zh-CN" w:bidi="ar-SA"/>
        </w:rPr>
        <w:t>采购方</w:t>
      </w:r>
      <w:r>
        <w:rPr>
          <w:rFonts w:hint="default" w:ascii="Arial" w:hAnsi="Arial" w:eastAsia="宋体" w:cs="Times New Roman"/>
          <w:b/>
          <w:kern w:val="2"/>
          <w:sz w:val="25"/>
          <w:szCs w:val="22"/>
          <w:highlight w:val="none"/>
          <w:lang w:val="en-US" w:eastAsia="zh-CN" w:bidi="ar-SA"/>
        </w:rPr>
        <w:t>责任</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（1）提供商标注册资料。</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val="en-US" w:eastAsia="zh-CN"/>
        </w:rPr>
        <w:t>负责根据合同签订协议约定及时办理结算及支付。</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商标申请通过结束后一次性结算与支付，具体以合同约定为准。</w:t>
      </w:r>
    </w:p>
    <w:p>
      <w:pPr>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default"/>
          <w:lang w:val="en-US" w:eastAsia="zh-CN"/>
        </w:rPr>
      </w:pPr>
      <w:r>
        <w:rPr>
          <w:rFonts w:hint="eastAsia" w:ascii="Arial" w:hAnsi="Arial" w:cs="Times New Roman"/>
          <w:b/>
          <w:kern w:val="2"/>
          <w:sz w:val="25"/>
          <w:szCs w:val="22"/>
          <w:highlight w:val="none"/>
          <w:lang w:val="en-US" w:eastAsia="zh-CN" w:bidi="ar-SA"/>
        </w:rPr>
        <w:t>4.2报价方</w:t>
      </w:r>
      <w:r>
        <w:rPr>
          <w:rFonts w:hint="default" w:ascii="Arial" w:hAnsi="Arial" w:eastAsia="宋体" w:cs="Times New Roman"/>
          <w:b/>
          <w:kern w:val="2"/>
          <w:sz w:val="25"/>
          <w:szCs w:val="22"/>
          <w:highlight w:val="none"/>
          <w:lang w:val="en-US" w:eastAsia="zh-CN" w:bidi="ar-SA"/>
        </w:rPr>
        <w:t>责任</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（1）负责</w:t>
      </w:r>
      <w:r>
        <w:rPr>
          <w:rFonts w:hint="default" w:ascii="宋体" w:hAnsi="宋体" w:eastAsia="宋体" w:cs="宋体"/>
          <w:sz w:val="24"/>
          <w:szCs w:val="24"/>
          <w:lang w:val="en-US" w:eastAsia="zh-CN"/>
        </w:rPr>
        <w:t>商标注册申请前，</w:t>
      </w:r>
      <w:r>
        <w:rPr>
          <w:rFonts w:hint="eastAsia" w:ascii="宋体" w:hAnsi="宋体" w:eastAsia="宋体" w:cs="宋体"/>
          <w:sz w:val="24"/>
          <w:szCs w:val="24"/>
          <w:lang w:val="en-US" w:eastAsia="zh-CN"/>
        </w:rPr>
        <w:t>对</w:t>
      </w:r>
      <w:r>
        <w:rPr>
          <w:rFonts w:hint="default" w:ascii="宋体" w:hAnsi="宋体" w:eastAsia="宋体" w:cs="宋体"/>
          <w:sz w:val="24"/>
          <w:szCs w:val="24"/>
          <w:lang w:val="en-US" w:eastAsia="zh-CN"/>
        </w:rPr>
        <w:t>商标</w:t>
      </w:r>
      <w:r>
        <w:rPr>
          <w:rFonts w:hint="eastAsia" w:ascii="宋体" w:hAnsi="宋体" w:eastAsia="宋体" w:cs="宋体"/>
          <w:sz w:val="24"/>
          <w:szCs w:val="24"/>
          <w:lang w:val="en-US" w:eastAsia="zh-CN"/>
        </w:rPr>
        <w:t>进行</w:t>
      </w:r>
      <w:r>
        <w:rPr>
          <w:rFonts w:hint="default" w:ascii="宋体" w:hAnsi="宋体" w:eastAsia="宋体" w:cs="宋体"/>
          <w:sz w:val="24"/>
          <w:szCs w:val="24"/>
          <w:lang w:val="en-US" w:eastAsia="zh-CN"/>
        </w:rPr>
        <w:t>查询，以确认所申请商标是否</w:t>
      </w:r>
      <w:r>
        <w:rPr>
          <w:rFonts w:hint="eastAsia" w:ascii="宋体" w:hAnsi="宋体" w:cs="宋体"/>
          <w:sz w:val="24"/>
          <w:szCs w:val="24"/>
          <w:lang w:val="en-US" w:eastAsia="zh-CN"/>
        </w:rPr>
        <w:t>存在不符合商标注册的情况</w:t>
      </w:r>
      <w:r>
        <w:rPr>
          <w:rFonts w:hint="default" w:ascii="宋体" w:hAnsi="宋体" w:eastAsia="宋体" w:cs="宋体"/>
          <w:sz w:val="24"/>
          <w:szCs w:val="24"/>
          <w:lang w:val="en-US" w:eastAsia="zh-CN"/>
        </w:rPr>
        <w:t>，</w:t>
      </w:r>
      <w:r>
        <w:rPr>
          <w:rFonts w:hint="eastAsia" w:ascii="宋体" w:hAnsi="宋体" w:cs="宋体"/>
          <w:sz w:val="24"/>
          <w:szCs w:val="24"/>
          <w:lang w:val="en-US" w:eastAsia="zh-CN"/>
        </w:rPr>
        <w:t>应对注册风险提出必要提示和建议，以便采购方争取商标注册</w:t>
      </w:r>
      <w:r>
        <w:rPr>
          <w:rFonts w:hint="eastAsia" w:ascii="宋体" w:hAnsi="宋体" w:eastAsia="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（2）负责收集商标注册资料，确保资料符合</w:t>
      </w:r>
      <w:r>
        <w:rPr>
          <w:rFonts w:hint="eastAsia" w:ascii="宋体" w:hAnsi="宋体" w:cs="宋体"/>
          <w:sz w:val="24"/>
          <w:szCs w:val="24"/>
          <w:lang w:val="en-US" w:eastAsia="zh-CN"/>
        </w:rPr>
        <w:t>规</w:t>
      </w:r>
      <w:r>
        <w:rPr>
          <w:rFonts w:hint="default" w:ascii="宋体" w:hAnsi="宋体" w:eastAsia="宋体" w:cs="宋体"/>
          <w:sz w:val="24"/>
          <w:szCs w:val="24"/>
          <w:lang w:val="en-US" w:eastAsia="zh-CN"/>
        </w:rPr>
        <w:t>定的格式和要求</w:t>
      </w:r>
      <w:r>
        <w:rPr>
          <w:rFonts w:hint="eastAsia" w:ascii="宋体" w:hAnsi="宋体" w:eastAsia="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负责办理</w:t>
      </w:r>
      <w:r>
        <w:rPr>
          <w:rFonts w:hint="eastAsia" w:ascii="宋体" w:hAnsi="宋体" w:eastAsia="宋体" w:cs="宋体"/>
          <w:sz w:val="24"/>
          <w:szCs w:val="24"/>
          <w:lang w:val="en-US" w:eastAsia="zh-CN"/>
        </w:rPr>
        <w:t>商标注册</w:t>
      </w:r>
      <w:r>
        <w:rPr>
          <w:rFonts w:hint="default" w:ascii="宋体" w:hAnsi="宋体" w:eastAsia="宋体" w:cs="宋体"/>
          <w:sz w:val="24"/>
          <w:szCs w:val="24"/>
          <w:lang w:val="en-US" w:eastAsia="zh-CN"/>
        </w:rPr>
        <w:t>手续</w:t>
      </w:r>
      <w:r>
        <w:rPr>
          <w:rFonts w:hint="eastAsia" w:ascii="宋体" w:hAnsi="宋体" w:cs="宋体"/>
          <w:sz w:val="24"/>
          <w:szCs w:val="24"/>
          <w:lang w:val="en-US" w:eastAsia="zh-CN"/>
        </w:rPr>
        <w:t>，确保</w:t>
      </w:r>
      <w:r>
        <w:rPr>
          <w:rFonts w:hint="eastAsia" w:ascii="宋体" w:hAnsi="宋体" w:eastAsia="宋体" w:cs="宋体"/>
          <w:sz w:val="24"/>
          <w:szCs w:val="24"/>
          <w:lang w:val="en-US" w:eastAsia="zh-CN"/>
        </w:rPr>
        <w:t>商标成功注册。</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34D016"/>
    <w:multiLevelType w:val="singleLevel"/>
    <w:tmpl w:val="2234D01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jNjI5OGQ3Y2Q5NzRkYjgzZmMxODMyNTI3ZmFiMzcifQ=="/>
  </w:docVars>
  <w:rsids>
    <w:rsidRoot w:val="00172A27"/>
    <w:rsid w:val="00E33444"/>
    <w:rsid w:val="039C7E97"/>
    <w:rsid w:val="062702A8"/>
    <w:rsid w:val="0962208A"/>
    <w:rsid w:val="097035F9"/>
    <w:rsid w:val="0A0C1573"/>
    <w:rsid w:val="0B7F7D92"/>
    <w:rsid w:val="0CD52136"/>
    <w:rsid w:val="0D73132E"/>
    <w:rsid w:val="0E7A51CD"/>
    <w:rsid w:val="0F617AEF"/>
    <w:rsid w:val="111F24D5"/>
    <w:rsid w:val="15914F7B"/>
    <w:rsid w:val="15A510A7"/>
    <w:rsid w:val="169D4817"/>
    <w:rsid w:val="173043C7"/>
    <w:rsid w:val="18AB7130"/>
    <w:rsid w:val="1A1B7FC6"/>
    <w:rsid w:val="1B087B35"/>
    <w:rsid w:val="1B5A7C65"/>
    <w:rsid w:val="1BF65BDF"/>
    <w:rsid w:val="1C9F4679"/>
    <w:rsid w:val="26C3134B"/>
    <w:rsid w:val="28ED0ECD"/>
    <w:rsid w:val="28F5717D"/>
    <w:rsid w:val="2A0400B6"/>
    <w:rsid w:val="2A41554F"/>
    <w:rsid w:val="2AAF417D"/>
    <w:rsid w:val="2F0A3A24"/>
    <w:rsid w:val="309A1572"/>
    <w:rsid w:val="31E34D8C"/>
    <w:rsid w:val="36984058"/>
    <w:rsid w:val="382755B1"/>
    <w:rsid w:val="394924CF"/>
    <w:rsid w:val="4371026E"/>
    <w:rsid w:val="43AF71D5"/>
    <w:rsid w:val="43B86604"/>
    <w:rsid w:val="455B74FC"/>
    <w:rsid w:val="484C1B8A"/>
    <w:rsid w:val="48A37E1F"/>
    <w:rsid w:val="4B0F29F6"/>
    <w:rsid w:val="4D920FB4"/>
    <w:rsid w:val="50770396"/>
    <w:rsid w:val="50DA34CF"/>
    <w:rsid w:val="526B2842"/>
    <w:rsid w:val="536C331E"/>
    <w:rsid w:val="56BF4446"/>
    <w:rsid w:val="57196B0A"/>
    <w:rsid w:val="59864AEC"/>
    <w:rsid w:val="5A53777D"/>
    <w:rsid w:val="5BE35584"/>
    <w:rsid w:val="5D656145"/>
    <w:rsid w:val="5D8E679F"/>
    <w:rsid w:val="5E7B7098"/>
    <w:rsid w:val="60765F74"/>
    <w:rsid w:val="61A471A2"/>
    <w:rsid w:val="61F53312"/>
    <w:rsid w:val="620F042E"/>
    <w:rsid w:val="63D805B9"/>
    <w:rsid w:val="64EF75A6"/>
    <w:rsid w:val="6534761E"/>
    <w:rsid w:val="6832131A"/>
    <w:rsid w:val="6B433876"/>
    <w:rsid w:val="6D8A10F3"/>
    <w:rsid w:val="75BC5488"/>
    <w:rsid w:val="77AA4A6D"/>
    <w:rsid w:val="77C0159F"/>
    <w:rsid w:val="784A3F46"/>
    <w:rsid w:val="78BE391B"/>
    <w:rsid w:val="7A97447A"/>
    <w:rsid w:val="7B395012"/>
    <w:rsid w:val="7C386C10"/>
    <w:rsid w:val="7E4B3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5">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7">
    <w:name w:val="annotation text"/>
    <w:basedOn w:val="1"/>
    <w:qFormat/>
    <w:uiPriority w:val="0"/>
    <w:pPr>
      <w:jc w:val="left"/>
    </w:pPr>
  </w:style>
  <w:style w:type="paragraph" w:styleId="8">
    <w:name w:val="footer"/>
    <w:basedOn w:val="1"/>
    <w:qFormat/>
    <w:uiPriority w:val="0"/>
    <w:pPr>
      <w:tabs>
        <w:tab w:val="center" w:pos="4153"/>
        <w:tab w:val="right" w:pos="8306"/>
      </w:tabs>
      <w:snapToGrid w:val="0"/>
      <w:jc w:val="left"/>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562</Words>
  <Characters>612</Characters>
  <Lines>0</Lines>
  <Paragraphs>0</Paragraphs>
  <TotalTime>3</TotalTime>
  <ScaleCrop>false</ScaleCrop>
  <LinksUpToDate>false</LinksUpToDate>
  <CharactersWithSpaces>621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徐位墅</cp:lastModifiedBy>
  <cp:lastPrinted>2025-01-07T02:46:00Z</cp:lastPrinted>
  <dcterms:modified xsi:type="dcterms:W3CDTF">2025-07-16T07:04:28Z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004E39ADFC094365B3BE1C61C4EBACD8</vt:lpwstr>
  </property>
  <property fmtid="{D5CDD505-2E9C-101B-9397-08002B2CF9AE}" pid="4" name="KSOTemplateDocerSaveRecord">
    <vt:lpwstr>eyJoZGlkIjoiZDZmN2M1NjhjYzIyZjE1ZDY2NDFmY2EzYTc5MTI2ZWYifQ==</vt:lpwstr>
  </property>
</Properties>
</file>