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eastAsia="黑体"/>
          <w:color w:val="auto"/>
          <w:sz w:val="44"/>
          <w:szCs w:val="44"/>
          <w:highlight w:val="none"/>
        </w:rPr>
      </w:pPr>
      <w:r>
        <w:rPr>
          <w:rFonts w:hint="eastAsia" w:eastAsia="黑体"/>
          <w:b/>
          <w:color w:val="auto"/>
          <w:spacing w:val="-20"/>
          <w:sz w:val="48"/>
          <w:szCs w:val="48"/>
          <w:highlight w:val="none"/>
        </w:rPr>
        <w:drawing>
          <wp:anchor distT="0" distB="0" distL="114300" distR="114300" simplePos="0" relativeHeight="251660288" behindDoc="1" locked="0" layoutInCell="1" allowOverlap="1">
            <wp:simplePos x="0" y="0"/>
            <wp:positionH relativeFrom="column">
              <wp:posOffset>-1162050</wp:posOffset>
            </wp:positionH>
            <wp:positionV relativeFrom="paragraph">
              <wp:posOffset>-923925</wp:posOffset>
            </wp:positionV>
            <wp:extent cx="7569835" cy="3072765"/>
            <wp:effectExtent l="0" t="0" r="0" b="0"/>
            <wp:wrapTight wrapText="bothSides">
              <wp:wrapPolygon>
                <wp:start x="0" y="0"/>
                <wp:lineTo x="0" y="21426"/>
                <wp:lineTo x="21526" y="21426"/>
                <wp:lineTo x="21526" y="0"/>
                <wp:lineTo x="0" y="0"/>
              </wp:wrapPolygon>
            </wp:wrapTight>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pic:cNvPicPr>
                  </pic:nvPicPr>
                  <pic:blipFill>
                    <a:blip r:embed="rId9"/>
                    <a:stretch>
                      <a:fillRect/>
                    </a:stretch>
                  </pic:blipFill>
                  <pic:spPr>
                    <a:xfrm>
                      <a:off x="0" y="0"/>
                      <a:ext cx="7569835" cy="3072765"/>
                    </a:xfrm>
                    <a:prstGeom prst="rect">
                      <a:avLst/>
                    </a:prstGeom>
                    <a:noFill/>
                    <a:ln>
                      <a:noFill/>
                    </a:ln>
                  </pic:spPr>
                </pic:pic>
              </a:graphicData>
            </a:graphic>
          </wp:anchor>
        </w:drawing>
      </w:r>
    </w:p>
    <w:p>
      <w:pPr>
        <w:bidi w:val="0"/>
        <w:rPr>
          <w:color w:val="auto"/>
          <w:highlight w:val="none"/>
        </w:rPr>
      </w:pPr>
    </w:p>
    <w:p>
      <w:pPr>
        <w:spacing w:line="700" w:lineRule="exact"/>
        <w:jc w:val="center"/>
        <w:rPr>
          <w:rFonts w:hint="eastAsia" w:eastAsia="黑体"/>
          <w:b/>
          <w:color w:val="auto"/>
          <w:sz w:val="48"/>
          <w:szCs w:val="22"/>
          <w:highlight w:val="none"/>
          <w:lang w:val="zh-CN"/>
        </w:rPr>
      </w:pPr>
    </w:p>
    <w:p>
      <w:pPr>
        <w:spacing w:line="700" w:lineRule="exact"/>
        <w:jc w:val="center"/>
        <w:rPr>
          <w:rFonts w:hint="eastAsia" w:eastAsia="黑体"/>
          <w:b/>
          <w:color w:val="auto"/>
          <w:sz w:val="44"/>
          <w:szCs w:val="21"/>
          <w:highlight w:val="none"/>
          <w:lang w:val="zh-CN"/>
        </w:rPr>
      </w:pPr>
      <w:r>
        <w:rPr>
          <w:rFonts w:hint="eastAsia" w:eastAsia="黑体"/>
          <w:b/>
          <w:color w:val="auto"/>
          <w:sz w:val="44"/>
          <w:szCs w:val="21"/>
          <w:highlight w:val="none"/>
          <w:lang w:val="zh-CN"/>
        </w:rPr>
        <w:t>海南电网有限责任公司2025年</w:t>
      </w:r>
    </w:p>
    <w:p>
      <w:pPr>
        <w:spacing w:line="700" w:lineRule="exact"/>
        <w:jc w:val="center"/>
        <w:rPr>
          <w:rFonts w:hint="eastAsia" w:eastAsia="黑体"/>
          <w:b/>
          <w:color w:val="auto"/>
          <w:sz w:val="44"/>
          <w:szCs w:val="21"/>
          <w:highlight w:val="none"/>
          <w:lang w:val="zh-CN"/>
        </w:rPr>
      </w:pPr>
      <w:r>
        <w:rPr>
          <w:rFonts w:hint="eastAsia" w:eastAsia="黑体"/>
          <w:b/>
          <w:color w:val="auto"/>
          <w:sz w:val="44"/>
          <w:szCs w:val="21"/>
          <w:highlight w:val="none"/>
          <w:lang w:val="zh-CN"/>
        </w:rPr>
        <w:t>海口变电运检分公司变电站智能安防与定位作业可视化</w:t>
      </w:r>
      <w:r>
        <w:rPr>
          <w:rFonts w:hint="eastAsia" w:eastAsia="黑体"/>
          <w:b/>
          <w:color w:val="auto"/>
          <w:sz w:val="44"/>
          <w:szCs w:val="21"/>
          <w:highlight w:val="none"/>
          <w:lang w:val="en-US" w:eastAsia="zh-CN"/>
        </w:rPr>
        <w:t>系统配套</w:t>
      </w:r>
      <w:r>
        <w:rPr>
          <w:rFonts w:hint="eastAsia" w:eastAsia="黑体"/>
          <w:b/>
          <w:color w:val="auto"/>
          <w:sz w:val="44"/>
          <w:szCs w:val="21"/>
          <w:highlight w:val="none"/>
          <w:lang w:val="zh-CN"/>
        </w:rPr>
        <w:t>硬件采购</w:t>
      </w:r>
    </w:p>
    <w:p>
      <w:pPr>
        <w:spacing w:line="700" w:lineRule="exact"/>
        <w:jc w:val="center"/>
        <w:rPr>
          <w:rFonts w:hint="eastAsia" w:eastAsia="黑体"/>
          <w:b/>
          <w:color w:val="auto"/>
          <w:sz w:val="44"/>
          <w:szCs w:val="21"/>
          <w:highlight w:val="none"/>
          <w:lang w:val="zh-CN"/>
        </w:rPr>
      </w:pPr>
      <w:r>
        <w:rPr>
          <w:rFonts w:hint="eastAsia" w:eastAsia="黑体"/>
          <w:b/>
          <w:color w:val="auto"/>
          <w:sz w:val="44"/>
          <w:szCs w:val="21"/>
          <w:highlight w:val="none"/>
          <w:lang w:val="zh-CN"/>
        </w:rPr>
        <w:t>专项公开招标项目</w:t>
      </w:r>
    </w:p>
    <w:p>
      <w:pPr>
        <w:spacing w:line="700" w:lineRule="exact"/>
        <w:jc w:val="center"/>
        <w:rPr>
          <w:rFonts w:hint="eastAsia" w:eastAsia="黑体"/>
          <w:b/>
          <w:color w:val="auto"/>
          <w:sz w:val="48"/>
          <w:szCs w:val="22"/>
          <w:highlight w:val="none"/>
          <w:lang w:val="zh-CN"/>
        </w:rPr>
      </w:pPr>
      <w:r>
        <w:rPr>
          <w:rFonts w:hint="eastAsia" w:eastAsia="黑体"/>
          <w:b/>
          <w:color w:val="auto"/>
          <w:sz w:val="44"/>
          <w:szCs w:val="21"/>
          <w:highlight w:val="none"/>
          <w:lang w:val="zh-CN"/>
        </w:rPr>
        <w:t>技术规范书</w:t>
      </w:r>
    </w:p>
    <w:p>
      <w:pPr>
        <w:rPr>
          <w:rFonts w:ascii="宋体"/>
          <w:b/>
          <w:color w:val="auto"/>
          <w:sz w:val="32"/>
          <w:szCs w:val="20"/>
          <w:highlight w:val="none"/>
        </w:rPr>
      </w:pPr>
    </w:p>
    <w:p>
      <w:pPr>
        <w:rPr>
          <w:rFonts w:ascii="宋体"/>
          <w:b/>
          <w:color w:val="auto"/>
          <w:sz w:val="32"/>
          <w:szCs w:val="20"/>
          <w:highlight w:val="none"/>
        </w:rPr>
      </w:pPr>
    </w:p>
    <w:p>
      <w:pPr>
        <w:rPr>
          <w:color w:val="auto"/>
          <w:highlight w:val="none"/>
        </w:rPr>
      </w:pPr>
    </w:p>
    <w:p>
      <w:pPr>
        <w:rPr>
          <w:color w:val="auto"/>
          <w:highlight w:val="none"/>
        </w:rPr>
      </w:pPr>
    </w:p>
    <w:p>
      <w:pPr>
        <w:rPr>
          <w:color w:val="auto"/>
          <w:highlight w:val="none"/>
        </w:rPr>
      </w:pPr>
    </w:p>
    <w:p>
      <w:pPr>
        <w:spacing w:line="240" w:lineRule="auto"/>
        <w:jc w:val="center"/>
        <w:rPr>
          <w:rFonts w:ascii="黑体" w:eastAsia="黑体"/>
          <w:b/>
          <w:color w:val="auto"/>
          <w:spacing w:val="20"/>
          <w:w w:val="135"/>
          <w:sz w:val="30"/>
          <w:szCs w:val="20"/>
          <w:highlight w:val="none"/>
        </w:rPr>
      </w:pPr>
    </w:p>
    <w:p>
      <w:pPr>
        <w:snapToGrid w:val="0"/>
        <w:ind w:firstLine="420"/>
        <w:jc w:val="center"/>
        <w:rPr>
          <w:rFonts w:hint="eastAsia" w:eastAsia="黑体"/>
          <w:b/>
          <w:color w:val="auto"/>
          <w:sz w:val="40"/>
          <w:szCs w:val="20"/>
          <w:highlight w:val="none"/>
          <w:lang w:val="zh-CN"/>
        </w:rPr>
      </w:pPr>
      <w:r>
        <w:rPr>
          <w:rFonts w:hint="eastAsia" w:eastAsia="黑体"/>
          <w:b/>
          <w:color w:val="auto"/>
          <w:sz w:val="40"/>
          <w:szCs w:val="20"/>
          <w:highlight w:val="none"/>
          <w:lang w:val="zh-CN"/>
        </w:rPr>
        <w:t>海南电网有限责任公司</w:t>
      </w:r>
    </w:p>
    <w:p>
      <w:pPr>
        <w:snapToGrid w:val="0"/>
        <w:ind w:firstLine="420"/>
        <w:jc w:val="center"/>
        <w:rPr>
          <w:rFonts w:hint="eastAsia" w:eastAsia="黑体"/>
          <w:b/>
          <w:color w:val="auto"/>
          <w:sz w:val="40"/>
          <w:szCs w:val="20"/>
          <w:highlight w:val="none"/>
          <w:lang w:val="zh-CN"/>
        </w:rPr>
        <w:sectPr>
          <w:footerReference r:id="rId5" w:type="default"/>
          <w:pgSz w:w="11906" w:h="16838"/>
          <w:pgMar w:top="1440" w:right="1800" w:bottom="1440" w:left="1800" w:header="851" w:footer="992" w:gutter="0"/>
          <w:pgNumType w:start="1"/>
          <w:cols w:space="425" w:num="1"/>
          <w:docGrid w:type="lines" w:linePitch="312" w:charSpace="0"/>
        </w:sectPr>
      </w:pPr>
      <w:r>
        <w:rPr>
          <w:rFonts w:hint="eastAsia" w:eastAsia="黑体"/>
          <w:b/>
          <w:color w:val="auto"/>
          <w:sz w:val="40"/>
          <w:szCs w:val="20"/>
          <w:highlight w:val="none"/>
          <w:lang w:val="zh-CN"/>
        </w:rPr>
        <w:t>202</w:t>
      </w:r>
      <w:r>
        <w:rPr>
          <w:rFonts w:hint="eastAsia" w:eastAsia="黑体"/>
          <w:b/>
          <w:color w:val="auto"/>
          <w:sz w:val="40"/>
          <w:szCs w:val="20"/>
          <w:highlight w:val="none"/>
          <w:lang w:val="en-US" w:eastAsia="zh-CN"/>
        </w:rPr>
        <w:t>5</w:t>
      </w:r>
      <w:r>
        <w:rPr>
          <w:rFonts w:hint="eastAsia" w:eastAsia="黑体"/>
          <w:b/>
          <w:color w:val="auto"/>
          <w:sz w:val="40"/>
          <w:szCs w:val="20"/>
          <w:highlight w:val="none"/>
          <w:lang w:val="zh-CN"/>
        </w:rPr>
        <w:t>年0</w:t>
      </w:r>
      <w:r>
        <w:rPr>
          <w:rFonts w:hint="eastAsia" w:eastAsia="黑体"/>
          <w:b/>
          <w:color w:val="auto"/>
          <w:sz w:val="40"/>
          <w:szCs w:val="20"/>
          <w:highlight w:val="none"/>
          <w:lang w:val="en-US" w:eastAsia="zh-CN"/>
        </w:rPr>
        <w:t>4</w:t>
      </w:r>
      <w:r>
        <w:rPr>
          <w:rFonts w:hint="eastAsia" w:eastAsia="黑体"/>
          <w:b/>
          <w:color w:val="auto"/>
          <w:sz w:val="40"/>
          <w:szCs w:val="20"/>
          <w:highlight w:val="none"/>
          <w:lang w:val="zh-CN"/>
        </w:rPr>
        <w:t>月</w:t>
      </w:r>
    </w:p>
    <w:p>
      <w:pPr>
        <w:spacing w:line="360" w:lineRule="exact"/>
        <w:jc w:val="center"/>
        <w:rPr>
          <w:rFonts w:eastAsia="黑体"/>
          <w:b/>
          <w:color w:val="auto"/>
          <w:sz w:val="52"/>
          <w:highlight w:val="none"/>
        </w:rPr>
      </w:pPr>
    </w:p>
    <w:p>
      <w:pPr>
        <w:pStyle w:val="16"/>
        <w:tabs>
          <w:tab w:val="right" w:leader="dot" w:pos="8705"/>
        </w:tabs>
        <w:spacing w:line="240" w:lineRule="auto"/>
        <w:jc w:val="center"/>
        <w:rPr>
          <w:rFonts w:ascii="黑体" w:hAnsi="黑体" w:eastAsia="黑体" w:cs="黑体"/>
          <w:b/>
          <w:color w:val="auto"/>
          <w:sz w:val="36"/>
          <w:szCs w:val="36"/>
          <w:highlight w:val="none"/>
        </w:rPr>
      </w:pPr>
      <w:bookmarkStart w:id="0" w:name="_Toc384241741"/>
      <w:r>
        <w:rPr>
          <w:rFonts w:hint="eastAsia" w:ascii="黑体" w:hAnsi="黑体" w:eastAsia="黑体" w:cs="黑体"/>
          <w:b/>
          <w:color w:val="auto"/>
          <w:sz w:val="36"/>
          <w:szCs w:val="36"/>
          <w:highlight w:val="none"/>
        </w:rPr>
        <w:t>目   录</w:t>
      </w:r>
    </w:p>
    <w:p>
      <w:pPr>
        <w:pStyle w:val="16"/>
        <w:tabs>
          <w:tab w:val="right" w:leader="dot" w:pos="8306"/>
        </w:tabs>
        <w:rPr>
          <w:color w:val="auto"/>
        </w:rPr>
      </w:pPr>
      <w:r>
        <w:rPr>
          <w:b/>
          <w:color w:val="auto"/>
          <w:sz w:val="21"/>
          <w:highlight w:val="none"/>
        </w:rPr>
        <w:fldChar w:fldCharType="begin"/>
      </w:r>
      <w:r>
        <w:rPr>
          <w:b/>
          <w:color w:val="auto"/>
          <w:sz w:val="21"/>
          <w:highlight w:val="none"/>
        </w:rPr>
        <w:instrText xml:space="preserve">TOC \o "1-3" \t "" \h \z \u </w:instrText>
      </w:r>
      <w:r>
        <w:rPr>
          <w:b/>
          <w:color w:val="auto"/>
          <w:sz w:val="21"/>
          <w:highlight w:val="none"/>
        </w:rPr>
        <w:fldChar w:fldCharType="separate"/>
      </w:r>
      <w:r>
        <w:rPr>
          <w:color w:val="auto"/>
          <w:highlight w:val="none"/>
        </w:rPr>
        <w:fldChar w:fldCharType="begin"/>
      </w:r>
      <w:r>
        <w:rPr>
          <w:color w:val="auto"/>
          <w:highlight w:val="none"/>
        </w:rPr>
        <w:instrText xml:space="preserve"> HYPERLINK \l _Toc28743 </w:instrText>
      </w:r>
      <w:r>
        <w:rPr>
          <w:color w:val="auto"/>
          <w:highlight w:val="none"/>
        </w:rPr>
        <w:fldChar w:fldCharType="separate"/>
      </w:r>
      <w:r>
        <w:rPr>
          <w:rFonts w:hint="eastAsia" w:ascii="黑体" w:hAnsi="黑体" w:eastAsia="黑体"/>
          <w:bCs w:val="0"/>
          <w:color w:val="auto"/>
          <w:szCs w:val="22"/>
          <w:highlight w:val="none"/>
        </w:rPr>
        <w:t>1 总则</w:t>
      </w:r>
      <w:r>
        <w:rPr>
          <w:color w:val="auto"/>
        </w:rPr>
        <w:tab/>
      </w:r>
      <w:r>
        <w:rPr>
          <w:color w:val="auto"/>
        </w:rPr>
        <w:fldChar w:fldCharType="begin"/>
      </w:r>
      <w:r>
        <w:rPr>
          <w:color w:val="auto"/>
        </w:rPr>
        <w:instrText xml:space="preserve"> PAGEREF _Toc28743 \h </w:instrText>
      </w:r>
      <w:r>
        <w:rPr>
          <w:color w:val="auto"/>
        </w:rPr>
        <w:fldChar w:fldCharType="separate"/>
      </w:r>
      <w:r>
        <w:rPr>
          <w:color w:val="auto"/>
        </w:rPr>
        <w:t>1</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_Toc18538 </w:instrText>
      </w:r>
      <w:r>
        <w:rPr>
          <w:color w:val="auto"/>
          <w:highlight w:val="none"/>
        </w:rPr>
        <w:fldChar w:fldCharType="separate"/>
      </w:r>
      <w:r>
        <w:rPr>
          <w:rFonts w:hint="eastAsia" w:ascii="黑体" w:hAnsi="黑体" w:eastAsia="黑体"/>
          <w:bCs w:val="0"/>
          <w:color w:val="auto"/>
          <w:szCs w:val="22"/>
          <w:highlight w:val="none"/>
        </w:rPr>
        <w:t>2  工作要求</w:t>
      </w:r>
      <w:r>
        <w:rPr>
          <w:color w:val="auto"/>
        </w:rPr>
        <w:tab/>
      </w:r>
      <w:r>
        <w:rPr>
          <w:color w:val="auto"/>
        </w:rPr>
        <w:fldChar w:fldCharType="begin"/>
      </w:r>
      <w:r>
        <w:rPr>
          <w:color w:val="auto"/>
        </w:rPr>
        <w:instrText xml:space="preserve"> PAGEREF _Toc18538 \h </w:instrText>
      </w:r>
      <w:r>
        <w:rPr>
          <w:color w:val="auto"/>
        </w:rPr>
        <w:fldChar w:fldCharType="separate"/>
      </w:r>
      <w:r>
        <w:rPr>
          <w:color w:val="auto"/>
        </w:rPr>
        <w:t>2</w:t>
      </w:r>
      <w:r>
        <w:rPr>
          <w:color w:val="auto"/>
        </w:rPr>
        <w:fldChar w:fldCharType="end"/>
      </w:r>
      <w:r>
        <w:rPr>
          <w:color w:val="auto"/>
          <w:highlight w:val="none"/>
        </w:rPr>
        <w:fldChar w:fldCharType="end"/>
      </w:r>
    </w:p>
    <w:p>
      <w:pPr>
        <w:pStyle w:val="17"/>
        <w:tabs>
          <w:tab w:val="right" w:leader="dot" w:pos="8306"/>
        </w:tabs>
        <w:ind w:left="0" w:leftChars="0" w:firstLine="0" w:firstLineChars="0"/>
        <w:rPr>
          <w:color w:val="auto"/>
        </w:rPr>
      </w:pPr>
      <w:r>
        <w:rPr>
          <w:color w:val="auto"/>
          <w:highlight w:val="none"/>
        </w:rPr>
        <w:fldChar w:fldCharType="begin"/>
      </w:r>
      <w:r>
        <w:rPr>
          <w:color w:val="auto"/>
          <w:highlight w:val="none"/>
        </w:rPr>
        <w:instrText xml:space="preserve"> HYPERLINK \l _Toc10763 </w:instrText>
      </w:r>
      <w:r>
        <w:rPr>
          <w:color w:val="auto"/>
          <w:highlight w:val="none"/>
        </w:rPr>
        <w:fldChar w:fldCharType="separate"/>
      </w:r>
      <w:r>
        <w:rPr>
          <w:rFonts w:hint="eastAsia" w:ascii="黑体" w:hAnsi="黑体" w:eastAsia="黑体" w:cs="Times New Roman"/>
          <w:bCs w:val="0"/>
          <w:color w:val="auto"/>
          <w:kern w:val="44"/>
          <w:szCs w:val="22"/>
          <w:highlight w:val="none"/>
          <w:lang w:val="en-US" w:eastAsia="zh-CN" w:bidi="ar-SA"/>
        </w:rPr>
        <w:t>3.终端设备与系统集成要求</w:t>
      </w:r>
      <w:r>
        <w:rPr>
          <w:color w:val="auto"/>
        </w:rPr>
        <w:tab/>
      </w:r>
      <w:r>
        <w:rPr>
          <w:color w:val="auto"/>
        </w:rPr>
        <w:fldChar w:fldCharType="begin"/>
      </w:r>
      <w:r>
        <w:rPr>
          <w:color w:val="auto"/>
        </w:rPr>
        <w:instrText xml:space="preserve"> PAGEREF _Toc10763 \h </w:instrText>
      </w:r>
      <w:r>
        <w:rPr>
          <w:color w:val="auto"/>
        </w:rPr>
        <w:fldChar w:fldCharType="separate"/>
      </w:r>
      <w:r>
        <w:rPr>
          <w:color w:val="auto"/>
        </w:rPr>
        <w:t>7</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_Toc24913 </w:instrText>
      </w:r>
      <w:r>
        <w:rPr>
          <w:color w:val="auto"/>
          <w:highlight w:val="none"/>
        </w:rPr>
        <w:fldChar w:fldCharType="separate"/>
      </w:r>
      <w:r>
        <w:rPr>
          <w:rFonts w:hint="eastAsia" w:ascii="黑体" w:hAnsi="黑体" w:eastAsia="黑体" w:cs="Times New Roman"/>
          <w:bCs w:val="0"/>
          <w:color w:val="auto"/>
          <w:kern w:val="44"/>
          <w:szCs w:val="22"/>
          <w:highlight w:val="none"/>
          <w:lang w:val="en-US" w:eastAsia="zh-CN" w:bidi="ar-SA"/>
        </w:rPr>
        <w:t>4  包装、运输和贮存</w:t>
      </w:r>
      <w:r>
        <w:rPr>
          <w:color w:val="auto"/>
        </w:rPr>
        <w:tab/>
      </w:r>
      <w:r>
        <w:rPr>
          <w:color w:val="auto"/>
        </w:rPr>
        <w:fldChar w:fldCharType="begin"/>
      </w:r>
      <w:r>
        <w:rPr>
          <w:color w:val="auto"/>
        </w:rPr>
        <w:instrText xml:space="preserve"> PAGEREF _Toc24913 \h </w:instrText>
      </w:r>
      <w:r>
        <w:rPr>
          <w:color w:val="auto"/>
        </w:rPr>
        <w:fldChar w:fldCharType="separate"/>
      </w:r>
      <w:r>
        <w:rPr>
          <w:color w:val="auto"/>
        </w:rPr>
        <w:t>7</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_Toc20027 </w:instrText>
      </w:r>
      <w:r>
        <w:rPr>
          <w:color w:val="auto"/>
          <w:highlight w:val="none"/>
        </w:rPr>
        <w:fldChar w:fldCharType="separate"/>
      </w:r>
      <w:r>
        <w:rPr>
          <w:rFonts w:hint="eastAsia" w:ascii="黑体" w:hAnsi="黑体" w:eastAsia="黑体" w:cs="Times New Roman"/>
          <w:bCs w:val="0"/>
          <w:color w:val="auto"/>
          <w:kern w:val="44"/>
          <w:szCs w:val="22"/>
          <w:highlight w:val="none"/>
          <w:lang w:val="en-US" w:eastAsia="zh-CN" w:bidi="ar-SA"/>
        </w:rPr>
        <w:t>5 双方工作安排</w:t>
      </w:r>
      <w:r>
        <w:rPr>
          <w:color w:val="auto"/>
        </w:rPr>
        <w:tab/>
      </w:r>
      <w:r>
        <w:rPr>
          <w:color w:val="auto"/>
        </w:rPr>
        <w:fldChar w:fldCharType="begin"/>
      </w:r>
      <w:r>
        <w:rPr>
          <w:color w:val="auto"/>
        </w:rPr>
        <w:instrText xml:space="preserve"> PAGEREF _Toc20027 \h </w:instrText>
      </w:r>
      <w:r>
        <w:rPr>
          <w:color w:val="auto"/>
        </w:rPr>
        <w:fldChar w:fldCharType="separate"/>
      </w:r>
      <w:r>
        <w:rPr>
          <w:color w:val="auto"/>
        </w:rPr>
        <w:t>8</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_Toc23250 </w:instrText>
      </w:r>
      <w:r>
        <w:rPr>
          <w:color w:val="auto"/>
          <w:highlight w:val="none"/>
        </w:rPr>
        <w:fldChar w:fldCharType="separate"/>
      </w:r>
      <w:r>
        <w:rPr>
          <w:rFonts w:hint="eastAsia" w:ascii="黑体" w:hAnsi="黑体" w:eastAsia="黑体"/>
          <w:bCs w:val="0"/>
          <w:color w:val="auto"/>
          <w:szCs w:val="21"/>
          <w:highlight w:val="none"/>
          <w:lang w:val="en-US" w:eastAsia="zh-CN"/>
        </w:rPr>
        <w:t>6</w:t>
      </w:r>
      <w:r>
        <w:rPr>
          <w:rFonts w:hint="eastAsia" w:ascii="黑体" w:hAnsi="黑体" w:eastAsia="黑体"/>
          <w:bCs w:val="0"/>
          <w:color w:val="auto"/>
          <w:szCs w:val="21"/>
          <w:highlight w:val="none"/>
        </w:rPr>
        <w:t>.</w:t>
      </w:r>
      <w:r>
        <w:rPr>
          <w:rFonts w:hint="eastAsia" w:ascii="黑体" w:hAnsi="黑体" w:eastAsia="黑体"/>
          <w:bCs w:val="0"/>
          <w:color w:val="auto"/>
          <w:szCs w:val="21"/>
          <w:highlight w:val="none"/>
          <w:lang w:val="en-US" w:eastAsia="zh-CN"/>
        </w:rPr>
        <w:t>项目集成服务</w:t>
      </w:r>
      <w:r>
        <w:rPr>
          <w:rFonts w:hint="eastAsia" w:ascii="黑体" w:hAnsi="黑体" w:eastAsia="黑体"/>
          <w:bCs w:val="0"/>
          <w:color w:val="auto"/>
          <w:szCs w:val="21"/>
          <w:highlight w:val="none"/>
        </w:rPr>
        <w:t>地点</w:t>
      </w:r>
      <w:r>
        <w:rPr>
          <w:color w:val="auto"/>
        </w:rPr>
        <w:tab/>
      </w:r>
      <w:r>
        <w:rPr>
          <w:color w:val="auto"/>
        </w:rPr>
        <w:fldChar w:fldCharType="begin"/>
      </w:r>
      <w:r>
        <w:rPr>
          <w:color w:val="auto"/>
        </w:rPr>
        <w:instrText xml:space="preserve"> PAGEREF _Toc23250 \h </w:instrText>
      </w:r>
      <w:r>
        <w:rPr>
          <w:color w:val="auto"/>
        </w:rPr>
        <w:fldChar w:fldCharType="separate"/>
      </w:r>
      <w:r>
        <w:rPr>
          <w:color w:val="auto"/>
        </w:rPr>
        <w:t>9</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_Toc9821 </w:instrText>
      </w:r>
      <w:r>
        <w:rPr>
          <w:color w:val="auto"/>
          <w:highlight w:val="none"/>
        </w:rPr>
        <w:fldChar w:fldCharType="separate"/>
      </w:r>
      <w:r>
        <w:rPr>
          <w:rFonts w:hint="eastAsia" w:ascii="黑体" w:hAnsi="黑体" w:eastAsia="黑体"/>
          <w:bCs w:val="0"/>
          <w:color w:val="auto"/>
          <w:szCs w:val="21"/>
          <w:highlight w:val="none"/>
          <w:lang w:val="en-US" w:eastAsia="zh-CN"/>
        </w:rPr>
        <w:t>7</w:t>
      </w:r>
      <w:r>
        <w:rPr>
          <w:rFonts w:hint="eastAsia" w:ascii="黑体" w:hAnsi="黑体" w:eastAsia="黑体"/>
          <w:bCs w:val="0"/>
          <w:color w:val="auto"/>
          <w:szCs w:val="21"/>
          <w:highlight w:val="none"/>
        </w:rPr>
        <w:t>.技术资料</w:t>
      </w:r>
      <w:r>
        <w:rPr>
          <w:color w:val="auto"/>
        </w:rPr>
        <w:tab/>
      </w:r>
      <w:r>
        <w:rPr>
          <w:color w:val="auto"/>
        </w:rPr>
        <w:fldChar w:fldCharType="begin"/>
      </w:r>
      <w:r>
        <w:rPr>
          <w:color w:val="auto"/>
        </w:rPr>
        <w:instrText xml:space="preserve"> PAGEREF _Toc9821 \h </w:instrText>
      </w:r>
      <w:r>
        <w:rPr>
          <w:color w:val="auto"/>
        </w:rPr>
        <w:fldChar w:fldCharType="separate"/>
      </w:r>
      <w:r>
        <w:rPr>
          <w:color w:val="auto"/>
        </w:rPr>
        <w:t>9</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_Toc30010 </w:instrText>
      </w:r>
      <w:r>
        <w:rPr>
          <w:color w:val="auto"/>
          <w:highlight w:val="none"/>
        </w:rPr>
        <w:fldChar w:fldCharType="separate"/>
      </w:r>
      <w:r>
        <w:rPr>
          <w:rFonts w:hint="eastAsia" w:ascii="黑体" w:hAnsi="黑体" w:eastAsia="黑体"/>
          <w:bCs w:val="0"/>
          <w:color w:val="auto"/>
          <w:szCs w:val="21"/>
          <w:highlight w:val="none"/>
          <w:lang w:val="en-US" w:eastAsia="zh-CN"/>
        </w:rPr>
        <w:t>8</w:t>
      </w:r>
      <w:r>
        <w:rPr>
          <w:rFonts w:hint="eastAsia" w:ascii="黑体" w:hAnsi="黑体" w:eastAsia="黑体"/>
          <w:bCs w:val="0"/>
          <w:color w:val="auto"/>
          <w:szCs w:val="21"/>
          <w:highlight w:val="none"/>
        </w:rPr>
        <w:t>.到货及验收</w:t>
      </w:r>
      <w:r>
        <w:rPr>
          <w:color w:val="auto"/>
        </w:rPr>
        <w:tab/>
      </w:r>
      <w:r>
        <w:rPr>
          <w:color w:val="auto"/>
        </w:rPr>
        <w:fldChar w:fldCharType="begin"/>
      </w:r>
      <w:r>
        <w:rPr>
          <w:color w:val="auto"/>
        </w:rPr>
        <w:instrText xml:space="preserve"> PAGEREF _Toc30010 \h </w:instrText>
      </w:r>
      <w:r>
        <w:rPr>
          <w:color w:val="auto"/>
        </w:rPr>
        <w:fldChar w:fldCharType="separate"/>
      </w:r>
      <w:r>
        <w:rPr>
          <w:color w:val="auto"/>
        </w:rPr>
        <w:t>10</w:t>
      </w:r>
      <w:r>
        <w:rPr>
          <w:color w:val="auto"/>
        </w:rPr>
        <w:fldChar w:fldCharType="end"/>
      </w:r>
      <w:r>
        <w:rPr>
          <w:color w:val="auto"/>
          <w:highlight w:val="none"/>
        </w:rPr>
        <w:fldChar w:fldCharType="end"/>
      </w:r>
    </w:p>
    <w:p>
      <w:pPr>
        <w:pStyle w:val="16"/>
        <w:tabs>
          <w:tab w:val="right" w:leader="dot" w:pos="8306"/>
        </w:tabs>
        <w:rPr>
          <w:color w:val="auto"/>
        </w:rPr>
      </w:pPr>
      <w:r>
        <w:rPr>
          <w:color w:val="auto"/>
          <w:highlight w:val="none"/>
        </w:rPr>
        <w:fldChar w:fldCharType="begin"/>
      </w:r>
      <w:r>
        <w:rPr>
          <w:color w:val="auto"/>
          <w:highlight w:val="none"/>
        </w:rPr>
        <w:instrText xml:space="preserve"> HYPERLINK \l _Toc16158 </w:instrText>
      </w:r>
      <w:r>
        <w:rPr>
          <w:color w:val="auto"/>
          <w:highlight w:val="none"/>
        </w:rPr>
        <w:fldChar w:fldCharType="separate"/>
      </w:r>
      <w:r>
        <w:rPr>
          <w:rFonts w:hint="eastAsia" w:ascii="黑体" w:hAnsi="黑体" w:eastAsia="黑体"/>
          <w:bCs w:val="0"/>
          <w:color w:val="auto"/>
          <w:szCs w:val="21"/>
          <w:highlight w:val="none"/>
          <w:lang w:val="en-US" w:eastAsia="zh-CN"/>
        </w:rPr>
        <w:t>9</w:t>
      </w:r>
      <w:r>
        <w:rPr>
          <w:rFonts w:hint="eastAsia" w:ascii="黑体" w:hAnsi="黑体" w:eastAsia="黑体"/>
          <w:bCs w:val="0"/>
          <w:color w:val="auto"/>
          <w:szCs w:val="21"/>
          <w:highlight w:val="none"/>
        </w:rPr>
        <w:t>.技术服务</w:t>
      </w:r>
      <w:r>
        <w:rPr>
          <w:color w:val="auto"/>
        </w:rPr>
        <w:tab/>
      </w:r>
      <w:r>
        <w:rPr>
          <w:color w:val="auto"/>
        </w:rPr>
        <w:fldChar w:fldCharType="begin"/>
      </w:r>
      <w:r>
        <w:rPr>
          <w:color w:val="auto"/>
        </w:rPr>
        <w:instrText xml:space="preserve"> PAGEREF _Toc16158 \h </w:instrText>
      </w:r>
      <w:r>
        <w:rPr>
          <w:color w:val="auto"/>
        </w:rPr>
        <w:fldChar w:fldCharType="separate"/>
      </w:r>
      <w:r>
        <w:rPr>
          <w:color w:val="auto"/>
        </w:rPr>
        <w:t>10</w:t>
      </w:r>
      <w:r>
        <w:rPr>
          <w:color w:val="auto"/>
        </w:rPr>
        <w:fldChar w:fldCharType="end"/>
      </w:r>
      <w:r>
        <w:rPr>
          <w:color w:val="auto"/>
          <w:highlight w:val="none"/>
        </w:rPr>
        <w:fldChar w:fldCharType="end"/>
      </w:r>
    </w:p>
    <w:p>
      <w:pPr>
        <w:pStyle w:val="16"/>
        <w:tabs>
          <w:tab w:val="right" w:leader="dot" w:pos="8705"/>
        </w:tabs>
        <w:spacing w:line="240" w:lineRule="auto"/>
        <w:rPr>
          <w:b/>
          <w:color w:val="auto"/>
          <w:sz w:val="21"/>
          <w:highlight w:val="none"/>
        </w:rPr>
        <w:sectPr>
          <w:pgSz w:w="11906" w:h="16838"/>
          <w:pgMar w:top="1440" w:right="1800" w:bottom="1440" w:left="1800" w:header="851" w:footer="992" w:gutter="0"/>
          <w:pgNumType w:start="1"/>
          <w:cols w:space="425" w:num="1"/>
          <w:docGrid w:type="lines" w:linePitch="312" w:charSpace="0"/>
        </w:sectPr>
      </w:pPr>
      <w:r>
        <w:rPr>
          <w:color w:val="auto"/>
          <w:highlight w:val="none"/>
        </w:rPr>
        <w:fldChar w:fldCharType="end"/>
      </w:r>
      <w:r>
        <w:rPr>
          <w:b/>
          <w:color w:val="auto"/>
          <w:sz w:val="21"/>
          <w:highlight w:val="none"/>
        </w:rPr>
        <w:br w:type="page"/>
      </w:r>
    </w:p>
    <w:p>
      <w:pPr>
        <w:pStyle w:val="2"/>
        <w:topLinePunct/>
        <w:spacing w:before="0" w:after="0" w:line="480" w:lineRule="auto"/>
        <w:textAlignment w:val="baseline"/>
        <w:rPr>
          <w:rFonts w:ascii="黑体" w:hAnsi="黑体" w:eastAsia="黑体"/>
          <w:bCs w:val="0"/>
          <w:color w:val="auto"/>
          <w:sz w:val="22"/>
          <w:szCs w:val="22"/>
          <w:highlight w:val="none"/>
        </w:rPr>
      </w:pPr>
      <w:bookmarkStart w:id="1" w:name="_Toc508213787"/>
      <w:bookmarkStart w:id="2" w:name="_Toc28743"/>
      <w:r>
        <w:rPr>
          <w:rFonts w:hint="eastAsia" w:ascii="黑体" w:hAnsi="黑体" w:eastAsia="黑体"/>
          <w:bCs w:val="0"/>
          <w:color w:val="auto"/>
          <w:sz w:val="22"/>
          <w:szCs w:val="22"/>
          <w:highlight w:val="none"/>
        </w:rPr>
        <w:t xml:space="preserve">1 </w:t>
      </w:r>
      <w:bookmarkEnd w:id="0"/>
      <w:bookmarkEnd w:id="1"/>
      <w:r>
        <w:rPr>
          <w:rFonts w:hint="eastAsia" w:ascii="黑体" w:hAnsi="黑体" w:eastAsia="黑体"/>
          <w:bCs w:val="0"/>
          <w:color w:val="auto"/>
          <w:sz w:val="22"/>
          <w:szCs w:val="22"/>
          <w:highlight w:val="none"/>
        </w:rPr>
        <w:t>总则</w:t>
      </w:r>
      <w:bookmarkEnd w:id="2"/>
    </w:p>
    <w:p>
      <w:pPr>
        <w:pStyle w:val="6"/>
        <w:spacing w:before="0" w:after="0" w:line="360" w:lineRule="auto"/>
        <w:rPr>
          <w:rFonts w:hint="eastAsia" w:ascii="黑体" w:hAnsi="黑体" w:eastAsia="黑体" w:cs="黑体"/>
          <w:color w:val="auto"/>
          <w:sz w:val="22"/>
          <w:szCs w:val="22"/>
          <w:highlight w:val="none"/>
        </w:rPr>
      </w:pPr>
      <w:bookmarkStart w:id="3" w:name="_Toc20279"/>
      <w:bookmarkStart w:id="4" w:name="_Toc27301"/>
      <w:bookmarkStart w:id="5" w:name="_Toc12600"/>
      <w:r>
        <w:rPr>
          <w:rFonts w:hint="eastAsia" w:ascii="黑体" w:hAnsi="黑体" w:eastAsia="黑体" w:cs="黑体"/>
          <w:color w:val="auto"/>
          <w:sz w:val="22"/>
          <w:szCs w:val="22"/>
          <w:highlight w:val="none"/>
        </w:rPr>
        <w:t>1.1项目需求背景</w:t>
      </w:r>
      <w:bookmarkEnd w:id="3"/>
    </w:p>
    <w:p>
      <w:pPr>
        <w:snapToGrid w:val="0"/>
        <w:ind w:firstLine="404" w:firstLineChars="200"/>
        <w:jc w:val="left"/>
        <w:rPr>
          <w:rFonts w:hint="eastAsia" w:ascii="宋体" w:hAnsi="宋体"/>
          <w:color w:val="auto"/>
          <w:spacing w:val="-4"/>
          <w:sz w:val="21"/>
          <w:szCs w:val="21"/>
          <w:highlight w:val="none"/>
        </w:rPr>
      </w:pPr>
      <w:r>
        <w:rPr>
          <w:rFonts w:hint="eastAsia" w:ascii="宋体" w:hAnsi="宋体" w:eastAsia="宋体" w:cs="Times New Roman"/>
          <w:color w:val="auto"/>
          <w:spacing w:val="-4"/>
          <w:sz w:val="21"/>
          <w:szCs w:val="21"/>
          <w:highlight w:val="none"/>
          <w:lang w:val="en-US" w:eastAsia="zh-CN"/>
        </w:rPr>
        <w:t>为全面完善海口大英山变电站</w:t>
      </w:r>
      <w:r>
        <w:rPr>
          <w:rFonts w:hint="eastAsia" w:ascii="宋体" w:hAnsi="宋体" w:eastAsia="宋体" w:cs="Times New Roman"/>
          <w:color w:val="auto"/>
          <w:spacing w:val="-4"/>
          <w:sz w:val="21"/>
          <w:szCs w:val="21"/>
          <w:highlight w:val="none"/>
          <w:lang w:val="zh-CN" w:eastAsia="zh-CN"/>
        </w:rPr>
        <w:t>智能安防与定位作业可视化</w:t>
      </w:r>
      <w:r>
        <w:rPr>
          <w:rFonts w:hint="eastAsia" w:ascii="宋体" w:hAnsi="宋体" w:eastAsia="宋体" w:cs="Times New Roman"/>
          <w:color w:val="auto"/>
          <w:spacing w:val="-4"/>
          <w:sz w:val="21"/>
          <w:szCs w:val="21"/>
          <w:highlight w:val="none"/>
          <w:lang w:val="en-US" w:eastAsia="zh-CN"/>
        </w:rPr>
        <w:t>系统功能应用，全面强化变电站现场作业人员的定位、跟踪精细化管控，持续提高海南电网生产安防智能可视化应用能力，本项目将结合海口大英山变电站</w:t>
      </w:r>
      <w:r>
        <w:rPr>
          <w:rFonts w:hint="eastAsia" w:ascii="宋体" w:hAnsi="宋体" w:eastAsia="宋体" w:cs="Times New Roman"/>
          <w:color w:val="auto"/>
          <w:spacing w:val="-4"/>
          <w:sz w:val="21"/>
          <w:szCs w:val="21"/>
          <w:highlight w:val="none"/>
          <w:lang w:val="zh-CN" w:eastAsia="zh-CN"/>
        </w:rPr>
        <w:t>智能安防与定位作业可视化</w:t>
      </w:r>
      <w:r>
        <w:rPr>
          <w:rFonts w:hint="eastAsia" w:ascii="宋体" w:hAnsi="宋体" w:eastAsia="宋体" w:cs="Times New Roman"/>
          <w:color w:val="auto"/>
          <w:spacing w:val="-4"/>
          <w:sz w:val="21"/>
          <w:szCs w:val="21"/>
          <w:highlight w:val="none"/>
          <w:lang w:val="en-US" w:eastAsia="zh-CN"/>
        </w:rPr>
        <w:t>系统建设成果基础上，开展系统配套硬件专项采购工作，全面实现系统安防功能，助力系统</w:t>
      </w:r>
      <w:r>
        <w:rPr>
          <w:rFonts w:hint="eastAsia" w:ascii="宋体" w:hAnsi="宋体" w:eastAsia="宋体" w:cs="Times New Roman"/>
          <w:color w:val="auto"/>
          <w:spacing w:val="-4"/>
          <w:sz w:val="21"/>
          <w:szCs w:val="21"/>
          <w:highlight w:val="none"/>
          <w:lang w:val="zh-CN"/>
        </w:rPr>
        <w:t>建立以“人核心数据”为中心的底层感知体系、打通线上和线下</w:t>
      </w:r>
      <w:r>
        <w:rPr>
          <w:rFonts w:hint="eastAsia" w:ascii="宋体" w:hAnsi="宋体" w:eastAsia="宋体" w:cs="Times New Roman"/>
          <w:color w:val="auto"/>
          <w:spacing w:val="-4"/>
          <w:sz w:val="21"/>
          <w:szCs w:val="21"/>
          <w:highlight w:val="none"/>
          <w:lang w:val="en-US" w:eastAsia="zh-CN"/>
        </w:rPr>
        <w:t>的</w:t>
      </w:r>
      <w:r>
        <w:rPr>
          <w:rFonts w:hint="eastAsia" w:ascii="宋体" w:hAnsi="宋体" w:eastAsia="宋体" w:cs="Times New Roman"/>
          <w:color w:val="auto"/>
          <w:spacing w:val="-4"/>
          <w:sz w:val="21"/>
          <w:szCs w:val="21"/>
          <w:highlight w:val="none"/>
          <w:lang w:val="zh-CN"/>
        </w:rPr>
        <w:t>信息孤岛，从而实现感知融合人机互联</w:t>
      </w:r>
      <w:r>
        <w:rPr>
          <w:rFonts w:hint="eastAsia" w:ascii="宋体" w:hAnsi="宋体" w:eastAsia="宋体" w:cs="Times New Roman"/>
          <w:color w:val="auto"/>
          <w:spacing w:val="-4"/>
          <w:sz w:val="21"/>
          <w:szCs w:val="21"/>
          <w:highlight w:val="none"/>
          <w:lang w:val="zh-CN" w:eastAsia="zh-CN"/>
        </w:rPr>
        <w:t>，提升变电站安防质量</w:t>
      </w:r>
      <w:r>
        <w:rPr>
          <w:rFonts w:hint="eastAsia" w:ascii="宋体" w:hAnsi="宋体" w:cs="Times New Roman"/>
          <w:color w:val="auto"/>
          <w:spacing w:val="-4"/>
          <w:sz w:val="21"/>
          <w:szCs w:val="21"/>
          <w:highlight w:val="none"/>
          <w:lang w:eastAsia="zh-CN"/>
        </w:rPr>
        <w:t>。</w:t>
      </w:r>
      <w:r>
        <w:rPr>
          <w:rFonts w:hint="eastAsia" w:ascii="宋体" w:hAnsi="宋体" w:eastAsia="宋体" w:cs="Times New Roman"/>
          <w:color w:val="auto"/>
          <w:spacing w:val="-4"/>
          <w:sz w:val="21"/>
          <w:szCs w:val="21"/>
          <w:highlight w:val="none"/>
        </w:rPr>
        <w:t>依</w:t>
      </w:r>
      <w:r>
        <w:rPr>
          <w:rFonts w:hint="eastAsia" w:ascii="宋体" w:hAnsi="宋体"/>
          <w:color w:val="auto"/>
          <w:spacing w:val="-4"/>
          <w:sz w:val="21"/>
          <w:szCs w:val="21"/>
          <w:highlight w:val="none"/>
        </w:rPr>
        <w:t>据国家相关法律法规，结合公司实际，拟开展本项目采购。</w:t>
      </w:r>
    </w:p>
    <w:p>
      <w:pPr>
        <w:pStyle w:val="6"/>
        <w:spacing w:before="0" w:after="0" w:line="360" w:lineRule="auto"/>
        <w:rPr>
          <w:rFonts w:hint="eastAsia" w:ascii="黑体" w:hAnsi="黑体" w:eastAsia="黑体" w:cs="黑体"/>
          <w:color w:val="auto"/>
          <w:sz w:val="22"/>
          <w:szCs w:val="22"/>
          <w:highlight w:val="none"/>
        </w:rPr>
      </w:pPr>
      <w:bookmarkStart w:id="6" w:name="_Toc4883"/>
      <w:r>
        <w:rPr>
          <w:rFonts w:hint="eastAsia" w:ascii="黑体" w:hAnsi="黑体" w:eastAsia="黑体" w:cs="黑体"/>
          <w:color w:val="auto"/>
          <w:sz w:val="22"/>
          <w:szCs w:val="22"/>
          <w:highlight w:val="none"/>
        </w:rPr>
        <w:t>1.2投标须知</w:t>
      </w:r>
      <w:bookmarkEnd w:id="6"/>
    </w:p>
    <w:p>
      <w:pPr>
        <w:snapToGrid w:val="0"/>
        <w:ind w:firstLine="404" w:firstLineChars="200"/>
        <w:jc w:val="left"/>
        <w:rPr>
          <w:rFonts w:hint="eastAsia" w:ascii="宋体" w:hAnsi="宋体"/>
          <w:color w:val="auto"/>
          <w:spacing w:val="-4"/>
          <w:sz w:val="21"/>
          <w:szCs w:val="21"/>
          <w:highlight w:val="none"/>
        </w:rPr>
      </w:pPr>
      <w:r>
        <w:rPr>
          <w:rFonts w:hint="eastAsia" w:ascii="宋体" w:hAnsi="宋体"/>
          <w:color w:val="auto"/>
          <w:spacing w:val="-4"/>
          <w:sz w:val="21"/>
          <w:szCs w:val="21"/>
          <w:highlight w:val="none"/>
        </w:rPr>
        <w:t>1.2.1本招标技术规</w:t>
      </w:r>
      <w:r>
        <w:rPr>
          <w:rFonts w:hint="eastAsia" w:ascii="宋体" w:hAnsi="宋体" w:eastAsia="宋体" w:cs="Times New Roman"/>
          <w:color w:val="auto"/>
          <w:spacing w:val="-4"/>
          <w:sz w:val="21"/>
          <w:szCs w:val="21"/>
          <w:highlight w:val="none"/>
          <w:lang w:val="en-US" w:eastAsia="zh-CN"/>
        </w:rPr>
        <w:t>范适用于“</w:t>
      </w:r>
      <w:r>
        <w:rPr>
          <w:rFonts w:hint="eastAsia" w:ascii="宋体" w:hAnsi="宋体" w:eastAsia="宋体" w:cs="Times New Roman"/>
          <w:color w:val="auto"/>
          <w:spacing w:val="-4"/>
          <w:sz w:val="21"/>
          <w:szCs w:val="21"/>
          <w:highlight w:val="none"/>
          <w:lang w:val="zh-CN" w:eastAsia="zh-CN"/>
        </w:rPr>
        <w:t>海南电网有限责任公司2025年海口变电运检分公司变电站智能安防与定位作业可视化</w:t>
      </w:r>
      <w:r>
        <w:rPr>
          <w:rFonts w:hint="eastAsia" w:ascii="宋体" w:hAnsi="宋体" w:eastAsia="宋体" w:cs="Times New Roman"/>
          <w:color w:val="auto"/>
          <w:spacing w:val="-4"/>
          <w:sz w:val="21"/>
          <w:szCs w:val="21"/>
          <w:highlight w:val="none"/>
          <w:lang w:val="en-US" w:eastAsia="zh-CN"/>
        </w:rPr>
        <w:t>系统配套</w:t>
      </w:r>
      <w:r>
        <w:rPr>
          <w:rFonts w:hint="eastAsia" w:ascii="宋体" w:hAnsi="宋体" w:eastAsia="宋体" w:cs="Times New Roman"/>
          <w:color w:val="auto"/>
          <w:spacing w:val="-4"/>
          <w:sz w:val="21"/>
          <w:szCs w:val="21"/>
          <w:highlight w:val="none"/>
          <w:lang w:val="zh-CN" w:eastAsia="zh-CN"/>
        </w:rPr>
        <w:t>硬件采购专项公开招标项目”</w:t>
      </w:r>
      <w:r>
        <w:rPr>
          <w:rFonts w:hint="eastAsia" w:ascii="宋体" w:hAnsi="宋体" w:eastAsia="宋体" w:cs="Times New Roman"/>
          <w:color w:val="auto"/>
          <w:spacing w:val="-4"/>
          <w:sz w:val="21"/>
          <w:szCs w:val="21"/>
          <w:highlight w:val="none"/>
          <w:lang w:val="en-US" w:eastAsia="zh-CN"/>
        </w:rPr>
        <w:t>的设备供货、安装调试、数据接入、系统联调等集成技术服务</w:t>
      </w:r>
      <w:r>
        <w:rPr>
          <w:rFonts w:hint="eastAsia" w:ascii="宋体" w:hAnsi="宋体"/>
          <w:color w:val="auto"/>
          <w:spacing w:val="-4"/>
          <w:sz w:val="21"/>
          <w:szCs w:val="21"/>
          <w:highlight w:val="none"/>
        </w:rPr>
        <w:t>方面的技术要求。</w:t>
      </w:r>
    </w:p>
    <w:p>
      <w:pPr>
        <w:adjustRightInd w:val="0"/>
        <w:snapToGrid w:val="0"/>
        <w:rPr>
          <w:rFonts w:hint="eastAsia" w:ascii="宋体" w:hAnsi="宋体"/>
          <w:color w:val="auto"/>
          <w:spacing w:val="-4"/>
          <w:sz w:val="21"/>
          <w:szCs w:val="21"/>
          <w:highlight w:val="none"/>
        </w:rPr>
      </w:pPr>
      <w:r>
        <w:rPr>
          <w:rFonts w:hint="eastAsia" w:ascii="宋体" w:hAnsi="宋体"/>
          <w:color w:val="auto"/>
          <w:spacing w:val="-4"/>
          <w:sz w:val="21"/>
          <w:szCs w:val="21"/>
          <w:highlight w:val="none"/>
        </w:rPr>
        <w:t>1.2.2本次招标的中标方应按照项目的设备供货、安装、调试、数据接入、系统</w:t>
      </w:r>
      <w:r>
        <w:rPr>
          <w:rFonts w:hint="eastAsia" w:ascii="宋体" w:hAnsi="宋体"/>
          <w:color w:val="auto"/>
          <w:spacing w:val="-4"/>
          <w:sz w:val="21"/>
          <w:szCs w:val="21"/>
          <w:highlight w:val="none"/>
          <w:lang w:val="en-US" w:eastAsia="zh-CN"/>
        </w:rPr>
        <w:t>联调</w:t>
      </w:r>
      <w:r>
        <w:rPr>
          <w:rFonts w:hint="eastAsia" w:ascii="宋体" w:hAnsi="宋体"/>
          <w:color w:val="auto"/>
          <w:spacing w:val="-4"/>
          <w:sz w:val="21"/>
          <w:szCs w:val="21"/>
          <w:highlight w:val="none"/>
        </w:rPr>
        <w:t>等集成技术服务方面的技术要求，完成项目规定的建设任务，并协助其他相关的工作。</w:t>
      </w:r>
    </w:p>
    <w:p>
      <w:pPr>
        <w:adjustRightInd w:val="0"/>
        <w:snapToGrid w:val="0"/>
        <w:rPr>
          <w:rFonts w:hint="eastAsia" w:ascii="宋体" w:hAnsi="宋体"/>
          <w:color w:val="auto"/>
          <w:spacing w:val="-4"/>
          <w:sz w:val="21"/>
          <w:szCs w:val="21"/>
          <w:highlight w:val="none"/>
        </w:rPr>
      </w:pPr>
      <w:r>
        <w:rPr>
          <w:rFonts w:hint="eastAsia" w:ascii="宋体" w:hAnsi="宋体"/>
          <w:color w:val="auto"/>
          <w:spacing w:val="-4"/>
          <w:sz w:val="21"/>
          <w:szCs w:val="21"/>
          <w:highlight w:val="none"/>
        </w:rPr>
        <w:t>1.2.3双方项目违约的处罚在合同中明确</w:t>
      </w:r>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 xml:space="preserve">1.2.4本招标技术规范提出的是最低限度的技术要求, 并未对一切技术细节作出规定, 也未充分引述有关标准和规范的条文, </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应提供符合本招标技术文件和工业标准的优质产品。</w:t>
      </w:r>
      <w:bookmarkEnd w:id="4"/>
      <w:bookmarkEnd w:id="5"/>
      <w:bookmarkStart w:id="7" w:name="_Toc8522"/>
      <w:bookmarkStart w:id="8" w:name="_Toc8475"/>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1.2.5如果</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没有以书面形式对本招标技术规范的条文提出异议, 则意味着</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提供的设备完全符合本招标技术规范的要求。如有异议, 都应在报价书中以“对招标技术规范的意见和同招标技术规范的差异”为标题的专门章节中加以详细描述。</w:t>
      </w:r>
      <w:bookmarkEnd w:id="7"/>
      <w:bookmarkEnd w:id="8"/>
      <w:bookmarkStart w:id="9" w:name="_Toc8446"/>
      <w:bookmarkStart w:id="10" w:name="_Toc3512"/>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1.2.6本招标技术规范所使用的标准如遇与</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所执行的标准不一致时, 按较高标准执行。</w:t>
      </w:r>
      <w:bookmarkEnd w:id="9"/>
      <w:bookmarkEnd w:id="10"/>
      <w:bookmarkStart w:id="11" w:name="_Toc31528"/>
      <w:bookmarkStart w:id="12" w:name="_Toc31746"/>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1.2.7本招标技术规范经买、卖双方确认后作为订货合同的技术附件，与合同正文具有同等法律效力。</w:t>
      </w:r>
      <w:bookmarkEnd w:id="11"/>
      <w:bookmarkEnd w:id="12"/>
      <w:bookmarkStart w:id="13" w:name="_Toc6645"/>
      <w:bookmarkStart w:id="14" w:name="_Toc21576"/>
    </w:p>
    <w:bookmarkEnd w:id="13"/>
    <w:bookmarkEnd w:id="14"/>
    <w:p>
      <w:pPr>
        <w:adjustRightInd w:val="0"/>
        <w:snapToGrid w:val="0"/>
        <w:rPr>
          <w:rFonts w:ascii="宋体" w:hAnsi="宋体"/>
          <w:color w:val="auto"/>
          <w:spacing w:val="-4"/>
          <w:sz w:val="21"/>
          <w:szCs w:val="21"/>
          <w:highlight w:val="none"/>
        </w:rPr>
      </w:pPr>
      <w:bookmarkStart w:id="15" w:name="_Toc4896"/>
      <w:bookmarkStart w:id="16" w:name="_Toc21421"/>
      <w:r>
        <w:rPr>
          <w:rFonts w:hint="eastAsia" w:ascii="宋体" w:hAnsi="宋体"/>
          <w:color w:val="auto"/>
          <w:spacing w:val="-4"/>
          <w:sz w:val="21"/>
          <w:szCs w:val="21"/>
          <w:highlight w:val="none"/>
          <w:lang w:val="en-US" w:eastAsia="zh-CN"/>
        </w:rPr>
        <w:t>1.2.8</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在应标技术文件中应如实反映应标产品与本招标技术规范的技术差异。如果</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没有提出技术差异，而在执行合同的过程中，</w:t>
      </w:r>
      <w:r>
        <w:rPr>
          <w:rFonts w:hint="eastAsia" w:ascii="宋体" w:hAnsi="宋体"/>
          <w:color w:val="auto"/>
          <w:spacing w:val="-4"/>
          <w:sz w:val="21"/>
          <w:szCs w:val="21"/>
          <w:highlight w:val="none"/>
          <w:lang w:eastAsia="zh-CN"/>
        </w:rPr>
        <w:t>招标人</w:t>
      </w:r>
      <w:r>
        <w:rPr>
          <w:rFonts w:hint="eastAsia" w:ascii="宋体" w:hAnsi="宋体"/>
          <w:color w:val="auto"/>
          <w:spacing w:val="-4"/>
          <w:sz w:val="21"/>
          <w:szCs w:val="21"/>
          <w:highlight w:val="none"/>
        </w:rPr>
        <w:t>发现</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提供的产品与其应标技术文件的条文存在差异，</w:t>
      </w:r>
      <w:r>
        <w:rPr>
          <w:rFonts w:hint="eastAsia" w:ascii="宋体" w:hAnsi="宋体"/>
          <w:color w:val="auto"/>
          <w:spacing w:val="-4"/>
          <w:sz w:val="21"/>
          <w:szCs w:val="21"/>
          <w:highlight w:val="none"/>
          <w:lang w:eastAsia="zh-CN"/>
        </w:rPr>
        <w:t>招标人</w:t>
      </w:r>
      <w:r>
        <w:rPr>
          <w:rFonts w:hint="eastAsia" w:ascii="宋体" w:hAnsi="宋体"/>
          <w:color w:val="auto"/>
          <w:spacing w:val="-4"/>
          <w:sz w:val="21"/>
          <w:szCs w:val="21"/>
          <w:highlight w:val="none"/>
        </w:rPr>
        <w:t>有权利要求退货，并将对下一年度的评标工作有不同程度的影响。</w:t>
      </w:r>
      <w:bookmarkStart w:id="17" w:name="_Toc13847"/>
      <w:bookmarkStart w:id="18" w:name="_Toc30656"/>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1.2.</w:t>
      </w:r>
      <w:r>
        <w:rPr>
          <w:rFonts w:hint="eastAsia" w:ascii="宋体" w:hAnsi="宋体"/>
          <w:color w:val="auto"/>
          <w:spacing w:val="-4"/>
          <w:sz w:val="21"/>
          <w:szCs w:val="21"/>
          <w:highlight w:val="none"/>
          <w:lang w:val="en-US" w:eastAsia="zh-CN"/>
        </w:rPr>
        <w:t>9</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应在应标技术部分按本招标技术规范的要求如实详细的填写应标设备详情，并在应标商务部分按此标准配置进行报价，如发现二者有矛盾之处，将对评标工作有不同程度的影响。</w:t>
      </w:r>
      <w:bookmarkEnd w:id="17"/>
      <w:bookmarkEnd w:id="18"/>
      <w:bookmarkStart w:id="19" w:name="_Toc11887"/>
      <w:bookmarkStart w:id="20" w:name="_Toc4033"/>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1.2.1</w:t>
      </w:r>
      <w:r>
        <w:rPr>
          <w:rFonts w:hint="eastAsia" w:ascii="宋体" w:hAnsi="宋体"/>
          <w:color w:val="auto"/>
          <w:spacing w:val="-4"/>
          <w:sz w:val="21"/>
          <w:szCs w:val="21"/>
          <w:highlight w:val="none"/>
          <w:lang w:val="en-US" w:eastAsia="zh-CN"/>
        </w:rPr>
        <w:t>0</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应充分理解本招标技术规范并按本招标技术规范的具体条款、格式要求填写应标的技术文件，如发现应标的技术文件条款、格式不符合本招标技术文件的要求，则认为应标不严肃，在评标时将有不同程度的扣分。</w:t>
      </w:r>
      <w:bookmarkEnd w:id="19"/>
      <w:bookmarkEnd w:id="20"/>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1.2.1</w:t>
      </w:r>
      <w:r>
        <w:rPr>
          <w:rFonts w:hint="eastAsia" w:ascii="宋体" w:hAnsi="宋体"/>
          <w:color w:val="auto"/>
          <w:spacing w:val="-4"/>
          <w:sz w:val="21"/>
          <w:szCs w:val="21"/>
          <w:highlight w:val="none"/>
          <w:lang w:val="en-US" w:eastAsia="zh-CN"/>
        </w:rPr>
        <w:t>1</w:t>
      </w:r>
      <w:r>
        <w:rPr>
          <w:rFonts w:hint="eastAsia" w:ascii="宋体" w:hAnsi="宋体"/>
          <w:color w:val="auto"/>
          <w:spacing w:val="-4"/>
          <w:sz w:val="21"/>
          <w:szCs w:val="21"/>
          <w:highlight w:val="none"/>
        </w:rPr>
        <w:t>本项目采购的</w:t>
      </w:r>
      <w:r>
        <w:rPr>
          <w:rFonts w:hint="eastAsia" w:ascii="宋体" w:hAnsi="宋体"/>
          <w:color w:val="auto"/>
          <w:spacing w:val="-4"/>
          <w:sz w:val="21"/>
          <w:szCs w:val="21"/>
          <w:highlight w:val="none"/>
          <w:lang w:val="en-US" w:eastAsia="zh-CN"/>
        </w:rPr>
        <w:t>配套</w:t>
      </w:r>
      <w:r>
        <w:rPr>
          <w:rFonts w:hint="eastAsia" w:ascii="宋体" w:hAnsi="宋体"/>
          <w:color w:val="auto"/>
          <w:spacing w:val="-4"/>
          <w:sz w:val="21"/>
          <w:szCs w:val="21"/>
          <w:highlight w:val="none"/>
        </w:rPr>
        <w:t>智能终端</w:t>
      </w:r>
      <w:r>
        <w:rPr>
          <w:rFonts w:hint="eastAsia" w:ascii="宋体" w:hAnsi="宋体"/>
          <w:color w:val="auto"/>
          <w:spacing w:val="-4"/>
          <w:sz w:val="21"/>
          <w:szCs w:val="21"/>
          <w:highlight w:val="none"/>
          <w:lang w:val="en-US" w:eastAsia="zh-CN"/>
        </w:rPr>
        <w:t>硬件设备</w:t>
      </w:r>
      <w:r>
        <w:rPr>
          <w:rFonts w:hint="eastAsia" w:ascii="宋体" w:hAnsi="宋体"/>
          <w:color w:val="auto"/>
          <w:spacing w:val="-4"/>
          <w:sz w:val="21"/>
          <w:szCs w:val="21"/>
          <w:highlight w:val="none"/>
        </w:rPr>
        <w:t>需与</w:t>
      </w:r>
      <w:r>
        <w:rPr>
          <w:rFonts w:hint="eastAsia" w:ascii="宋体" w:hAnsi="宋体" w:eastAsia="宋体" w:cs="Times New Roman"/>
          <w:color w:val="auto"/>
          <w:spacing w:val="-4"/>
          <w:sz w:val="21"/>
          <w:szCs w:val="21"/>
          <w:highlight w:val="none"/>
          <w:lang w:val="en-US" w:eastAsia="zh-CN"/>
        </w:rPr>
        <w:t>大英山变电站</w:t>
      </w:r>
      <w:r>
        <w:rPr>
          <w:rFonts w:hint="eastAsia" w:ascii="宋体" w:hAnsi="宋体" w:eastAsia="宋体" w:cs="Times New Roman"/>
          <w:color w:val="auto"/>
          <w:spacing w:val="-4"/>
          <w:sz w:val="21"/>
          <w:szCs w:val="21"/>
          <w:highlight w:val="none"/>
          <w:lang w:val="zh-CN" w:eastAsia="zh-CN"/>
        </w:rPr>
        <w:t>智能安防与定位作业可视化</w:t>
      </w:r>
      <w:r>
        <w:rPr>
          <w:rFonts w:hint="eastAsia" w:ascii="宋体" w:hAnsi="宋体" w:eastAsia="宋体" w:cs="Times New Roman"/>
          <w:color w:val="auto"/>
          <w:spacing w:val="-4"/>
          <w:sz w:val="21"/>
          <w:szCs w:val="21"/>
          <w:highlight w:val="none"/>
          <w:lang w:val="en-US" w:eastAsia="zh-CN"/>
        </w:rPr>
        <w:t>系统</w:t>
      </w:r>
      <w:r>
        <w:rPr>
          <w:rFonts w:hint="eastAsia" w:ascii="宋体" w:hAnsi="宋体"/>
          <w:color w:val="auto"/>
          <w:spacing w:val="-4"/>
          <w:sz w:val="21"/>
          <w:szCs w:val="21"/>
          <w:highlight w:val="none"/>
          <w:lang w:val="en-US" w:eastAsia="zh-CN"/>
        </w:rPr>
        <w:t>和</w:t>
      </w:r>
      <w:r>
        <w:rPr>
          <w:rFonts w:hint="eastAsia" w:ascii="宋体" w:hAnsi="宋体"/>
          <w:color w:val="auto"/>
          <w:spacing w:val="-4"/>
          <w:sz w:val="21"/>
          <w:szCs w:val="21"/>
          <w:highlight w:val="none"/>
        </w:rPr>
        <w:t>变电边侧系统</w:t>
      </w:r>
      <w:r>
        <w:rPr>
          <w:rFonts w:hint="eastAsia" w:ascii="宋体" w:hAnsi="宋体"/>
          <w:color w:val="auto"/>
          <w:spacing w:val="-4"/>
          <w:sz w:val="21"/>
          <w:szCs w:val="21"/>
          <w:highlight w:val="none"/>
          <w:lang w:val="en-US" w:eastAsia="zh-CN"/>
        </w:rPr>
        <w:t>开展调试及</w:t>
      </w:r>
      <w:r>
        <w:rPr>
          <w:rFonts w:hint="eastAsia" w:ascii="宋体" w:hAnsi="宋体"/>
          <w:color w:val="auto"/>
          <w:spacing w:val="-4"/>
          <w:sz w:val="21"/>
          <w:szCs w:val="21"/>
          <w:highlight w:val="none"/>
        </w:rPr>
        <w:t>配套应用，</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须具有数据集成</w:t>
      </w:r>
      <w:r>
        <w:rPr>
          <w:rFonts w:hint="eastAsia" w:ascii="宋体" w:hAnsi="宋体"/>
          <w:color w:val="auto"/>
          <w:spacing w:val="-4"/>
          <w:sz w:val="21"/>
          <w:szCs w:val="21"/>
          <w:highlight w:val="none"/>
          <w:lang w:val="en-US" w:eastAsia="zh-CN"/>
        </w:rPr>
        <w:t>的</w:t>
      </w:r>
      <w:r>
        <w:rPr>
          <w:rFonts w:hint="eastAsia" w:ascii="宋体" w:hAnsi="宋体"/>
          <w:color w:val="auto"/>
          <w:spacing w:val="-4"/>
          <w:sz w:val="21"/>
          <w:szCs w:val="21"/>
          <w:highlight w:val="none"/>
        </w:rPr>
        <w:t>信息系统开发实施业绩经验，以满足终端与系统的数据接入及调测。</w:t>
      </w:r>
    </w:p>
    <w:p>
      <w:pPr>
        <w:adjustRightInd w:val="0"/>
        <w:snapToGrid w:val="0"/>
        <w:rPr>
          <w:color w:val="auto"/>
          <w:highlight w:val="none"/>
        </w:rPr>
      </w:pPr>
      <w:r>
        <w:rPr>
          <w:rFonts w:hint="eastAsia" w:ascii="黑体" w:hAnsi="黑体" w:eastAsia="黑体"/>
          <w:color w:val="auto"/>
          <w:spacing w:val="-4"/>
          <w:sz w:val="21"/>
          <w:szCs w:val="21"/>
          <w:highlight w:val="none"/>
        </w:rPr>
        <w:t>1.</w:t>
      </w:r>
      <w:r>
        <w:rPr>
          <w:rFonts w:hint="eastAsia" w:ascii="宋体" w:hAnsi="宋体"/>
          <w:color w:val="auto"/>
          <w:spacing w:val="-4"/>
          <w:sz w:val="21"/>
          <w:szCs w:val="21"/>
          <w:highlight w:val="none"/>
        </w:rPr>
        <w:t>2.1</w:t>
      </w:r>
      <w:r>
        <w:rPr>
          <w:rFonts w:hint="eastAsia" w:ascii="宋体" w:hAnsi="宋体"/>
          <w:color w:val="auto"/>
          <w:spacing w:val="-4"/>
          <w:sz w:val="21"/>
          <w:szCs w:val="21"/>
          <w:highlight w:val="none"/>
          <w:lang w:val="en-US" w:eastAsia="zh-CN"/>
        </w:rPr>
        <w:t>2</w:t>
      </w:r>
      <w:r>
        <w:rPr>
          <w:rFonts w:hint="eastAsia" w:ascii="宋体" w:hAnsi="宋体"/>
          <w:color w:val="auto"/>
          <w:spacing w:val="-4"/>
          <w:sz w:val="21"/>
          <w:szCs w:val="21"/>
          <w:highlight w:val="none"/>
        </w:rPr>
        <w:t>本招标技术规范未尽事宜, 由买卖双方协商确定。</w:t>
      </w:r>
      <w:bookmarkEnd w:id="15"/>
      <w:bookmarkEnd w:id="16"/>
    </w:p>
    <w:p>
      <w:pPr>
        <w:pStyle w:val="2"/>
        <w:topLinePunct/>
        <w:spacing w:before="0" w:after="0" w:line="360" w:lineRule="auto"/>
        <w:textAlignment w:val="baseline"/>
        <w:rPr>
          <w:rFonts w:ascii="黑体" w:hAnsi="黑体" w:eastAsia="黑体"/>
          <w:bCs w:val="0"/>
          <w:color w:val="auto"/>
          <w:sz w:val="22"/>
          <w:szCs w:val="22"/>
          <w:highlight w:val="none"/>
        </w:rPr>
      </w:pPr>
      <w:bookmarkStart w:id="21" w:name="_Toc384241742"/>
      <w:bookmarkStart w:id="22" w:name="_Toc508213788"/>
      <w:bookmarkStart w:id="23" w:name="_Toc18538"/>
      <w:bookmarkStart w:id="24" w:name="_Toc5508413"/>
      <w:bookmarkStart w:id="25" w:name="_Toc75589595"/>
      <w:bookmarkStart w:id="26" w:name="_Toc187218694"/>
      <w:bookmarkStart w:id="27" w:name="_Toc5508683"/>
      <w:r>
        <w:rPr>
          <w:rFonts w:hint="eastAsia" w:ascii="黑体" w:hAnsi="黑体" w:eastAsia="黑体"/>
          <w:bCs w:val="0"/>
          <w:color w:val="auto"/>
          <w:sz w:val="22"/>
          <w:szCs w:val="22"/>
          <w:highlight w:val="none"/>
        </w:rPr>
        <w:t xml:space="preserve">2  </w:t>
      </w:r>
      <w:bookmarkEnd w:id="21"/>
      <w:bookmarkEnd w:id="22"/>
      <w:r>
        <w:rPr>
          <w:rFonts w:hint="eastAsia" w:ascii="黑体" w:hAnsi="黑体" w:eastAsia="黑体"/>
          <w:bCs w:val="0"/>
          <w:color w:val="auto"/>
          <w:sz w:val="22"/>
          <w:szCs w:val="22"/>
          <w:highlight w:val="none"/>
        </w:rPr>
        <w:t>工作要求</w:t>
      </w:r>
      <w:bookmarkEnd w:id="23"/>
    </w:p>
    <w:p>
      <w:pPr>
        <w:pStyle w:val="6"/>
        <w:spacing w:before="0" w:after="0" w:line="360" w:lineRule="auto"/>
        <w:rPr>
          <w:rFonts w:ascii="黑体" w:hAnsi="黑体" w:eastAsia="黑体" w:cs="黑体"/>
          <w:color w:val="auto"/>
          <w:sz w:val="22"/>
          <w:szCs w:val="22"/>
          <w:highlight w:val="none"/>
        </w:rPr>
      </w:pPr>
      <w:bookmarkStart w:id="28" w:name="_Toc28311"/>
      <w:bookmarkStart w:id="29" w:name="_Toc32441"/>
      <w:bookmarkStart w:id="30" w:name="_Toc23403"/>
      <w:bookmarkStart w:id="31" w:name="_Toc31953"/>
      <w:bookmarkStart w:id="32" w:name="_Toc431340486"/>
      <w:bookmarkStart w:id="33" w:name="_Toc431377049"/>
      <w:bookmarkStart w:id="34" w:name="_Toc10929"/>
      <w:bookmarkStart w:id="35" w:name="_Toc508213789"/>
      <w:bookmarkStart w:id="36" w:name="_Toc384241743"/>
      <w:r>
        <w:rPr>
          <w:rFonts w:hint="eastAsia" w:ascii="黑体" w:hAnsi="黑体" w:eastAsia="黑体" w:cs="黑体"/>
          <w:color w:val="auto"/>
          <w:sz w:val="22"/>
          <w:szCs w:val="22"/>
          <w:highlight w:val="none"/>
        </w:rPr>
        <w:t>2.1  范围和界限</w:t>
      </w:r>
      <w:bookmarkEnd w:id="28"/>
      <w:bookmarkEnd w:id="29"/>
      <w:bookmarkEnd w:id="30"/>
      <w:bookmarkEnd w:id="31"/>
    </w:p>
    <w:p>
      <w:pPr>
        <w:pStyle w:val="7"/>
        <w:spacing w:before="0" w:after="0" w:line="360" w:lineRule="auto"/>
        <w:rPr>
          <w:rFonts w:ascii="黑体" w:hAnsi="黑体" w:eastAsia="黑体" w:cs="黑体"/>
          <w:color w:val="auto"/>
          <w:sz w:val="22"/>
          <w:szCs w:val="22"/>
          <w:highlight w:val="none"/>
        </w:rPr>
      </w:pPr>
      <w:bookmarkStart w:id="37" w:name="_Toc31999"/>
      <w:r>
        <w:rPr>
          <w:rFonts w:hint="eastAsia" w:ascii="黑体" w:hAnsi="黑体" w:eastAsia="黑体"/>
          <w:color w:val="auto"/>
          <w:spacing w:val="-4"/>
          <w:sz w:val="22"/>
          <w:szCs w:val="22"/>
          <w:highlight w:val="none"/>
        </w:rPr>
        <w:t>2.1.1</w:t>
      </w:r>
      <w:r>
        <w:rPr>
          <w:rFonts w:hint="eastAsia" w:ascii="黑体" w:hAnsi="黑体" w:eastAsia="黑体" w:cs="黑体"/>
          <w:color w:val="auto"/>
          <w:sz w:val="22"/>
          <w:szCs w:val="22"/>
          <w:highlight w:val="none"/>
        </w:rPr>
        <w:t>贮存、运输环境条件</w:t>
      </w:r>
      <w:bookmarkEnd w:id="37"/>
    </w:p>
    <w:p>
      <w:pPr>
        <w:adjustRightInd w:val="0"/>
        <w:snapToGrid w:val="0"/>
        <w:ind w:firstLine="202" w:firstLineChars="100"/>
        <w:rPr>
          <w:rFonts w:ascii="宋体" w:hAnsi="宋体"/>
          <w:color w:val="auto"/>
          <w:spacing w:val="-4"/>
          <w:sz w:val="21"/>
          <w:szCs w:val="21"/>
          <w:highlight w:val="none"/>
        </w:rPr>
      </w:pPr>
      <w:r>
        <w:rPr>
          <w:rFonts w:hint="eastAsia" w:ascii="黑体" w:hAnsi="黑体" w:eastAsia="黑体"/>
          <w:color w:val="auto"/>
          <w:spacing w:val="-4"/>
          <w:sz w:val="21"/>
          <w:szCs w:val="21"/>
          <w:highlight w:val="none"/>
        </w:rPr>
        <w:t>（1）</w:t>
      </w:r>
      <w:r>
        <w:rPr>
          <w:rFonts w:hint="eastAsia" w:ascii="宋体" w:hAnsi="宋体"/>
          <w:color w:val="auto"/>
          <w:spacing w:val="-4"/>
          <w:sz w:val="21"/>
          <w:szCs w:val="21"/>
          <w:highlight w:val="none"/>
        </w:rPr>
        <w:t>装置在运输中允许的环境温度-40℃～＋70℃，相对湿度不大于85%；</w:t>
      </w:r>
    </w:p>
    <w:p>
      <w:pPr>
        <w:adjustRightInd w:val="0"/>
        <w:snapToGrid w:val="0"/>
        <w:ind w:firstLine="202" w:firstLineChars="100"/>
        <w:rPr>
          <w:color w:val="auto"/>
          <w:highlight w:val="none"/>
        </w:rPr>
      </w:pPr>
      <w:r>
        <w:rPr>
          <w:rFonts w:hint="eastAsia" w:ascii="黑体" w:hAnsi="黑体" w:eastAsia="黑体"/>
          <w:color w:val="auto"/>
          <w:spacing w:val="-4"/>
          <w:sz w:val="21"/>
          <w:szCs w:val="21"/>
          <w:highlight w:val="none"/>
        </w:rPr>
        <w:t>（2）</w:t>
      </w:r>
      <w:r>
        <w:rPr>
          <w:rFonts w:hint="eastAsia" w:ascii="宋体" w:hAnsi="宋体"/>
          <w:color w:val="auto"/>
          <w:spacing w:val="-4"/>
          <w:sz w:val="21"/>
          <w:szCs w:val="21"/>
          <w:highlight w:val="none"/>
        </w:rPr>
        <w:t>在贮存中允许的环境温度-25℃～＋55℃，相对湿度不大于85%，在不施加任何激励量的条件下，装置不出现不可逆变化。</w:t>
      </w:r>
    </w:p>
    <w:p>
      <w:pPr>
        <w:pStyle w:val="7"/>
        <w:spacing w:before="0" w:after="0" w:line="360" w:lineRule="auto"/>
        <w:rPr>
          <w:rFonts w:ascii="黑体" w:hAnsi="黑体" w:eastAsia="黑体" w:cs="黑体"/>
          <w:color w:val="auto"/>
          <w:sz w:val="22"/>
          <w:szCs w:val="22"/>
          <w:highlight w:val="none"/>
        </w:rPr>
      </w:pPr>
      <w:bookmarkStart w:id="38" w:name="_Toc13185"/>
      <w:r>
        <w:rPr>
          <w:rFonts w:hint="eastAsia" w:ascii="黑体" w:hAnsi="黑体" w:eastAsia="黑体" w:cs="黑体"/>
          <w:color w:val="auto"/>
          <w:sz w:val="22"/>
          <w:szCs w:val="22"/>
          <w:highlight w:val="none"/>
        </w:rPr>
        <w:t>2.</w:t>
      </w:r>
      <w:r>
        <w:rPr>
          <w:rFonts w:hint="eastAsia" w:ascii="黑体" w:hAnsi="黑体" w:eastAsia="黑体"/>
          <w:color w:val="auto"/>
          <w:spacing w:val="-4"/>
          <w:sz w:val="22"/>
          <w:szCs w:val="22"/>
          <w:highlight w:val="none"/>
        </w:rPr>
        <w:t>1.2</w:t>
      </w:r>
      <w:r>
        <w:rPr>
          <w:rFonts w:hint="eastAsia" w:ascii="黑体" w:hAnsi="黑体" w:eastAsia="黑体" w:cs="黑体"/>
          <w:color w:val="auto"/>
          <w:sz w:val="22"/>
          <w:szCs w:val="22"/>
          <w:highlight w:val="none"/>
        </w:rPr>
        <w:t>现场实施要求</w:t>
      </w:r>
      <w:bookmarkEnd w:id="38"/>
    </w:p>
    <w:bookmarkEnd w:id="32"/>
    <w:bookmarkEnd w:id="33"/>
    <w:p>
      <w:pPr>
        <w:pStyle w:val="89"/>
        <w:spacing w:after="0"/>
        <w:ind w:left="0" w:leftChars="0" w:firstLine="404" w:firstLineChars="200"/>
        <w:rPr>
          <w:rFonts w:ascii="宋体" w:hAnsi="宋体"/>
          <w:color w:val="auto"/>
          <w:highlight w:val="none"/>
        </w:rPr>
      </w:pPr>
      <w:bookmarkStart w:id="39" w:name="_Toc431340487"/>
      <w:bookmarkStart w:id="40" w:name="_Toc431377050"/>
      <w:r>
        <w:rPr>
          <w:rFonts w:hint="eastAsia" w:ascii="宋体" w:hAnsi="宋体"/>
          <w:color w:val="auto"/>
          <w:spacing w:val="-4"/>
          <w:sz w:val="21"/>
          <w:szCs w:val="21"/>
          <w:highlight w:val="none"/>
        </w:rPr>
        <w:t>本次招标的中标方应提供所招标系统的供货、集成、调试及技术服务，完成本招标书规定的建设任务，并协助相关的建设工作</w:t>
      </w:r>
      <w:r>
        <w:rPr>
          <w:rFonts w:hint="eastAsia" w:ascii="宋体" w:hAnsi="宋体"/>
          <w:color w:val="auto"/>
          <w:highlight w:val="none"/>
        </w:rPr>
        <w:t>。</w:t>
      </w:r>
    </w:p>
    <w:p>
      <w:pPr>
        <w:pStyle w:val="7"/>
        <w:spacing w:before="0" w:after="0" w:line="360" w:lineRule="auto"/>
        <w:rPr>
          <w:rFonts w:ascii="黑体" w:hAnsi="黑体" w:eastAsia="黑体" w:cs="黑体"/>
          <w:color w:val="auto"/>
          <w:sz w:val="22"/>
          <w:szCs w:val="22"/>
          <w:highlight w:val="none"/>
        </w:rPr>
      </w:pPr>
      <w:bookmarkStart w:id="41" w:name="_Toc15865"/>
      <w:r>
        <w:rPr>
          <w:rFonts w:hint="eastAsia" w:ascii="黑体" w:hAnsi="黑体" w:eastAsia="黑体" w:cs="黑体"/>
          <w:color w:val="auto"/>
          <w:sz w:val="22"/>
          <w:szCs w:val="22"/>
          <w:highlight w:val="none"/>
        </w:rPr>
        <w:t>2.1.3运维要求</w:t>
      </w:r>
      <w:bookmarkEnd w:id="41"/>
    </w:p>
    <w:p>
      <w:pPr>
        <w:adjustRightInd w:val="0"/>
        <w:snapToGrid w:val="0"/>
        <w:ind w:firstLine="404" w:firstLineChars="200"/>
        <w:rPr>
          <w:rFonts w:ascii="宋体" w:hAnsi="宋体"/>
          <w:color w:val="auto"/>
          <w:spacing w:val="-4"/>
          <w:sz w:val="21"/>
          <w:szCs w:val="21"/>
          <w:highlight w:val="none"/>
        </w:rPr>
      </w:pP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应协助</w:t>
      </w:r>
      <w:r>
        <w:rPr>
          <w:rFonts w:hint="eastAsia" w:ascii="宋体" w:hAnsi="宋体"/>
          <w:color w:val="auto"/>
          <w:spacing w:val="-4"/>
          <w:sz w:val="21"/>
          <w:szCs w:val="21"/>
          <w:highlight w:val="none"/>
          <w:lang w:eastAsia="zh-CN"/>
        </w:rPr>
        <w:t>招标人</w:t>
      </w:r>
      <w:r>
        <w:rPr>
          <w:rFonts w:hint="eastAsia" w:ascii="宋体" w:hAnsi="宋体"/>
          <w:color w:val="auto"/>
          <w:spacing w:val="-4"/>
          <w:sz w:val="21"/>
          <w:szCs w:val="21"/>
          <w:highlight w:val="none"/>
        </w:rPr>
        <w:t>解决设备运行中出现的问题。</w:t>
      </w:r>
      <w:bookmarkEnd w:id="39"/>
      <w:bookmarkEnd w:id="40"/>
    </w:p>
    <w:p>
      <w:pPr>
        <w:pStyle w:val="7"/>
        <w:spacing w:before="0" w:after="0" w:line="360" w:lineRule="auto"/>
        <w:rPr>
          <w:rFonts w:ascii="黑体" w:hAnsi="黑体" w:eastAsia="黑体" w:cs="黑体"/>
          <w:color w:val="auto"/>
          <w:sz w:val="22"/>
          <w:szCs w:val="22"/>
          <w:highlight w:val="none"/>
        </w:rPr>
      </w:pPr>
      <w:bookmarkStart w:id="42" w:name="_Toc23301"/>
      <w:bookmarkStart w:id="43" w:name="_Toc431377051"/>
      <w:bookmarkStart w:id="44" w:name="_Toc431340488"/>
      <w:r>
        <w:rPr>
          <w:rFonts w:hint="eastAsia" w:ascii="黑体" w:hAnsi="黑体" w:eastAsia="黑体" w:cs="黑体"/>
          <w:color w:val="auto"/>
          <w:sz w:val="22"/>
          <w:szCs w:val="22"/>
          <w:highlight w:val="none"/>
        </w:rPr>
        <w:t>2.1.4投运要求</w:t>
      </w:r>
      <w:bookmarkEnd w:id="42"/>
    </w:p>
    <w:p>
      <w:pPr>
        <w:adjustRightInd w:val="0"/>
        <w:snapToGrid w:val="0"/>
        <w:ind w:firstLine="404" w:firstLineChars="200"/>
        <w:rPr>
          <w:rFonts w:ascii="宋体" w:hAnsi="宋体"/>
          <w:color w:val="auto"/>
          <w:spacing w:val="-4"/>
          <w:sz w:val="21"/>
          <w:szCs w:val="21"/>
          <w:highlight w:val="none"/>
        </w:rPr>
      </w:pPr>
      <w:r>
        <w:rPr>
          <w:rFonts w:hint="eastAsia" w:ascii="宋体" w:hAnsi="宋体"/>
          <w:color w:val="auto"/>
          <w:spacing w:val="-4"/>
          <w:sz w:val="21"/>
          <w:szCs w:val="21"/>
          <w:highlight w:val="none"/>
        </w:rPr>
        <w:t>设备安装、调试和性能试验合格后方可投运。设备需与</w:t>
      </w:r>
      <w:r>
        <w:rPr>
          <w:rFonts w:hint="eastAsia" w:ascii="宋体" w:hAnsi="宋体" w:eastAsia="宋体" w:cs="Times New Roman"/>
          <w:color w:val="auto"/>
          <w:spacing w:val="-4"/>
          <w:sz w:val="21"/>
          <w:szCs w:val="21"/>
          <w:highlight w:val="none"/>
          <w:lang w:val="en-US" w:eastAsia="zh-CN"/>
        </w:rPr>
        <w:t>大英山变电站</w:t>
      </w:r>
      <w:r>
        <w:rPr>
          <w:rFonts w:hint="eastAsia" w:ascii="宋体" w:hAnsi="宋体" w:eastAsia="宋体" w:cs="Times New Roman"/>
          <w:color w:val="auto"/>
          <w:spacing w:val="-4"/>
          <w:sz w:val="21"/>
          <w:szCs w:val="21"/>
          <w:highlight w:val="none"/>
          <w:lang w:val="zh-CN" w:eastAsia="zh-CN"/>
        </w:rPr>
        <w:t>智能安防与定位作业可视化</w:t>
      </w:r>
      <w:r>
        <w:rPr>
          <w:rFonts w:hint="eastAsia" w:ascii="宋体" w:hAnsi="宋体" w:eastAsia="宋体" w:cs="Times New Roman"/>
          <w:color w:val="auto"/>
          <w:spacing w:val="-4"/>
          <w:sz w:val="21"/>
          <w:szCs w:val="21"/>
          <w:highlight w:val="none"/>
          <w:lang w:val="en-US" w:eastAsia="zh-CN"/>
        </w:rPr>
        <w:t>系统</w:t>
      </w:r>
      <w:r>
        <w:rPr>
          <w:rFonts w:hint="eastAsia" w:ascii="宋体" w:hAnsi="宋体"/>
          <w:color w:val="auto"/>
          <w:spacing w:val="-4"/>
          <w:sz w:val="21"/>
          <w:szCs w:val="21"/>
          <w:highlight w:val="none"/>
          <w:lang w:eastAsia="zh-CN"/>
        </w:rPr>
        <w:t>、</w:t>
      </w:r>
      <w:r>
        <w:rPr>
          <w:rFonts w:hint="eastAsia" w:ascii="宋体" w:hAnsi="宋体"/>
          <w:color w:val="auto"/>
          <w:spacing w:val="-4"/>
          <w:sz w:val="21"/>
          <w:szCs w:val="21"/>
          <w:highlight w:val="none"/>
        </w:rPr>
        <w:t>变电边侧系统做好数据接入和功能应用展示，投运并稳定运行后，</w:t>
      </w:r>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和</w:t>
      </w:r>
      <w:r>
        <w:rPr>
          <w:rFonts w:hint="eastAsia" w:ascii="宋体" w:hAnsi="宋体"/>
          <w:color w:val="auto"/>
          <w:spacing w:val="-4"/>
          <w:sz w:val="21"/>
          <w:szCs w:val="21"/>
          <w:highlight w:val="none"/>
          <w:lang w:eastAsia="zh-CN"/>
        </w:rPr>
        <w:t>招标人</w:t>
      </w:r>
      <w:r>
        <w:rPr>
          <w:rFonts w:hint="eastAsia" w:ascii="宋体" w:hAnsi="宋体"/>
          <w:color w:val="auto"/>
          <w:spacing w:val="-4"/>
          <w:sz w:val="21"/>
          <w:szCs w:val="21"/>
          <w:highlight w:val="none"/>
        </w:rPr>
        <w:t>（业主）双方应根据相关法律、法规和公司管理制度签署验收证明书。该证明书共两份，双方各执一份。</w:t>
      </w:r>
      <w:bookmarkEnd w:id="43"/>
      <w:bookmarkEnd w:id="44"/>
    </w:p>
    <w:p>
      <w:pPr>
        <w:pStyle w:val="7"/>
        <w:spacing w:before="0" w:after="0" w:line="360" w:lineRule="auto"/>
        <w:rPr>
          <w:rFonts w:ascii="黑体" w:hAnsi="黑体" w:eastAsia="黑体" w:cs="黑体"/>
          <w:color w:val="auto"/>
          <w:sz w:val="22"/>
          <w:szCs w:val="22"/>
          <w:highlight w:val="none"/>
        </w:rPr>
      </w:pPr>
      <w:bookmarkStart w:id="45" w:name="_Toc15159"/>
      <w:bookmarkStart w:id="46" w:name="_Toc431377052"/>
      <w:bookmarkStart w:id="47" w:name="_Toc431340489"/>
      <w:r>
        <w:rPr>
          <w:rFonts w:hint="eastAsia" w:ascii="黑体" w:hAnsi="黑体" w:eastAsia="黑体" w:cs="黑体"/>
          <w:color w:val="auto"/>
          <w:sz w:val="22"/>
          <w:szCs w:val="22"/>
          <w:highlight w:val="none"/>
        </w:rPr>
        <w:t>2.1.5工作要求</w:t>
      </w:r>
      <w:bookmarkEnd w:id="45"/>
    </w:p>
    <w:p>
      <w:pPr>
        <w:adjustRightInd w:val="0"/>
        <w:snapToGrid w:val="0"/>
        <w:ind w:firstLine="404" w:firstLineChars="200"/>
        <w:rPr>
          <w:rFonts w:ascii="宋体" w:hAnsi="宋体"/>
          <w:color w:val="auto"/>
          <w:spacing w:val="-4"/>
          <w:sz w:val="21"/>
          <w:szCs w:val="21"/>
          <w:highlight w:val="none"/>
        </w:rPr>
      </w:pPr>
      <w:r>
        <w:rPr>
          <w:rFonts w:hint="eastAsia" w:ascii="宋体" w:hAnsi="宋体"/>
          <w:color w:val="auto"/>
          <w:spacing w:val="-4"/>
          <w:sz w:val="21"/>
          <w:szCs w:val="21"/>
          <w:highlight w:val="none"/>
        </w:rPr>
        <w:t>如果安装、调试、性能试验、运行期间及质保期内技术指标一项或多项不能满足合同技术部分要求，招、投标双方共同分析原因，分清责任，如属制造方面的原因，或涉及索赔部分，按商务部分有关条款执行。</w:t>
      </w:r>
      <w:bookmarkEnd w:id="46"/>
      <w:bookmarkEnd w:id="47"/>
    </w:p>
    <w:p>
      <w:pPr>
        <w:pStyle w:val="7"/>
        <w:spacing w:before="0" w:after="0" w:line="360" w:lineRule="auto"/>
        <w:rPr>
          <w:color w:val="auto"/>
          <w:sz w:val="36"/>
          <w:highlight w:val="none"/>
        </w:rPr>
      </w:pPr>
      <w:bookmarkStart w:id="48" w:name="_Toc28304"/>
      <w:bookmarkStart w:id="49" w:name="_Toc431377053"/>
      <w:bookmarkStart w:id="50" w:name="_Toc431340490"/>
      <w:r>
        <w:rPr>
          <w:rFonts w:hint="eastAsia" w:ascii="黑体" w:hAnsi="黑体" w:eastAsia="黑体" w:cs="黑体"/>
          <w:color w:val="auto"/>
          <w:sz w:val="22"/>
          <w:szCs w:val="22"/>
          <w:highlight w:val="none"/>
        </w:rPr>
        <w:t>2.1.6其他要求</w:t>
      </w:r>
      <w:bookmarkEnd w:id="48"/>
    </w:p>
    <w:p>
      <w:pPr>
        <w:adjustRightInd w:val="0"/>
        <w:snapToGrid w:val="0"/>
        <w:ind w:firstLine="404" w:firstLineChars="200"/>
        <w:rPr>
          <w:color w:val="auto"/>
          <w:highlight w:val="none"/>
        </w:rPr>
      </w:pPr>
      <w:r>
        <w:rPr>
          <w:rFonts w:hint="eastAsia" w:ascii="宋体" w:hAnsi="宋体"/>
          <w:color w:val="auto"/>
          <w:spacing w:val="-4"/>
          <w:sz w:val="21"/>
          <w:szCs w:val="21"/>
          <w:highlight w:val="none"/>
        </w:rPr>
        <w:t>本标书未说明，但又与设计、制造、装配、试验、运输、包装、保管和运行维护有关的技术要求，按条款3所规定的有关标准执行。</w:t>
      </w:r>
      <w:bookmarkEnd w:id="49"/>
      <w:bookmarkEnd w:id="50"/>
    </w:p>
    <w:p>
      <w:pPr>
        <w:pStyle w:val="6"/>
        <w:spacing w:before="0" w:after="0" w:line="360" w:lineRule="auto"/>
        <w:rPr>
          <w:rFonts w:ascii="黑体" w:hAnsi="黑体" w:eastAsia="黑体" w:cs="黑体"/>
          <w:color w:val="auto"/>
          <w:sz w:val="22"/>
          <w:szCs w:val="22"/>
          <w:highlight w:val="none"/>
        </w:rPr>
      </w:pPr>
      <w:bookmarkStart w:id="51" w:name="_Toc16004"/>
      <w:bookmarkStart w:id="52" w:name="_Toc14931"/>
      <w:bookmarkStart w:id="53" w:name="_Toc14450"/>
      <w:bookmarkStart w:id="54" w:name="_Toc10983"/>
      <w:bookmarkStart w:id="55" w:name="_Toc17580"/>
      <w:bookmarkStart w:id="56" w:name="_Toc431340491"/>
      <w:bookmarkStart w:id="57" w:name="_Toc3559"/>
      <w:bookmarkStart w:id="58" w:name="_Toc29001"/>
      <w:bookmarkStart w:id="59" w:name="_Toc15802"/>
      <w:bookmarkStart w:id="60" w:name="_Toc431377054"/>
      <w:bookmarkStart w:id="61" w:name="_Toc26989"/>
      <w:bookmarkStart w:id="62" w:name="_Toc7369"/>
      <w:r>
        <w:rPr>
          <w:rFonts w:hint="eastAsia" w:ascii="黑体" w:hAnsi="黑体" w:eastAsia="黑体" w:cs="黑体"/>
          <w:color w:val="auto"/>
          <w:sz w:val="22"/>
          <w:szCs w:val="22"/>
          <w:highlight w:val="none"/>
        </w:rPr>
        <w:t>2.2  服务范围</w:t>
      </w:r>
      <w:bookmarkEnd w:id="51"/>
      <w:bookmarkEnd w:id="52"/>
      <w:bookmarkEnd w:id="53"/>
      <w:bookmarkEnd w:id="54"/>
      <w:bookmarkEnd w:id="55"/>
      <w:bookmarkEnd w:id="56"/>
      <w:bookmarkEnd w:id="57"/>
      <w:bookmarkEnd w:id="58"/>
      <w:bookmarkEnd w:id="59"/>
      <w:bookmarkEnd w:id="60"/>
      <w:bookmarkEnd w:id="61"/>
      <w:bookmarkEnd w:id="62"/>
    </w:p>
    <w:p>
      <w:pPr>
        <w:adjustRightInd w:val="0"/>
        <w:snapToGrid w:val="0"/>
        <w:ind w:firstLine="404" w:firstLineChars="200"/>
        <w:rPr>
          <w:rFonts w:ascii="宋体" w:hAnsi="宋体"/>
          <w:color w:val="auto"/>
          <w:spacing w:val="-4"/>
          <w:sz w:val="21"/>
          <w:szCs w:val="21"/>
          <w:highlight w:val="none"/>
        </w:rPr>
      </w:pPr>
      <w:bookmarkStart w:id="63" w:name="_Toc431340492"/>
      <w:bookmarkStart w:id="64" w:name="_Toc431377055"/>
      <w:r>
        <w:rPr>
          <w:rFonts w:hint="eastAsia" w:ascii="宋体" w:hAnsi="宋体"/>
          <w:color w:val="auto"/>
          <w:spacing w:val="-4"/>
          <w:sz w:val="21"/>
          <w:szCs w:val="21"/>
          <w:highlight w:val="none"/>
          <w:lang w:eastAsia="zh-CN"/>
        </w:rPr>
        <w:t>投标人</w:t>
      </w:r>
      <w:r>
        <w:rPr>
          <w:rFonts w:hint="eastAsia" w:ascii="宋体" w:hAnsi="宋体"/>
          <w:color w:val="auto"/>
          <w:spacing w:val="-4"/>
          <w:sz w:val="21"/>
          <w:szCs w:val="21"/>
          <w:highlight w:val="none"/>
        </w:rPr>
        <w:t>应按本技术标书的要求提供全新的、合格的终端设备，并配合完成设备数据与</w:t>
      </w:r>
      <w:r>
        <w:rPr>
          <w:rFonts w:hint="eastAsia" w:ascii="宋体" w:hAnsi="宋体" w:eastAsia="宋体" w:cs="Times New Roman"/>
          <w:color w:val="auto"/>
          <w:spacing w:val="-4"/>
          <w:sz w:val="21"/>
          <w:szCs w:val="21"/>
          <w:highlight w:val="none"/>
          <w:lang w:val="en-US" w:eastAsia="zh-CN"/>
        </w:rPr>
        <w:t>大英山变电站</w:t>
      </w:r>
      <w:r>
        <w:rPr>
          <w:rFonts w:hint="eastAsia" w:ascii="宋体" w:hAnsi="宋体" w:eastAsia="宋体" w:cs="Times New Roman"/>
          <w:color w:val="auto"/>
          <w:spacing w:val="-4"/>
          <w:sz w:val="21"/>
          <w:szCs w:val="21"/>
          <w:highlight w:val="none"/>
          <w:lang w:val="zh-CN" w:eastAsia="zh-CN"/>
        </w:rPr>
        <w:t>智能安防与定位作业可视化</w:t>
      </w:r>
      <w:r>
        <w:rPr>
          <w:rFonts w:hint="eastAsia" w:ascii="宋体" w:hAnsi="宋体" w:eastAsia="宋体" w:cs="Times New Roman"/>
          <w:color w:val="auto"/>
          <w:spacing w:val="-4"/>
          <w:sz w:val="21"/>
          <w:szCs w:val="21"/>
          <w:highlight w:val="none"/>
          <w:lang w:val="en-US" w:eastAsia="zh-CN"/>
        </w:rPr>
        <w:t>系统</w:t>
      </w:r>
      <w:r>
        <w:rPr>
          <w:rFonts w:hint="eastAsia" w:ascii="宋体" w:hAnsi="宋体"/>
          <w:color w:val="auto"/>
          <w:spacing w:val="-4"/>
          <w:sz w:val="21"/>
          <w:szCs w:val="21"/>
          <w:highlight w:val="none"/>
          <w:lang w:eastAsia="zh-CN"/>
        </w:rPr>
        <w:t>、</w:t>
      </w:r>
      <w:r>
        <w:rPr>
          <w:rFonts w:hint="eastAsia" w:ascii="宋体" w:hAnsi="宋体"/>
          <w:color w:val="auto"/>
          <w:spacing w:val="-4"/>
          <w:sz w:val="21"/>
          <w:szCs w:val="21"/>
          <w:highlight w:val="none"/>
        </w:rPr>
        <w:t>变电边侧系统的数据接入、调试和集成相关技术服务。</w:t>
      </w:r>
      <w:bookmarkEnd w:id="63"/>
      <w:bookmarkEnd w:id="64"/>
    </w:p>
    <w:p>
      <w:pPr>
        <w:adjustRightInd w:val="0"/>
        <w:snapToGrid w:val="0"/>
        <w:ind w:firstLine="404" w:firstLineChars="200"/>
        <w:rPr>
          <w:rFonts w:hint="eastAsia" w:ascii="宋体" w:hAnsi="宋体"/>
          <w:color w:val="auto"/>
          <w:spacing w:val="-4"/>
          <w:sz w:val="21"/>
          <w:szCs w:val="21"/>
          <w:highlight w:val="none"/>
        </w:rPr>
      </w:pPr>
      <w:r>
        <w:rPr>
          <w:rFonts w:hint="eastAsia" w:ascii="宋体" w:hAnsi="宋体"/>
          <w:color w:val="auto"/>
          <w:spacing w:val="-4"/>
          <w:sz w:val="21"/>
          <w:szCs w:val="21"/>
          <w:highlight w:val="none"/>
        </w:rPr>
        <w:t>本项目按照</w:t>
      </w:r>
      <w:r>
        <w:rPr>
          <w:rFonts w:hint="eastAsia" w:ascii="宋体" w:hAnsi="宋体"/>
          <w:color w:val="auto"/>
          <w:spacing w:val="-4"/>
          <w:sz w:val="21"/>
          <w:szCs w:val="21"/>
          <w:highlight w:val="none"/>
          <w:lang w:val="en-US" w:eastAsia="zh-CN"/>
        </w:rPr>
        <w:t>南方电</w:t>
      </w:r>
      <w:r>
        <w:rPr>
          <w:rFonts w:hint="eastAsia" w:ascii="宋体" w:hAnsi="宋体"/>
          <w:color w:val="auto"/>
          <w:spacing w:val="-4"/>
          <w:sz w:val="21"/>
          <w:szCs w:val="21"/>
          <w:highlight w:val="none"/>
        </w:rPr>
        <w:t>网公司</w:t>
      </w:r>
      <w:r>
        <w:rPr>
          <w:rFonts w:hint="eastAsia" w:ascii="宋体" w:hAnsi="宋体"/>
          <w:color w:val="auto"/>
          <w:spacing w:val="-4"/>
          <w:sz w:val="21"/>
          <w:szCs w:val="21"/>
          <w:highlight w:val="none"/>
          <w:lang w:val="en-US" w:eastAsia="zh-CN"/>
        </w:rPr>
        <w:t>数字生产</w:t>
      </w:r>
      <w:r>
        <w:rPr>
          <w:rFonts w:hint="eastAsia" w:ascii="宋体" w:hAnsi="宋体"/>
          <w:color w:val="auto"/>
          <w:spacing w:val="-4"/>
          <w:sz w:val="21"/>
          <w:szCs w:val="21"/>
          <w:highlight w:val="none"/>
        </w:rPr>
        <w:t>的整体架构，结合</w:t>
      </w:r>
      <w:r>
        <w:rPr>
          <w:rFonts w:hint="eastAsia" w:ascii="宋体" w:hAnsi="宋体"/>
          <w:color w:val="auto"/>
          <w:spacing w:val="-4"/>
          <w:sz w:val="21"/>
          <w:szCs w:val="21"/>
          <w:highlight w:val="none"/>
          <w:lang w:val="en-US" w:eastAsia="zh-CN"/>
        </w:rPr>
        <w:t>变电站现场作业智能安防与人员定位可视化</w:t>
      </w:r>
      <w:r>
        <w:rPr>
          <w:rFonts w:hint="eastAsia" w:ascii="宋体" w:hAnsi="宋体"/>
          <w:color w:val="auto"/>
          <w:spacing w:val="-4"/>
          <w:sz w:val="21"/>
          <w:szCs w:val="21"/>
          <w:highlight w:val="none"/>
          <w:lang w:val="zh-CN"/>
        </w:rPr>
        <w:t>应用</w:t>
      </w:r>
      <w:r>
        <w:rPr>
          <w:rFonts w:hint="eastAsia" w:ascii="宋体" w:hAnsi="宋体"/>
          <w:color w:val="auto"/>
          <w:spacing w:val="-4"/>
          <w:sz w:val="21"/>
          <w:szCs w:val="21"/>
          <w:highlight w:val="none"/>
        </w:rPr>
        <w:t>功能，配套相关感知终端，全面</w:t>
      </w:r>
      <w:r>
        <w:rPr>
          <w:rFonts w:hint="eastAsia" w:ascii="宋体" w:hAnsi="宋体"/>
          <w:color w:val="auto"/>
          <w:spacing w:val="-4"/>
          <w:sz w:val="21"/>
          <w:szCs w:val="21"/>
          <w:highlight w:val="none"/>
          <w:lang w:val="en-US" w:eastAsia="zh-CN"/>
        </w:rPr>
        <w:t>实现变电站作业智能安防可视化管控功能。本项目软硬件集成服务范围主要涉及海口变电运检分公司大英山变电站</w:t>
      </w:r>
      <w:r>
        <w:rPr>
          <w:rFonts w:hint="eastAsia" w:ascii="宋体" w:hAnsi="宋体"/>
          <w:color w:val="auto"/>
          <w:spacing w:val="-4"/>
          <w:sz w:val="21"/>
          <w:szCs w:val="21"/>
          <w:highlight w:val="none"/>
        </w:rPr>
        <w:t>。</w:t>
      </w:r>
    </w:p>
    <w:p>
      <w:pPr>
        <w:adjustRightInd w:val="0"/>
        <w:snapToGrid w:val="0"/>
        <w:ind w:firstLine="404" w:firstLineChars="200"/>
        <w:rPr>
          <w:rFonts w:ascii="宋体" w:hAnsi="宋体"/>
          <w:color w:val="auto"/>
          <w:spacing w:val="-4"/>
          <w:sz w:val="21"/>
          <w:szCs w:val="21"/>
          <w:highlight w:val="none"/>
        </w:rPr>
      </w:pPr>
      <w:r>
        <w:rPr>
          <w:rFonts w:hint="eastAsia" w:ascii="宋体" w:hAnsi="宋体"/>
          <w:color w:val="auto"/>
          <w:spacing w:val="-4"/>
          <w:sz w:val="21"/>
          <w:szCs w:val="21"/>
          <w:highlight w:val="none"/>
        </w:rPr>
        <w:t>采购内容</w:t>
      </w:r>
      <w:r>
        <w:rPr>
          <w:rFonts w:hint="eastAsia" w:ascii="宋体" w:hAnsi="宋体"/>
          <w:color w:val="auto"/>
          <w:spacing w:val="-4"/>
          <w:sz w:val="21"/>
          <w:szCs w:val="21"/>
          <w:highlight w:val="none"/>
          <w:lang w:val="en-US" w:eastAsia="zh-CN"/>
        </w:rPr>
        <w:t>服务范围：</w:t>
      </w:r>
    </w:p>
    <w:tbl>
      <w:tblPr>
        <w:tblStyle w:val="22"/>
        <w:tblW w:w="8346" w:type="dxa"/>
        <w:tblInd w:w="0" w:type="dxa"/>
        <w:tblLayout w:type="fixed"/>
        <w:tblCellMar>
          <w:top w:w="0" w:type="dxa"/>
          <w:left w:w="0" w:type="dxa"/>
          <w:bottom w:w="0" w:type="dxa"/>
          <w:right w:w="0" w:type="dxa"/>
        </w:tblCellMar>
      </w:tblPr>
      <w:tblGrid>
        <w:gridCol w:w="580"/>
        <w:gridCol w:w="1454"/>
        <w:gridCol w:w="6312"/>
      </w:tblGrid>
      <w:tr>
        <w:tblPrEx>
          <w:tblCellMar>
            <w:top w:w="0" w:type="dxa"/>
            <w:left w:w="0" w:type="dxa"/>
            <w:bottom w:w="0" w:type="dxa"/>
            <w:right w:w="0" w:type="dxa"/>
          </w:tblCellMar>
        </w:tblPrEx>
        <w:trPr>
          <w:trHeight w:val="290" w:hRule="atLeast"/>
        </w:trPr>
        <w:tc>
          <w:tcPr>
            <w:tcW w:w="580" w:type="dxa"/>
            <w:tcBorders>
              <w:top w:val="single" w:color="000000" w:sz="4" w:space="0"/>
              <w:left w:val="single" w:color="000000" w:sz="4" w:space="0"/>
              <w:bottom w:val="single" w:color="auto" w:sz="4" w:space="0"/>
              <w:right w:val="single" w:color="000000" w:sz="4" w:space="0"/>
            </w:tcBorders>
            <w:shd w:val="clear" w:color="auto" w:fill="F1F1F1"/>
            <w:tcMar>
              <w:top w:w="10" w:type="dxa"/>
              <w:left w:w="10" w:type="dxa"/>
              <w:right w:w="10" w:type="dxa"/>
            </w:tcMar>
            <w:vAlign w:val="center"/>
          </w:tcPr>
          <w:p>
            <w:pPr>
              <w:widowControl/>
              <w:spacing w:line="240" w:lineRule="auto"/>
              <w:jc w:val="center"/>
              <w:textAlignment w:val="center"/>
              <w:rPr>
                <w:rFonts w:cs="宋体"/>
                <w:b/>
                <w:color w:val="auto"/>
                <w:sz w:val="20"/>
                <w:szCs w:val="20"/>
                <w:highlight w:val="none"/>
              </w:rPr>
            </w:pPr>
            <w:r>
              <w:rPr>
                <w:rFonts w:hint="eastAsia" w:cs="宋体"/>
                <w:b/>
                <w:color w:val="auto"/>
                <w:kern w:val="0"/>
                <w:sz w:val="20"/>
                <w:szCs w:val="20"/>
                <w:highlight w:val="none"/>
                <w:lang w:bidi="ar"/>
              </w:rPr>
              <w:t>序号</w:t>
            </w:r>
          </w:p>
        </w:tc>
        <w:tc>
          <w:tcPr>
            <w:tcW w:w="1454" w:type="dxa"/>
            <w:tcBorders>
              <w:top w:val="single" w:color="000000" w:sz="4" w:space="0"/>
              <w:left w:val="single" w:color="000000" w:sz="4" w:space="0"/>
              <w:bottom w:val="single" w:color="auto" w:sz="4" w:space="0"/>
              <w:right w:val="single" w:color="000000" w:sz="4" w:space="0"/>
            </w:tcBorders>
            <w:shd w:val="clear" w:color="auto" w:fill="F1F1F1"/>
            <w:tcMar>
              <w:top w:w="10" w:type="dxa"/>
              <w:left w:w="10" w:type="dxa"/>
              <w:right w:w="10" w:type="dxa"/>
            </w:tcMar>
            <w:vAlign w:val="center"/>
          </w:tcPr>
          <w:p>
            <w:pPr>
              <w:widowControl/>
              <w:spacing w:line="240" w:lineRule="auto"/>
              <w:jc w:val="center"/>
              <w:textAlignment w:val="center"/>
              <w:rPr>
                <w:rFonts w:cs="宋体"/>
                <w:b/>
                <w:color w:val="auto"/>
                <w:sz w:val="20"/>
                <w:szCs w:val="20"/>
                <w:highlight w:val="none"/>
              </w:rPr>
            </w:pPr>
            <w:r>
              <w:rPr>
                <w:rFonts w:hint="eastAsia" w:cs="宋体"/>
                <w:b/>
                <w:color w:val="auto"/>
                <w:kern w:val="0"/>
                <w:sz w:val="20"/>
                <w:szCs w:val="20"/>
                <w:highlight w:val="none"/>
                <w:lang w:bidi="ar"/>
              </w:rPr>
              <w:t>名称</w:t>
            </w:r>
          </w:p>
        </w:tc>
        <w:tc>
          <w:tcPr>
            <w:tcW w:w="6312" w:type="dxa"/>
            <w:tcBorders>
              <w:top w:val="single" w:color="000000" w:sz="4" w:space="0"/>
              <w:left w:val="single" w:color="000000" w:sz="4" w:space="0"/>
              <w:bottom w:val="single" w:color="auto" w:sz="4" w:space="0"/>
              <w:right w:val="single" w:color="000000" w:sz="4" w:space="0"/>
            </w:tcBorders>
            <w:shd w:val="clear" w:color="auto" w:fill="F1F1F1"/>
            <w:tcMar>
              <w:top w:w="10" w:type="dxa"/>
              <w:left w:w="10" w:type="dxa"/>
              <w:right w:w="10" w:type="dxa"/>
            </w:tcMar>
            <w:vAlign w:val="center"/>
          </w:tcPr>
          <w:p>
            <w:pPr>
              <w:widowControl/>
              <w:spacing w:line="240" w:lineRule="auto"/>
              <w:jc w:val="center"/>
              <w:textAlignment w:val="center"/>
              <w:rPr>
                <w:rFonts w:cs="宋体"/>
                <w:b/>
                <w:color w:val="auto"/>
                <w:sz w:val="20"/>
                <w:szCs w:val="20"/>
                <w:highlight w:val="none"/>
              </w:rPr>
            </w:pPr>
            <w:r>
              <w:rPr>
                <w:rFonts w:hint="eastAsia" w:cs="宋体"/>
                <w:b/>
                <w:color w:val="auto"/>
                <w:kern w:val="0"/>
                <w:sz w:val="20"/>
                <w:szCs w:val="20"/>
                <w:highlight w:val="none"/>
                <w:lang w:bidi="ar"/>
              </w:rPr>
              <w:t>服务范围</w:t>
            </w:r>
          </w:p>
        </w:tc>
      </w:tr>
      <w:tr>
        <w:tblPrEx>
          <w:tblCellMar>
            <w:top w:w="0" w:type="dxa"/>
            <w:left w:w="0" w:type="dxa"/>
            <w:bottom w:w="0" w:type="dxa"/>
            <w:right w:w="0" w:type="dxa"/>
          </w:tblCellMar>
        </w:tblPrEx>
        <w:trPr>
          <w:trHeight w:val="2374" w:hRule="atLeast"/>
        </w:trPr>
        <w:tc>
          <w:tcPr>
            <w:tcW w:w="580" w:type="dxa"/>
            <w:tcBorders>
              <w:top w:val="single" w:color="auto" w:sz="4" w:space="0"/>
              <w:left w:val="single" w:color="auto" w:sz="4" w:space="0"/>
              <w:bottom w:val="single" w:color="auto" w:sz="4" w:space="0"/>
              <w:right w:val="single" w:color="000000" w:sz="4" w:space="0"/>
            </w:tcBorders>
            <w:tcMar>
              <w:top w:w="10" w:type="dxa"/>
              <w:left w:w="10" w:type="dxa"/>
              <w:right w:w="10" w:type="dxa"/>
            </w:tcMar>
            <w:vAlign w:val="center"/>
          </w:tcPr>
          <w:p>
            <w:pPr>
              <w:spacing w:line="240" w:lineRule="auto"/>
              <w:jc w:val="center"/>
              <w:rPr>
                <w:color w:val="auto"/>
                <w:sz w:val="20"/>
                <w:szCs w:val="22"/>
                <w:highlight w:val="none"/>
              </w:rPr>
            </w:pPr>
            <w:r>
              <w:rPr>
                <w:rFonts w:hint="eastAsia"/>
                <w:color w:val="auto"/>
                <w:sz w:val="20"/>
                <w:szCs w:val="22"/>
                <w:highlight w:val="none"/>
              </w:rPr>
              <w:t>1</w:t>
            </w:r>
          </w:p>
        </w:tc>
        <w:tc>
          <w:tcPr>
            <w:tcW w:w="1454" w:type="dxa"/>
            <w:tcBorders>
              <w:top w:val="single" w:color="auto" w:sz="4" w:space="0"/>
              <w:left w:val="single" w:color="000000" w:sz="4" w:space="0"/>
              <w:bottom w:val="single" w:color="auto" w:sz="4" w:space="0"/>
              <w:right w:val="single" w:color="000000" w:sz="4" w:space="0"/>
            </w:tcBorders>
            <w:tcMar>
              <w:top w:w="10" w:type="dxa"/>
              <w:left w:w="10" w:type="dxa"/>
              <w:right w:w="10" w:type="dxa"/>
            </w:tcMar>
            <w:vAlign w:val="center"/>
          </w:tcPr>
          <w:p>
            <w:pPr>
              <w:spacing w:line="240" w:lineRule="auto"/>
              <w:rPr>
                <w:rFonts w:hint="eastAsia"/>
                <w:color w:val="auto"/>
                <w:highlight w:val="none"/>
                <w:lang w:eastAsia="zh-CN"/>
              </w:rPr>
            </w:pPr>
            <w:r>
              <w:rPr>
                <w:rFonts w:hint="eastAsia" w:asciiTheme="minorEastAsia" w:hAnsiTheme="minorEastAsia" w:eastAsiaTheme="minorEastAsia" w:cstheme="minorEastAsia"/>
                <w:b w:val="0"/>
                <w:bCs/>
                <w:color w:val="auto"/>
                <w:sz w:val="20"/>
                <w:szCs w:val="8"/>
                <w:highlight w:val="none"/>
                <w:lang w:val="zh-CN"/>
              </w:rPr>
              <w:t>海南电网有限责任公司</w:t>
            </w:r>
            <w:r>
              <w:rPr>
                <w:rFonts w:hint="eastAsia" w:asciiTheme="minorEastAsia" w:hAnsiTheme="minorEastAsia" w:eastAsiaTheme="minorEastAsia" w:cstheme="minorEastAsia"/>
                <w:b w:val="0"/>
                <w:bCs/>
                <w:color w:val="auto"/>
                <w:sz w:val="20"/>
                <w:szCs w:val="8"/>
                <w:highlight w:val="none"/>
                <w:lang w:val="zh-CN" w:eastAsia="zh-CN"/>
              </w:rPr>
              <w:t>2025年海口变电运检分公司变电站智能安防与定位作业可视化</w:t>
            </w:r>
            <w:r>
              <w:rPr>
                <w:rFonts w:hint="eastAsia" w:asciiTheme="minorEastAsia" w:hAnsiTheme="minorEastAsia" w:eastAsiaTheme="minorEastAsia" w:cstheme="minorEastAsia"/>
                <w:b w:val="0"/>
                <w:bCs/>
                <w:color w:val="auto"/>
                <w:sz w:val="20"/>
                <w:szCs w:val="8"/>
                <w:highlight w:val="none"/>
                <w:lang w:val="en-US" w:eastAsia="zh-CN"/>
              </w:rPr>
              <w:t>系统配套</w:t>
            </w:r>
            <w:r>
              <w:rPr>
                <w:rFonts w:hint="eastAsia" w:asciiTheme="minorEastAsia" w:hAnsiTheme="minorEastAsia" w:eastAsiaTheme="minorEastAsia" w:cstheme="minorEastAsia"/>
                <w:b w:val="0"/>
                <w:bCs/>
                <w:color w:val="auto"/>
                <w:sz w:val="20"/>
                <w:szCs w:val="8"/>
                <w:highlight w:val="none"/>
                <w:lang w:val="zh-CN" w:eastAsia="zh-CN"/>
              </w:rPr>
              <w:t>硬件采购专项公开招标项目</w:t>
            </w:r>
          </w:p>
        </w:tc>
        <w:tc>
          <w:tcPr>
            <w:tcW w:w="6312" w:type="dxa"/>
            <w:tcBorders>
              <w:top w:val="single" w:color="auto" w:sz="4" w:space="0"/>
              <w:left w:val="single" w:color="000000" w:sz="4" w:space="0"/>
              <w:bottom w:val="single" w:color="auto" w:sz="4" w:space="0"/>
              <w:right w:val="single" w:color="auto" w:sz="4" w:space="0"/>
            </w:tcBorders>
            <w:tcMar>
              <w:top w:w="10" w:type="dxa"/>
              <w:left w:w="10" w:type="dxa"/>
              <w:right w:w="10" w:type="dxa"/>
            </w:tcMar>
            <w:vAlign w:val="center"/>
          </w:tcPr>
          <w:p>
            <w:pPr>
              <w:spacing w:line="240" w:lineRule="auto"/>
              <w:rPr>
                <w:color w:val="auto"/>
                <w:sz w:val="20"/>
                <w:szCs w:val="22"/>
                <w:highlight w:val="none"/>
              </w:rPr>
            </w:pPr>
            <w:r>
              <w:rPr>
                <w:rFonts w:hint="eastAsia" w:asciiTheme="minorEastAsia" w:hAnsiTheme="minorEastAsia" w:eastAsiaTheme="minorEastAsia" w:cstheme="minorEastAsia"/>
                <w:b w:val="0"/>
                <w:bCs/>
                <w:color w:val="auto"/>
                <w:sz w:val="20"/>
                <w:szCs w:val="8"/>
                <w:highlight w:val="none"/>
                <w:lang w:val="zh-CN" w:eastAsia="zh-CN"/>
              </w:rPr>
              <w:t>海南电网有限责任公司2025年海口变电运检分公司变电站智能安防与定位作业可视化</w:t>
            </w:r>
            <w:r>
              <w:rPr>
                <w:rFonts w:hint="eastAsia" w:asciiTheme="minorEastAsia" w:hAnsiTheme="minorEastAsia" w:eastAsiaTheme="minorEastAsia" w:cstheme="minorEastAsia"/>
                <w:b w:val="0"/>
                <w:bCs/>
                <w:color w:val="auto"/>
                <w:sz w:val="20"/>
                <w:szCs w:val="8"/>
                <w:highlight w:val="none"/>
                <w:lang w:val="en-US" w:eastAsia="zh-CN"/>
              </w:rPr>
              <w:t>系统配套</w:t>
            </w:r>
            <w:r>
              <w:rPr>
                <w:rFonts w:hint="eastAsia" w:asciiTheme="minorEastAsia" w:hAnsiTheme="minorEastAsia" w:eastAsiaTheme="minorEastAsia" w:cstheme="minorEastAsia"/>
                <w:b w:val="0"/>
                <w:bCs/>
                <w:color w:val="auto"/>
                <w:sz w:val="20"/>
                <w:szCs w:val="8"/>
                <w:highlight w:val="none"/>
                <w:lang w:val="zh-CN" w:eastAsia="zh-CN"/>
              </w:rPr>
              <w:t>硬件采购专项公开招标项目，整体应用符合网公司</w:t>
            </w:r>
            <w:r>
              <w:rPr>
                <w:rFonts w:hint="eastAsia" w:asciiTheme="minorEastAsia" w:hAnsiTheme="minorEastAsia" w:eastAsiaTheme="minorEastAsia" w:cstheme="minorEastAsia"/>
                <w:b w:val="0"/>
                <w:bCs/>
                <w:color w:val="auto"/>
                <w:sz w:val="20"/>
                <w:szCs w:val="8"/>
                <w:highlight w:val="none"/>
                <w:lang w:val="en-US" w:eastAsia="zh-CN"/>
              </w:rPr>
              <w:t>数字生产</w:t>
            </w:r>
            <w:r>
              <w:rPr>
                <w:rFonts w:hint="eastAsia" w:asciiTheme="minorEastAsia" w:hAnsiTheme="minorEastAsia" w:eastAsiaTheme="minorEastAsia" w:cstheme="minorEastAsia"/>
                <w:b w:val="0"/>
                <w:bCs/>
                <w:color w:val="auto"/>
                <w:sz w:val="20"/>
                <w:szCs w:val="8"/>
                <w:highlight w:val="none"/>
                <w:lang w:val="zh-CN" w:eastAsia="zh-CN"/>
              </w:rPr>
              <w:t>的技术架构，服务内容主要</w:t>
            </w:r>
            <w:r>
              <w:rPr>
                <w:rFonts w:hint="eastAsia" w:asciiTheme="minorEastAsia" w:hAnsiTheme="minorEastAsia" w:eastAsiaTheme="minorEastAsia" w:cstheme="minorEastAsia"/>
                <w:b w:val="0"/>
                <w:bCs/>
                <w:color w:val="auto"/>
                <w:sz w:val="20"/>
                <w:szCs w:val="8"/>
                <w:highlight w:val="none"/>
                <w:lang w:val="en-US" w:eastAsia="zh-CN"/>
              </w:rPr>
              <w:t>在海口变电运检分公司大英山变电站因地适宜配置</w:t>
            </w:r>
            <w:r>
              <w:rPr>
                <w:rFonts w:hint="eastAsia" w:asciiTheme="minorEastAsia" w:hAnsiTheme="minorEastAsia" w:eastAsiaTheme="minorEastAsia" w:cstheme="minorEastAsia"/>
                <w:b w:val="0"/>
                <w:bCs/>
                <w:color w:val="auto"/>
                <w:sz w:val="20"/>
                <w:szCs w:val="8"/>
                <w:highlight w:val="none"/>
                <w:lang w:val="zh-CN" w:eastAsia="zh-CN"/>
              </w:rPr>
              <w:t>人脸识别闸机一体机、安全帽图传模块设备、定位基站、定位标签、PC监控终端、定位数据服务器</w:t>
            </w:r>
            <w:r>
              <w:rPr>
                <w:rFonts w:hint="eastAsia" w:asciiTheme="minorEastAsia" w:hAnsiTheme="minorEastAsia" w:eastAsiaTheme="minorEastAsia" w:cstheme="minorEastAsia"/>
                <w:b w:val="0"/>
                <w:bCs/>
                <w:color w:val="auto"/>
                <w:sz w:val="20"/>
                <w:szCs w:val="8"/>
                <w:highlight w:val="none"/>
                <w:lang w:val="en-US" w:eastAsia="zh-CN"/>
              </w:rPr>
              <w:t>硬件终端</w:t>
            </w:r>
            <w:r>
              <w:rPr>
                <w:rFonts w:hint="eastAsia" w:asciiTheme="minorEastAsia" w:hAnsiTheme="minorEastAsia" w:eastAsiaTheme="minorEastAsia" w:cstheme="minorEastAsia"/>
                <w:b w:val="0"/>
                <w:bCs/>
                <w:color w:val="auto"/>
                <w:sz w:val="20"/>
                <w:szCs w:val="8"/>
                <w:highlight w:val="none"/>
                <w:lang w:val="zh-CN" w:eastAsia="zh-CN"/>
              </w:rPr>
              <w:t>，</w:t>
            </w:r>
            <w:r>
              <w:rPr>
                <w:rFonts w:hint="eastAsia" w:asciiTheme="minorEastAsia" w:hAnsiTheme="minorEastAsia" w:eastAsiaTheme="minorEastAsia" w:cstheme="minorEastAsia"/>
                <w:b w:val="0"/>
                <w:bCs/>
                <w:color w:val="auto"/>
                <w:sz w:val="20"/>
                <w:szCs w:val="8"/>
                <w:highlight w:val="none"/>
                <w:lang w:val="en-US" w:eastAsia="zh-CN"/>
              </w:rPr>
              <w:t>同时</w:t>
            </w:r>
            <w:r>
              <w:rPr>
                <w:rFonts w:hint="eastAsia" w:asciiTheme="minorEastAsia" w:hAnsiTheme="minorEastAsia" w:eastAsiaTheme="minorEastAsia" w:cstheme="minorEastAsia"/>
                <w:b w:val="0"/>
                <w:bCs/>
                <w:color w:val="auto"/>
                <w:sz w:val="20"/>
                <w:szCs w:val="8"/>
                <w:highlight w:val="none"/>
                <w:lang w:val="zh-CN" w:eastAsia="zh-CN"/>
              </w:rPr>
              <w:t>协同开展</w:t>
            </w:r>
            <w:r>
              <w:rPr>
                <w:rFonts w:hint="eastAsia" w:asciiTheme="minorEastAsia" w:hAnsiTheme="minorEastAsia" w:eastAsiaTheme="minorEastAsia" w:cstheme="minorEastAsia"/>
                <w:b w:val="0"/>
                <w:bCs/>
                <w:color w:val="auto"/>
                <w:sz w:val="20"/>
                <w:szCs w:val="8"/>
                <w:highlight w:val="none"/>
                <w:lang w:val="en-US" w:eastAsia="zh-CN"/>
              </w:rPr>
              <w:t>终端安装调试，以及终端</w:t>
            </w:r>
            <w:r>
              <w:rPr>
                <w:rFonts w:hint="eastAsia" w:asciiTheme="minorEastAsia" w:hAnsiTheme="minorEastAsia" w:eastAsiaTheme="minorEastAsia" w:cstheme="minorEastAsia"/>
                <w:b w:val="0"/>
                <w:bCs/>
                <w:color w:val="auto"/>
                <w:sz w:val="20"/>
                <w:szCs w:val="8"/>
                <w:highlight w:val="none"/>
                <w:lang w:val="zh-CN" w:eastAsia="zh-CN"/>
              </w:rPr>
              <w:t>与</w:t>
            </w:r>
            <w:r>
              <w:rPr>
                <w:rFonts w:hint="eastAsia" w:asciiTheme="minorEastAsia" w:hAnsiTheme="minorEastAsia" w:eastAsiaTheme="minorEastAsia" w:cstheme="minorEastAsia"/>
                <w:b w:val="0"/>
                <w:bCs/>
                <w:color w:val="auto"/>
                <w:sz w:val="20"/>
                <w:szCs w:val="8"/>
                <w:highlight w:val="none"/>
                <w:lang w:val="en-US" w:eastAsia="zh-CN"/>
              </w:rPr>
              <w:t>变电站</w:t>
            </w:r>
            <w:r>
              <w:rPr>
                <w:rFonts w:hint="eastAsia" w:asciiTheme="minorEastAsia" w:hAnsiTheme="minorEastAsia" w:eastAsiaTheme="minorEastAsia" w:cstheme="minorEastAsia"/>
                <w:b w:val="0"/>
                <w:bCs/>
                <w:color w:val="auto"/>
                <w:sz w:val="20"/>
                <w:szCs w:val="8"/>
                <w:highlight w:val="none"/>
                <w:lang w:val="zh-CN" w:eastAsia="zh-CN"/>
              </w:rPr>
              <w:t>智能安防与定位作业可视化</w:t>
            </w:r>
            <w:r>
              <w:rPr>
                <w:rFonts w:hint="eastAsia" w:asciiTheme="minorEastAsia" w:hAnsiTheme="minorEastAsia" w:eastAsiaTheme="minorEastAsia" w:cstheme="minorEastAsia"/>
                <w:b w:val="0"/>
                <w:bCs/>
                <w:color w:val="auto"/>
                <w:sz w:val="20"/>
                <w:szCs w:val="8"/>
                <w:highlight w:val="none"/>
                <w:lang w:val="en-US" w:eastAsia="zh-CN"/>
              </w:rPr>
              <w:t>系统、变电运行支持系统</w:t>
            </w:r>
            <w:r>
              <w:rPr>
                <w:rFonts w:hint="eastAsia" w:asciiTheme="minorEastAsia" w:hAnsiTheme="minorEastAsia" w:eastAsiaTheme="minorEastAsia" w:cstheme="minorEastAsia"/>
                <w:b w:val="0"/>
                <w:bCs/>
                <w:color w:val="auto"/>
                <w:sz w:val="20"/>
                <w:szCs w:val="8"/>
                <w:highlight w:val="none"/>
                <w:lang w:val="zh-CN" w:eastAsia="zh-CN"/>
              </w:rPr>
              <w:t>的数据接入、调测等集成技术服务</w:t>
            </w:r>
            <w:r>
              <w:rPr>
                <w:rFonts w:hint="eastAsia" w:asciiTheme="minorEastAsia" w:hAnsiTheme="minorEastAsia" w:eastAsiaTheme="minorEastAsia" w:cstheme="minorEastAsia"/>
                <w:b w:val="0"/>
                <w:bCs/>
                <w:color w:val="auto"/>
                <w:sz w:val="20"/>
                <w:szCs w:val="8"/>
                <w:highlight w:val="none"/>
                <w:lang w:val="en-US" w:eastAsia="zh-CN"/>
              </w:rPr>
              <w:t>。</w:t>
            </w:r>
            <w:r>
              <w:rPr>
                <w:rFonts w:hint="eastAsia" w:asciiTheme="minorEastAsia" w:hAnsiTheme="minorEastAsia" w:eastAsiaTheme="minorEastAsia" w:cstheme="minorEastAsia"/>
                <w:b w:val="0"/>
                <w:bCs/>
                <w:color w:val="auto"/>
                <w:sz w:val="20"/>
                <w:szCs w:val="8"/>
                <w:highlight w:val="none"/>
                <w:lang w:val="zh-CN" w:eastAsia="zh-CN"/>
              </w:rPr>
              <w:t>（具体参数见项目需求清单）</w:t>
            </w:r>
          </w:p>
        </w:tc>
      </w:tr>
      <w:bookmarkEnd w:id="24"/>
      <w:bookmarkEnd w:id="25"/>
      <w:bookmarkEnd w:id="26"/>
      <w:bookmarkEnd w:id="27"/>
      <w:bookmarkEnd w:id="34"/>
      <w:bookmarkEnd w:id="35"/>
      <w:bookmarkEnd w:id="36"/>
    </w:tbl>
    <w:p>
      <w:pPr>
        <w:keepNext w:val="0"/>
        <w:keepLines w:val="0"/>
        <w:pageBreakBefore w:val="0"/>
        <w:widowControl w:val="0"/>
        <w:kinsoku/>
        <w:wordWrap/>
        <w:overflowPunct/>
        <w:topLinePunct w:val="0"/>
        <w:autoSpaceDE/>
        <w:autoSpaceDN/>
        <w:bidi w:val="0"/>
        <w:adjustRightInd w:val="0"/>
        <w:snapToGrid w:val="0"/>
        <w:spacing w:before="157" w:beforeLines="50"/>
        <w:ind w:firstLine="406" w:firstLineChars="200"/>
        <w:textAlignment w:val="auto"/>
        <w:rPr>
          <w:rFonts w:hint="eastAsia" w:ascii="黑体" w:hAnsi="黑体" w:eastAsia="黑体" w:cs="黑体"/>
          <w:b/>
          <w:bCs/>
          <w:color w:val="auto"/>
          <w:sz w:val="22"/>
          <w:szCs w:val="22"/>
          <w:highlight w:val="none"/>
        </w:rPr>
      </w:pPr>
      <w:bookmarkStart w:id="65" w:name="_Toc384241745"/>
      <w:bookmarkStart w:id="66" w:name="_Toc32508"/>
      <w:bookmarkStart w:id="67" w:name="_Toc508213791"/>
      <w:bookmarkStart w:id="68" w:name="_Toc14071"/>
      <w:bookmarkStart w:id="69" w:name="_Toc15400"/>
      <w:bookmarkStart w:id="70" w:name="_Toc7060"/>
      <w:r>
        <w:rPr>
          <w:rFonts w:hint="eastAsia" w:ascii="宋体" w:hAnsi="宋体"/>
          <w:b/>
          <w:bCs/>
          <w:color w:val="auto"/>
          <w:spacing w:val="-4"/>
          <w:sz w:val="21"/>
          <w:szCs w:val="21"/>
          <w:highlight w:val="none"/>
        </w:rPr>
        <w:t>采购内容</w:t>
      </w:r>
      <w:r>
        <w:rPr>
          <w:rFonts w:hint="eastAsia" w:ascii="宋体" w:hAnsi="宋体"/>
          <w:b/>
          <w:bCs/>
          <w:color w:val="auto"/>
          <w:spacing w:val="-4"/>
          <w:sz w:val="21"/>
          <w:szCs w:val="21"/>
          <w:highlight w:val="none"/>
          <w:lang w:val="en-US" w:eastAsia="zh-CN"/>
        </w:rPr>
        <w:t>服务站点及终端数量：</w:t>
      </w:r>
    </w:p>
    <w:tbl>
      <w:tblPr>
        <w:tblStyle w:val="22"/>
        <w:tblW w:w="838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465"/>
        <w:gridCol w:w="2100"/>
        <w:gridCol w:w="2730"/>
        <w:gridCol w:w="720"/>
        <w:gridCol w:w="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576"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b/>
                <w:bCs/>
                <w:color w:val="auto"/>
                <w:sz w:val="20"/>
                <w:szCs w:val="16"/>
              </w:rPr>
            </w:pPr>
            <w:r>
              <w:rPr>
                <w:rFonts w:hint="eastAsia"/>
                <w:b/>
                <w:bCs/>
                <w:color w:val="auto"/>
                <w:sz w:val="20"/>
                <w:szCs w:val="16"/>
              </w:rPr>
              <w:t>编号</w:t>
            </w:r>
          </w:p>
        </w:tc>
        <w:tc>
          <w:tcPr>
            <w:tcW w:w="1465"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eastAsia="宋体"/>
                <w:b/>
                <w:bCs/>
                <w:color w:val="auto"/>
                <w:sz w:val="20"/>
                <w:szCs w:val="16"/>
                <w:lang w:val="en-US" w:eastAsia="zh-CN"/>
              </w:rPr>
            </w:pPr>
            <w:r>
              <w:rPr>
                <w:rFonts w:hint="eastAsia"/>
                <w:b/>
                <w:bCs/>
                <w:color w:val="auto"/>
                <w:sz w:val="20"/>
                <w:szCs w:val="16"/>
                <w:lang w:val="en-US" w:eastAsia="zh-CN"/>
              </w:rPr>
              <w:t>安装位置</w:t>
            </w:r>
          </w:p>
        </w:tc>
        <w:tc>
          <w:tcPr>
            <w:tcW w:w="210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eastAsia="宋体"/>
                <w:b/>
                <w:bCs/>
                <w:color w:val="auto"/>
                <w:sz w:val="20"/>
                <w:szCs w:val="16"/>
                <w:lang w:val="en-US" w:eastAsia="zh-CN"/>
              </w:rPr>
            </w:pPr>
            <w:r>
              <w:rPr>
                <w:rFonts w:hint="eastAsia"/>
                <w:b/>
                <w:bCs/>
                <w:color w:val="auto"/>
                <w:sz w:val="20"/>
                <w:szCs w:val="16"/>
                <w:lang w:val="en-US" w:eastAsia="zh-CN"/>
              </w:rPr>
              <w:t>设备名称</w:t>
            </w:r>
          </w:p>
        </w:tc>
        <w:tc>
          <w:tcPr>
            <w:tcW w:w="273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eastAsia="宋体"/>
                <w:b/>
                <w:bCs/>
                <w:color w:val="auto"/>
                <w:sz w:val="20"/>
                <w:szCs w:val="16"/>
                <w:lang w:val="en-US" w:eastAsia="zh-CN"/>
              </w:rPr>
            </w:pPr>
            <w:r>
              <w:rPr>
                <w:rFonts w:hint="eastAsia"/>
                <w:b/>
                <w:bCs/>
                <w:color w:val="auto"/>
                <w:sz w:val="20"/>
                <w:szCs w:val="16"/>
              </w:rPr>
              <w:t>主要</w:t>
            </w:r>
            <w:r>
              <w:rPr>
                <w:rFonts w:hint="eastAsia"/>
                <w:b/>
                <w:bCs/>
                <w:color w:val="auto"/>
                <w:sz w:val="20"/>
                <w:szCs w:val="16"/>
                <w:lang w:val="en-US" w:eastAsia="zh-CN"/>
              </w:rPr>
              <w:t>功能及技术要求</w:t>
            </w:r>
          </w:p>
        </w:tc>
        <w:tc>
          <w:tcPr>
            <w:tcW w:w="72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b/>
                <w:bCs/>
                <w:color w:val="auto"/>
                <w:sz w:val="20"/>
                <w:szCs w:val="16"/>
              </w:rPr>
            </w:pPr>
            <w:r>
              <w:rPr>
                <w:rFonts w:hint="eastAsia"/>
                <w:b/>
                <w:bCs/>
                <w:color w:val="auto"/>
                <w:sz w:val="20"/>
                <w:szCs w:val="16"/>
              </w:rPr>
              <w:t>单位</w:t>
            </w:r>
          </w:p>
        </w:tc>
        <w:tc>
          <w:tcPr>
            <w:tcW w:w="79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b/>
                <w:bCs/>
                <w:color w:val="auto"/>
                <w:sz w:val="20"/>
                <w:szCs w:val="16"/>
              </w:rPr>
            </w:pPr>
            <w:r>
              <w:rPr>
                <w:rFonts w:hint="eastAsia"/>
                <w:b/>
                <w:bCs/>
                <w:color w:val="auto"/>
                <w:sz w:val="20"/>
                <w:szCs w:val="16"/>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dxa"/>
            <w:shd w:val="clear" w:color="auto" w:fill="F1F1F1" w:themeFill="background1" w:themeFillShade="F2"/>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color w:val="auto"/>
                <w:sz w:val="18"/>
                <w:szCs w:val="18"/>
              </w:rPr>
            </w:pPr>
            <w:r>
              <w:rPr>
                <w:rFonts w:hint="eastAsia" w:ascii="宋体" w:hAnsi="宋体" w:eastAsia="宋体" w:cs="宋体"/>
                <w:i w:val="0"/>
                <w:iCs w:val="0"/>
                <w:color w:val="auto"/>
                <w:kern w:val="0"/>
                <w:sz w:val="21"/>
                <w:szCs w:val="21"/>
                <w:u w:val="none"/>
                <w:lang w:val="en-US" w:eastAsia="zh-CN" w:bidi="ar"/>
              </w:rPr>
              <w:t>1</w:t>
            </w:r>
          </w:p>
        </w:tc>
        <w:tc>
          <w:tcPr>
            <w:tcW w:w="146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color w:val="auto"/>
                <w:sz w:val="18"/>
                <w:szCs w:val="18"/>
              </w:rPr>
            </w:pPr>
            <w:r>
              <w:rPr>
                <w:rFonts w:hint="eastAsia" w:ascii="宋体" w:hAnsi="宋体" w:eastAsia="宋体" w:cs="宋体"/>
                <w:i w:val="0"/>
                <w:iCs w:val="0"/>
                <w:color w:val="auto"/>
                <w:kern w:val="0"/>
                <w:sz w:val="18"/>
                <w:szCs w:val="18"/>
                <w:u w:val="none"/>
                <w:lang w:val="en-US" w:eastAsia="zh-CN" w:bidi="ar"/>
              </w:rPr>
              <w:t>220kV</w:t>
            </w:r>
            <w:r>
              <w:rPr>
                <w:rFonts w:hint="eastAsia" w:ascii="宋体" w:hAnsi="宋体" w:cs="宋体"/>
                <w:i w:val="0"/>
                <w:iCs w:val="0"/>
                <w:color w:val="auto"/>
                <w:kern w:val="0"/>
                <w:sz w:val="18"/>
                <w:szCs w:val="18"/>
                <w:u w:val="none"/>
                <w:lang w:val="en-US" w:eastAsia="zh-CN" w:bidi="ar"/>
              </w:rPr>
              <w:t>大英山</w:t>
            </w:r>
            <w:r>
              <w:rPr>
                <w:rFonts w:hint="eastAsia" w:ascii="宋体" w:hAnsi="宋体" w:eastAsia="宋体" w:cs="宋体"/>
                <w:i w:val="0"/>
                <w:iCs w:val="0"/>
                <w:color w:val="auto"/>
                <w:kern w:val="0"/>
                <w:sz w:val="18"/>
                <w:szCs w:val="18"/>
                <w:u w:val="none"/>
                <w:lang w:val="en-US" w:eastAsia="zh-CN" w:bidi="ar"/>
              </w:rPr>
              <w:t>站</w:t>
            </w: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人脸识别闸机一体机</w:t>
            </w:r>
          </w:p>
        </w:tc>
        <w:tc>
          <w:tcPr>
            <w:tcW w:w="273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color w:val="auto"/>
                <w:kern w:val="2"/>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支持识别统计进场人员的所有身份信息，并对进出时间准确记录保存，便于管理人员统计和抽查监督。</w:t>
            </w:r>
          </w:p>
        </w:tc>
        <w:tc>
          <w:tcPr>
            <w:tcW w:w="72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套</w:t>
            </w:r>
          </w:p>
        </w:tc>
        <w:tc>
          <w:tcPr>
            <w:tcW w:w="79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576" w:type="dxa"/>
            <w:shd w:val="clear" w:color="auto" w:fill="F1F1F1" w:themeFill="background1" w:themeFillShade="F2"/>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r>
              <w:rPr>
                <w:rFonts w:hint="eastAsia" w:ascii="宋体" w:hAnsi="宋体" w:eastAsia="宋体" w:cs="宋体"/>
                <w:i w:val="0"/>
                <w:iCs w:val="0"/>
                <w:color w:val="auto"/>
                <w:kern w:val="0"/>
                <w:sz w:val="21"/>
                <w:szCs w:val="21"/>
                <w:u w:val="none"/>
                <w:lang w:val="en-US" w:eastAsia="zh-CN" w:bidi="ar"/>
              </w:rPr>
              <w:t>2</w:t>
            </w:r>
          </w:p>
        </w:tc>
        <w:tc>
          <w:tcPr>
            <w:tcW w:w="146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安全帽图传模块设备</w:t>
            </w:r>
          </w:p>
        </w:tc>
        <w:tc>
          <w:tcPr>
            <w:tcW w:w="2730" w:type="dxa"/>
            <w:vAlign w:val="center"/>
          </w:tcPr>
          <w:p>
            <w:pPr>
              <w:pStyle w:val="97"/>
              <w:numPr>
                <w:ilvl w:val="0"/>
                <w:numId w:val="0"/>
              </w:numPr>
              <w:spacing w:line="240" w:lineRule="auto"/>
              <w:ind w:leftChars="0"/>
              <w:jc w:val="left"/>
              <w:rPr>
                <w:rFonts w:hint="eastAsia" w:ascii="Times New Roman" w:hAnsi="Times New Roman" w:eastAsia="宋体" w:cs="Times New Roman"/>
                <w:color w:val="auto"/>
                <w:kern w:val="2"/>
                <w:sz w:val="18"/>
                <w:szCs w:val="18"/>
                <w:u w:val="none"/>
                <w:lang w:val="en-US" w:eastAsia="zh-CN" w:bidi="ar-SA"/>
              </w:rPr>
            </w:pPr>
            <w:r>
              <w:rPr>
                <w:rFonts w:hint="eastAsia" w:ascii="Times New Roman" w:hAnsi="Times New Roman" w:eastAsia="宋体" w:cs="Times New Roman"/>
                <w:color w:val="auto"/>
                <w:kern w:val="2"/>
                <w:sz w:val="18"/>
                <w:szCs w:val="18"/>
                <w:u w:val="none"/>
                <w:lang w:val="en-US" w:eastAsia="zh-CN" w:bidi="ar-SA"/>
              </w:rPr>
              <w:t>支持以第一人称视角同步观看当前作业现场实况，画面720p及以上；支持对一定周期内平台保存的视频进行查看。</w:t>
            </w:r>
          </w:p>
        </w:tc>
        <w:tc>
          <w:tcPr>
            <w:tcW w:w="72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套</w:t>
            </w:r>
          </w:p>
        </w:tc>
        <w:tc>
          <w:tcPr>
            <w:tcW w:w="79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dxa"/>
            <w:shd w:val="clear" w:color="auto" w:fill="F1F1F1" w:themeFill="background1" w:themeFillShade="F2"/>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r>
              <w:rPr>
                <w:rFonts w:hint="eastAsia" w:ascii="宋体" w:hAnsi="宋体" w:eastAsia="宋体" w:cs="宋体"/>
                <w:i w:val="0"/>
                <w:iCs w:val="0"/>
                <w:color w:val="auto"/>
                <w:kern w:val="0"/>
                <w:sz w:val="21"/>
                <w:szCs w:val="21"/>
                <w:u w:val="none"/>
                <w:lang w:val="en-US" w:eastAsia="zh-CN" w:bidi="ar"/>
              </w:rPr>
              <w:t>3</w:t>
            </w:r>
          </w:p>
        </w:tc>
        <w:tc>
          <w:tcPr>
            <w:tcW w:w="146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定位基站</w:t>
            </w:r>
          </w:p>
        </w:tc>
        <w:tc>
          <w:tcPr>
            <w:tcW w:w="273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kern w:val="2"/>
                <w:sz w:val="18"/>
                <w:szCs w:val="18"/>
                <w:u w:val="none"/>
                <w:lang w:val="en-US" w:eastAsia="zh-CN" w:bidi="ar-SA"/>
              </w:rPr>
            </w:pPr>
            <w:r>
              <w:rPr>
                <w:rFonts w:hint="eastAsia" w:ascii="Times New Roman" w:hAnsi="Times New Roman" w:eastAsia="宋体" w:cs="Times New Roman"/>
                <w:color w:val="auto"/>
                <w:kern w:val="2"/>
                <w:sz w:val="18"/>
                <w:szCs w:val="18"/>
                <w:u w:val="none"/>
                <w:lang w:val="en-US" w:eastAsia="zh-CN" w:bidi="ar-SA"/>
              </w:rPr>
              <w:t>安装在不同楼层变电站各个区间，为可视化定位安全帽提供定位参考点。</w:t>
            </w:r>
          </w:p>
        </w:tc>
        <w:tc>
          <w:tcPr>
            <w:tcW w:w="72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套</w:t>
            </w:r>
          </w:p>
        </w:tc>
        <w:tc>
          <w:tcPr>
            <w:tcW w:w="79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dxa"/>
            <w:shd w:val="clear" w:color="auto" w:fill="F1F1F1" w:themeFill="background1" w:themeFillShade="F2"/>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r>
              <w:rPr>
                <w:rFonts w:hint="eastAsia" w:ascii="宋体" w:hAnsi="宋体" w:eastAsia="宋体" w:cs="宋体"/>
                <w:i w:val="0"/>
                <w:iCs w:val="0"/>
                <w:color w:val="auto"/>
                <w:kern w:val="0"/>
                <w:sz w:val="21"/>
                <w:szCs w:val="21"/>
                <w:u w:val="none"/>
                <w:lang w:val="en-US" w:eastAsia="zh-CN" w:bidi="ar"/>
              </w:rPr>
              <w:t>4</w:t>
            </w:r>
          </w:p>
        </w:tc>
        <w:tc>
          <w:tcPr>
            <w:tcW w:w="146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定位标签</w:t>
            </w:r>
          </w:p>
        </w:tc>
        <w:tc>
          <w:tcPr>
            <w:tcW w:w="273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kern w:val="2"/>
                <w:sz w:val="18"/>
                <w:szCs w:val="18"/>
                <w:u w:val="none"/>
                <w:lang w:val="en-US" w:eastAsia="zh-CN" w:bidi="ar-SA"/>
              </w:rPr>
            </w:pPr>
            <w:r>
              <w:rPr>
                <w:rFonts w:hint="eastAsia" w:ascii="Times New Roman" w:hAnsi="Times New Roman" w:eastAsia="宋体" w:cs="Times New Roman"/>
                <w:color w:val="auto"/>
                <w:kern w:val="2"/>
                <w:sz w:val="18"/>
                <w:szCs w:val="18"/>
                <w:u w:val="none"/>
                <w:lang w:val="en-US" w:eastAsia="zh-CN" w:bidi="ar-SA"/>
              </w:rPr>
              <w:t>提供人员定位数据，支持将脉冲信号发送给定位终端功能。</w:t>
            </w:r>
          </w:p>
        </w:tc>
        <w:tc>
          <w:tcPr>
            <w:tcW w:w="72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套</w:t>
            </w:r>
          </w:p>
        </w:tc>
        <w:tc>
          <w:tcPr>
            <w:tcW w:w="79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dxa"/>
            <w:shd w:val="clear" w:color="auto" w:fill="F1F1F1" w:themeFill="background1" w:themeFillShade="F2"/>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r>
              <w:rPr>
                <w:rFonts w:hint="eastAsia" w:ascii="宋体" w:hAnsi="宋体" w:eastAsia="宋体" w:cs="宋体"/>
                <w:i w:val="0"/>
                <w:iCs w:val="0"/>
                <w:color w:val="auto"/>
                <w:kern w:val="0"/>
                <w:sz w:val="21"/>
                <w:szCs w:val="21"/>
                <w:u w:val="none"/>
                <w:lang w:val="en-US" w:eastAsia="zh-CN" w:bidi="ar"/>
              </w:rPr>
              <w:t>5</w:t>
            </w:r>
          </w:p>
        </w:tc>
        <w:tc>
          <w:tcPr>
            <w:tcW w:w="146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PC监控终端</w:t>
            </w:r>
          </w:p>
        </w:tc>
        <w:tc>
          <w:tcPr>
            <w:tcW w:w="273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kern w:val="2"/>
                <w:sz w:val="18"/>
                <w:szCs w:val="18"/>
                <w:u w:val="none"/>
                <w:lang w:val="en-US" w:eastAsia="zh-CN" w:bidi="ar-SA"/>
              </w:rPr>
            </w:pPr>
            <w:r>
              <w:rPr>
                <w:rFonts w:hint="eastAsia" w:ascii="Times New Roman" w:hAnsi="Times New Roman" w:eastAsia="宋体" w:cs="Times New Roman"/>
                <w:color w:val="auto"/>
                <w:kern w:val="2"/>
                <w:sz w:val="18"/>
                <w:szCs w:val="18"/>
                <w:u w:val="none"/>
                <w:lang w:val="en-US" w:eastAsia="zh-CN" w:bidi="ar-SA"/>
              </w:rPr>
              <w:t>支持显示变电站作业人员精确定位系统提供的精确空间位置信息，达到变电站作业人员位置监控的目的。</w:t>
            </w:r>
          </w:p>
        </w:tc>
        <w:tc>
          <w:tcPr>
            <w:tcW w:w="72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套</w:t>
            </w:r>
          </w:p>
        </w:tc>
        <w:tc>
          <w:tcPr>
            <w:tcW w:w="79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576" w:type="dxa"/>
            <w:shd w:val="clear" w:color="auto" w:fill="F1F1F1" w:themeFill="background1" w:themeFillShade="F2"/>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r>
              <w:rPr>
                <w:rFonts w:hint="eastAsia" w:ascii="宋体" w:hAnsi="宋体" w:eastAsia="宋体" w:cs="宋体"/>
                <w:i w:val="0"/>
                <w:iCs w:val="0"/>
                <w:color w:val="auto"/>
                <w:kern w:val="0"/>
                <w:sz w:val="21"/>
                <w:szCs w:val="21"/>
                <w:u w:val="none"/>
                <w:lang w:val="en-US" w:eastAsia="zh-CN" w:bidi="ar"/>
              </w:rPr>
              <w:t>6</w:t>
            </w:r>
          </w:p>
        </w:tc>
        <w:tc>
          <w:tcPr>
            <w:tcW w:w="146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olor w:val="auto"/>
                <w:sz w:val="18"/>
                <w:szCs w:val="18"/>
              </w:rPr>
            </w:pP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定位数据服务器</w:t>
            </w:r>
          </w:p>
        </w:tc>
        <w:tc>
          <w:tcPr>
            <w:tcW w:w="2730" w:type="dxa"/>
            <w:vAlign w:val="center"/>
          </w:tcPr>
          <w:p>
            <w:pPr>
              <w:pStyle w:val="97"/>
              <w:numPr>
                <w:ilvl w:val="0"/>
                <w:numId w:val="0"/>
              </w:numPr>
              <w:spacing w:line="240" w:lineRule="auto"/>
              <w:ind w:leftChars="0"/>
              <w:jc w:val="left"/>
              <w:rPr>
                <w:rFonts w:hint="eastAsia" w:ascii="Times New Roman" w:hAnsi="Times New Roman" w:eastAsia="宋体" w:cs="Times New Roman"/>
                <w:color w:val="auto"/>
                <w:kern w:val="2"/>
                <w:sz w:val="18"/>
                <w:szCs w:val="18"/>
                <w:u w:val="none"/>
                <w:lang w:val="en-US" w:eastAsia="zh-CN" w:bidi="ar-SA"/>
              </w:rPr>
            </w:pPr>
            <w:r>
              <w:rPr>
                <w:rFonts w:hint="eastAsia" w:ascii="Times New Roman" w:hAnsi="Times New Roman" w:eastAsia="宋体" w:cs="Times New Roman"/>
                <w:color w:val="auto"/>
                <w:kern w:val="2"/>
                <w:sz w:val="18"/>
                <w:szCs w:val="18"/>
                <w:u w:val="none"/>
                <w:lang w:val="en-US" w:eastAsia="zh-CN" w:bidi="ar-SA"/>
              </w:rPr>
              <w:t>通过站端基站通信，具有定位数据分析的运行能力。</w:t>
            </w:r>
          </w:p>
        </w:tc>
        <w:tc>
          <w:tcPr>
            <w:tcW w:w="72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套</w:t>
            </w:r>
          </w:p>
        </w:tc>
        <w:tc>
          <w:tcPr>
            <w:tcW w:w="790" w:type="dxa"/>
            <w:vAlign w:val="center"/>
          </w:tcPr>
          <w:p>
            <w:pPr>
              <w:widowControl/>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1</w:t>
            </w:r>
          </w:p>
        </w:tc>
      </w:tr>
    </w:tbl>
    <w:p>
      <w:pPr>
        <w:pStyle w:val="5"/>
        <w:spacing w:line="240" w:lineRule="auto"/>
        <w:rPr>
          <w:rFonts w:ascii="黑体" w:hAnsi="黑体" w:eastAsia="黑体" w:cs="黑体"/>
          <w:color w:val="auto"/>
          <w:sz w:val="22"/>
          <w:szCs w:val="22"/>
          <w:highlight w:val="none"/>
        </w:rPr>
      </w:pPr>
      <w:bookmarkStart w:id="71" w:name="_Toc5643"/>
      <w:r>
        <w:rPr>
          <w:rFonts w:hint="eastAsia" w:ascii="黑体" w:hAnsi="黑体" w:eastAsia="黑体" w:cs="黑体"/>
          <w:color w:val="auto"/>
          <w:sz w:val="22"/>
          <w:szCs w:val="22"/>
          <w:highlight w:val="none"/>
        </w:rPr>
        <w:t>2.3  应遵循的主要标准</w:t>
      </w:r>
      <w:bookmarkEnd w:id="65"/>
      <w:bookmarkEnd w:id="66"/>
      <w:bookmarkEnd w:id="67"/>
      <w:bookmarkEnd w:id="68"/>
      <w:bookmarkEnd w:id="69"/>
      <w:bookmarkEnd w:id="70"/>
      <w:bookmarkEnd w:id="71"/>
    </w:p>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下列标准所包含的条文, 通过在本招标技术文件中引用而构成本招标技术文件的基本条文。在本招标技术文件出版时, 所示版本均为有效。所有标准都会被修订, 使用本招标技术文件的各方应探讨使用下列标准最新版本的可能性。按标准号顺序排列标准，如果各标准要求有所不同，满足更高的标准要求。</w:t>
      </w:r>
    </w:p>
    <w:tbl>
      <w:tblPr>
        <w:tblStyle w:val="22"/>
        <w:tblW w:w="8522" w:type="dxa"/>
        <w:tblInd w:w="0" w:type="dxa"/>
        <w:tblLayout w:type="fixed"/>
        <w:tblCellMar>
          <w:top w:w="0" w:type="dxa"/>
          <w:left w:w="108" w:type="dxa"/>
          <w:bottom w:w="0" w:type="dxa"/>
          <w:right w:w="108" w:type="dxa"/>
        </w:tblCellMar>
      </w:tblPr>
      <w:tblGrid>
        <w:gridCol w:w="2606"/>
        <w:gridCol w:w="5916"/>
      </w:tblGrid>
      <w:tr>
        <w:tblPrEx>
          <w:tblCellMar>
            <w:top w:w="0" w:type="dxa"/>
            <w:left w:w="108" w:type="dxa"/>
            <w:bottom w:w="0" w:type="dxa"/>
            <w:right w:w="108" w:type="dxa"/>
          </w:tblCellMar>
        </w:tblPrEx>
        <w:trPr>
          <w:trHeight w:val="422" w:hRule="atLeast"/>
        </w:trPr>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ITU H.264</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《视频编解码标准》</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ITU-T G.711</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《音频编解码标准》</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SMI-S</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《存储管理接口标准》</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GB/T14715-1993</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《信息技术设备用不间断电源通用技术条件》</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GB/T6995-2008</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《电线电缆识别标志方法》</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GB 50348-2004</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《安全防范工程技术规范》</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DL 451-1991</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《循环式远动规约》</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DL/T 720-2000</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《电力系统继电保护柜、屏通用技术条件》</w:t>
            </w:r>
          </w:p>
        </w:tc>
      </w:tr>
      <w:tr>
        <w:tblPrEx>
          <w:tblCellMar>
            <w:top w:w="0" w:type="dxa"/>
            <w:left w:w="108" w:type="dxa"/>
            <w:bottom w:w="0" w:type="dxa"/>
            <w:right w:w="108" w:type="dxa"/>
          </w:tblCellMar>
        </w:tblPrEx>
        <w:trPr>
          <w:trHeight w:val="456" w:hRule="atLeast"/>
        </w:trPr>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DL/T 860-2004</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《变电站通信网络和系统》</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DL/T 1074-2007</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《电力用直流和交流一体化不间断电源设备》</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Q/GDW413-2010</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w:t>
            </w:r>
            <w:bookmarkStart w:id="72" w:name="OLE_LINK3"/>
            <w:bookmarkStart w:id="73" w:name="OLE_LINK2"/>
            <w:r>
              <w:rPr>
                <w:rFonts w:hint="eastAsia" w:ascii="宋体" w:hAnsi="宋体"/>
                <w:color w:val="auto"/>
                <w:spacing w:val="-4"/>
                <w:sz w:val="21"/>
                <w:szCs w:val="21"/>
                <w:highlight w:val="none"/>
              </w:rPr>
              <w:t>电力系统二次设备SPD防雷技术规范</w:t>
            </w:r>
            <w:bookmarkEnd w:id="72"/>
            <w:bookmarkEnd w:id="73"/>
            <w:r>
              <w:rPr>
                <w:rFonts w:hint="eastAsia" w:ascii="宋体" w:hAnsi="宋体"/>
                <w:color w:val="auto"/>
                <w:spacing w:val="-4"/>
                <w:sz w:val="21"/>
                <w:szCs w:val="21"/>
                <w:highlight w:val="none"/>
              </w:rPr>
              <w:t>》</w:t>
            </w:r>
          </w:p>
        </w:tc>
      </w:tr>
      <w:tr>
        <w:tblPrEx>
          <w:tblCellMar>
            <w:top w:w="0" w:type="dxa"/>
            <w:left w:w="108" w:type="dxa"/>
            <w:bottom w:w="0" w:type="dxa"/>
            <w:right w:w="108" w:type="dxa"/>
          </w:tblCellMar>
        </w:tblPrEx>
        <w:tc>
          <w:tcPr>
            <w:tcW w:w="2606" w:type="dxa"/>
            <w:vAlign w:val="center"/>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 xml:space="preserve"> Q/CSG 110017.62-2012</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《南方电网一体化电网运行智能系统技术规范 第6部分：厂站应用 第2篇：智能监视中心功能规范》（报批稿）</w:t>
            </w:r>
          </w:p>
        </w:tc>
      </w:tr>
      <w:tr>
        <w:tblPrEx>
          <w:tblCellMar>
            <w:top w:w="0" w:type="dxa"/>
            <w:left w:w="108" w:type="dxa"/>
            <w:bottom w:w="0" w:type="dxa"/>
            <w:right w:w="108" w:type="dxa"/>
          </w:tblCellMar>
        </w:tblPrEx>
        <w:tc>
          <w:tcPr>
            <w:tcW w:w="2606" w:type="dxa"/>
            <w:vAlign w:val="center"/>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 xml:space="preserve"> Q/CSG 110017.75-2012</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《南方电网一体化电网运行智能系统技术规范 第7部分：配置 第5篇：厂站辅助设施配置规范》</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发改委〔2014〕14号</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电力监控系统安全防护规定</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国能安全〔2015〕36号</w:t>
            </w:r>
          </w:p>
        </w:tc>
        <w:tc>
          <w:tcPr>
            <w:tcW w:w="591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电力监控系统安全防护总体方案</w:t>
            </w:r>
          </w:p>
        </w:tc>
      </w:tr>
      <w:tr>
        <w:tblPrEx>
          <w:tblCellMar>
            <w:top w:w="0" w:type="dxa"/>
            <w:left w:w="108" w:type="dxa"/>
            <w:bottom w:w="0" w:type="dxa"/>
            <w:right w:w="108" w:type="dxa"/>
          </w:tblCellMar>
        </w:tblPrEx>
        <w:tc>
          <w:tcPr>
            <w:tcW w:w="2606" w:type="dxa"/>
            <w:vAlign w:val="bottom"/>
          </w:tcPr>
          <w:p>
            <w:pPr>
              <w:adjustRightInd w:val="0"/>
              <w:snapToGrid w:val="0"/>
              <w:rPr>
                <w:rFonts w:ascii="宋体" w:hAnsi="宋体"/>
                <w:color w:val="auto"/>
                <w:spacing w:val="-4"/>
                <w:sz w:val="21"/>
                <w:szCs w:val="21"/>
                <w:highlight w:val="none"/>
              </w:rPr>
            </w:pPr>
            <w:r>
              <w:rPr>
                <w:rFonts w:hint="eastAsia" w:ascii="宋体" w:hAnsi="宋体"/>
                <w:color w:val="auto"/>
                <w:spacing w:val="-4"/>
                <w:sz w:val="21"/>
                <w:szCs w:val="21"/>
                <w:highlight w:val="none"/>
              </w:rPr>
              <w:t>电监信息[2012]62号</w:t>
            </w:r>
          </w:p>
        </w:tc>
        <w:tc>
          <w:tcPr>
            <w:tcW w:w="5916" w:type="dxa"/>
            <w:vAlign w:val="bottom"/>
          </w:tcPr>
          <w:p>
            <w:pPr>
              <w:adjustRightInd w:val="0"/>
              <w:snapToGrid w:val="0"/>
              <w:rPr>
                <w:rFonts w:hint="eastAsia" w:ascii="宋体" w:hAnsi="宋体"/>
                <w:color w:val="auto"/>
                <w:spacing w:val="-4"/>
                <w:sz w:val="21"/>
                <w:szCs w:val="21"/>
                <w:highlight w:val="none"/>
              </w:rPr>
            </w:pPr>
            <w:r>
              <w:rPr>
                <w:rFonts w:hint="eastAsia" w:ascii="宋体" w:hAnsi="宋体"/>
                <w:color w:val="auto"/>
                <w:spacing w:val="-4"/>
                <w:sz w:val="21"/>
                <w:szCs w:val="21"/>
                <w:highlight w:val="none"/>
              </w:rPr>
              <w:t>电力行业信息系统安全等级保护基本要求</w:t>
            </w:r>
          </w:p>
        </w:tc>
      </w:tr>
      <w:tr>
        <w:tblPrEx>
          <w:tblCellMar>
            <w:top w:w="0" w:type="dxa"/>
            <w:left w:w="108" w:type="dxa"/>
            <w:bottom w:w="0" w:type="dxa"/>
            <w:right w:w="108" w:type="dxa"/>
          </w:tblCellMar>
        </w:tblPrEx>
        <w:tc>
          <w:tcPr>
            <w:tcW w:w="2606" w:type="dxa"/>
            <w:vAlign w:val="bottom"/>
          </w:tcPr>
          <w:p>
            <w:pPr>
              <w:adjustRightInd w:val="0"/>
              <w:snapToGrid w:val="0"/>
              <w:rPr>
                <w:rFonts w:hint="eastAsia" w:ascii="宋体" w:hAnsi="宋体"/>
                <w:color w:val="auto"/>
                <w:spacing w:val="-4"/>
                <w:sz w:val="21"/>
                <w:szCs w:val="21"/>
                <w:highlight w:val="none"/>
              </w:rPr>
            </w:pPr>
            <w:bookmarkStart w:id="74" w:name="_Toc384241746"/>
            <w:bookmarkStart w:id="75" w:name="_Toc30090"/>
            <w:bookmarkStart w:id="76" w:name="_Toc508213792"/>
            <w:r>
              <w:rPr>
                <w:rFonts w:hint="eastAsia" w:ascii="宋体" w:hAnsi="宋体"/>
                <w:color w:val="auto"/>
                <w:spacing w:val="-4"/>
                <w:sz w:val="21"/>
                <w:szCs w:val="21"/>
                <w:highlight w:val="none"/>
              </w:rPr>
              <w:t>Q/CSG1210050-2020</w:t>
            </w:r>
          </w:p>
        </w:tc>
        <w:tc>
          <w:tcPr>
            <w:tcW w:w="5916" w:type="dxa"/>
            <w:vAlign w:val="bottom"/>
          </w:tcPr>
          <w:p>
            <w:pPr>
              <w:adjustRightInd w:val="0"/>
              <w:snapToGrid w:val="0"/>
              <w:rPr>
                <w:rFonts w:hint="eastAsia" w:ascii="宋体" w:hAnsi="宋体"/>
                <w:color w:val="auto"/>
                <w:spacing w:val="-4"/>
                <w:sz w:val="21"/>
                <w:szCs w:val="21"/>
                <w:highlight w:val="none"/>
              </w:rPr>
            </w:pPr>
            <w:r>
              <w:rPr>
                <w:rFonts w:hint="eastAsia" w:ascii="宋体" w:hAnsi="宋体"/>
                <w:color w:val="auto"/>
                <w:spacing w:val="-4"/>
                <w:sz w:val="21"/>
                <w:szCs w:val="21"/>
                <w:highlight w:val="none"/>
              </w:rPr>
              <w:t>南方电网电力全域物联网平台接入技术规范</w:t>
            </w:r>
          </w:p>
        </w:tc>
      </w:tr>
      <w:tr>
        <w:tblPrEx>
          <w:tblCellMar>
            <w:top w:w="0" w:type="dxa"/>
            <w:left w:w="108" w:type="dxa"/>
            <w:bottom w:w="0" w:type="dxa"/>
            <w:right w:w="108" w:type="dxa"/>
          </w:tblCellMar>
        </w:tblPrEx>
        <w:tc>
          <w:tcPr>
            <w:tcW w:w="2606" w:type="dxa"/>
            <w:vAlign w:val="bottom"/>
          </w:tcPr>
          <w:p>
            <w:pPr>
              <w:adjustRightInd w:val="0"/>
              <w:snapToGrid w:val="0"/>
              <w:rPr>
                <w:rFonts w:hint="eastAsia" w:ascii="宋体" w:hAnsi="宋体"/>
                <w:color w:val="auto"/>
                <w:spacing w:val="-4"/>
                <w:sz w:val="21"/>
                <w:szCs w:val="21"/>
                <w:highlight w:val="none"/>
              </w:rPr>
            </w:pPr>
            <w:r>
              <w:rPr>
                <w:rFonts w:hint="eastAsia" w:ascii="宋体" w:hAnsi="宋体"/>
                <w:color w:val="auto"/>
                <w:spacing w:val="-4"/>
                <w:sz w:val="21"/>
                <w:szCs w:val="21"/>
                <w:highlight w:val="none"/>
              </w:rPr>
              <w:t>Q/CSG1210052-2020</w:t>
            </w:r>
          </w:p>
        </w:tc>
        <w:tc>
          <w:tcPr>
            <w:tcW w:w="5916" w:type="dxa"/>
            <w:vAlign w:val="bottom"/>
          </w:tcPr>
          <w:p>
            <w:pPr>
              <w:adjustRightInd w:val="0"/>
              <w:snapToGrid w:val="0"/>
              <w:rPr>
                <w:rFonts w:hint="eastAsia" w:ascii="宋体" w:hAnsi="宋体"/>
                <w:color w:val="auto"/>
                <w:spacing w:val="-4"/>
                <w:sz w:val="21"/>
                <w:szCs w:val="21"/>
                <w:highlight w:val="none"/>
              </w:rPr>
            </w:pPr>
            <w:r>
              <w:rPr>
                <w:rFonts w:hint="eastAsia" w:ascii="宋体" w:hAnsi="宋体"/>
                <w:color w:val="auto"/>
                <w:spacing w:val="-4"/>
                <w:sz w:val="21"/>
                <w:szCs w:val="21"/>
                <w:highlight w:val="none"/>
              </w:rPr>
              <w:t>全域物联网平台技术规范</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bookmarkStart w:id="77" w:name="_Toc13526"/>
            <w:bookmarkStart w:id="78" w:name="_Toc6469"/>
            <w:r>
              <w:rPr>
                <w:rFonts w:hint="eastAsia" w:ascii="宋体" w:hAnsi="宋体" w:eastAsia="宋体" w:cs="Times New Roman"/>
                <w:color w:val="auto"/>
                <w:spacing w:val="-4"/>
                <w:sz w:val="21"/>
                <w:szCs w:val="21"/>
                <w:highlight w:val="none"/>
              </w:rPr>
              <w:t>电监信息[2012]62号</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电力行业信息系统安全等级保护基本要求</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国家发改委[2014]14 号令</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电力监控系统安全防护规定</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国能安全[2015]36 号</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电力监控系统安全防护总体方案</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GB/T 22239—2019</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信息安全技术网络安全等级保护基本要求</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GB/T 28181—2016</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公共安全视频监控联网系统信息传输、交换、控制技术要求</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GB/T 33745—2017</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物联网术语</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GB/T 35319—2017</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物联网系统接口要求</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GB/T 36478.1—2018</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物联网信息交换和共享第1 部分：总体架构</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GB/T 36478.2—2018</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物联网信息交换和共享第2 部分：通用技术要求</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GB 50348-2004</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安全防范工程技术规范</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Q_CSG1210050-2020</w:t>
            </w:r>
            <w:r>
              <w:rPr>
                <w:rFonts w:hint="eastAsia" w:ascii="宋体" w:hAnsi="宋体" w:eastAsia="宋体" w:cs="Times New Roman"/>
                <w:color w:val="auto"/>
                <w:spacing w:val="-4"/>
                <w:sz w:val="21"/>
                <w:szCs w:val="21"/>
                <w:highlight w:val="none"/>
              </w:rPr>
              <w:tab/>
            </w:r>
            <w:r>
              <w:rPr>
                <w:rFonts w:hint="eastAsia" w:ascii="宋体" w:hAnsi="宋体" w:eastAsia="宋体" w:cs="Times New Roman"/>
                <w:color w:val="auto"/>
                <w:spacing w:val="-4"/>
                <w:sz w:val="21"/>
                <w:szCs w:val="21"/>
                <w:highlight w:val="none"/>
              </w:rPr>
              <w:t xml:space="preserve">    </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南方电网电力全域物联网平台接入技术规范</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Q/CSG 1204009-2015</w:t>
            </w:r>
          </w:p>
        </w:tc>
        <w:tc>
          <w:tcPr>
            <w:tcW w:w="591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中国南方电网电力监控系统安全防护技术规范</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lang w:val="en-US" w:eastAsia="zh-CN"/>
              </w:rPr>
              <w:t>/</w:t>
            </w:r>
          </w:p>
        </w:tc>
        <w:tc>
          <w:tcPr>
            <w:tcW w:w="5916" w:type="dxa"/>
            <w:vAlign w:val="center"/>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lang w:eastAsia="zh-Hans"/>
              </w:rPr>
              <w:t>南方电网</w:t>
            </w:r>
            <w:r>
              <w:rPr>
                <w:rFonts w:hint="eastAsia" w:ascii="宋体" w:hAnsi="宋体" w:eastAsia="宋体" w:cs="Times New Roman"/>
                <w:color w:val="auto"/>
                <w:spacing w:val="-4"/>
                <w:sz w:val="21"/>
                <w:szCs w:val="21"/>
                <w:highlight w:val="none"/>
              </w:rPr>
              <w:t>推进数字电网统一物联标准化工作方案</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lang w:val="en-US" w:eastAsia="zh-CN"/>
              </w:rPr>
              <w:t>/</w:t>
            </w:r>
          </w:p>
        </w:tc>
        <w:tc>
          <w:tcPr>
            <w:tcW w:w="5916" w:type="dxa"/>
            <w:vAlign w:val="center"/>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rPr>
              <w:t>南方电网公司数字生产“十四五”专项规划</w:t>
            </w:r>
          </w:p>
        </w:tc>
      </w:tr>
      <w:tr>
        <w:tblPrEx>
          <w:tblCellMar>
            <w:top w:w="0" w:type="dxa"/>
            <w:left w:w="108" w:type="dxa"/>
            <w:bottom w:w="0" w:type="dxa"/>
            <w:right w:w="108" w:type="dxa"/>
          </w:tblCellMar>
        </w:tblPrEx>
        <w:tc>
          <w:tcPr>
            <w:tcW w:w="2606" w:type="dxa"/>
            <w:vAlign w:val="top"/>
          </w:tcPr>
          <w:p>
            <w:pPr>
              <w:adjustRightInd w:val="0"/>
              <w:snapToGrid w:val="0"/>
              <w:rPr>
                <w:rFonts w:hint="eastAsia" w:ascii="宋体" w:hAnsi="宋体" w:eastAsia="宋体" w:cs="Times New Roman"/>
                <w:color w:val="auto"/>
                <w:spacing w:val="-4"/>
                <w:sz w:val="21"/>
                <w:szCs w:val="21"/>
                <w:highlight w:val="none"/>
                <w:lang w:val="en-US" w:eastAsia="zh-CN"/>
              </w:rPr>
            </w:pPr>
            <w:bookmarkStart w:id="79" w:name="_Toc19938"/>
            <w:r>
              <w:rPr>
                <w:rFonts w:hint="eastAsia" w:ascii="宋体" w:hAnsi="宋体" w:eastAsia="宋体" w:cs="Times New Roman"/>
                <w:color w:val="auto"/>
                <w:spacing w:val="-4"/>
                <w:sz w:val="21"/>
                <w:szCs w:val="21"/>
                <w:highlight w:val="none"/>
                <w:lang w:val="en-US" w:eastAsia="zh-CN"/>
              </w:rPr>
              <w:t>/</w:t>
            </w:r>
          </w:p>
        </w:tc>
        <w:tc>
          <w:tcPr>
            <w:tcW w:w="5916" w:type="dxa"/>
            <w:vAlign w:val="center"/>
          </w:tcPr>
          <w:p>
            <w:pPr>
              <w:adjustRightInd w:val="0"/>
              <w:snapToGrid w:val="0"/>
              <w:rPr>
                <w:rFonts w:hint="eastAsia" w:ascii="宋体" w:hAnsi="宋体" w:eastAsia="宋体" w:cs="Times New Roman"/>
                <w:color w:val="auto"/>
                <w:spacing w:val="-4"/>
                <w:sz w:val="21"/>
                <w:szCs w:val="21"/>
                <w:highlight w:val="none"/>
              </w:rPr>
            </w:pPr>
            <w:r>
              <w:rPr>
                <w:rFonts w:hint="eastAsia" w:ascii="宋体" w:hAnsi="宋体" w:eastAsia="宋体" w:cs="Times New Roman"/>
                <w:color w:val="auto"/>
                <w:spacing w:val="-4"/>
                <w:sz w:val="21"/>
                <w:szCs w:val="21"/>
                <w:highlight w:val="none"/>
                <w:lang w:val="en-US" w:eastAsia="zh-CN"/>
              </w:rPr>
              <w:t>南方电网公司电鸿物联操作系统</w:t>
            </w:r>
            <w:r>
              <w:rPr>
                <w:rFonts w:hint="default" w:ascii="宋体" w:hAnsi="宋体" w:eastAsia="宋体" w:cs="Times New Roman"/>
                <w:color w:val="auto"/>
                <w:spacing w:val="-4"/>
                <w:sz w:val="21"/>
                <w:szCs w:val="21"/>
                <w:highlight w:val="none"/>
                <w:lang w:val="en-US" w:eastAsia="zh-CN"/>
              </w:rPr>
              <w:t>推广应用工作方案</w:t>
            </w:r>
          </w:p>
        </w:tc>
      </w:tr>
    </w:tbl>
    <w:p>
      <w:pPr>
        <w:pStyle w:val="5"/>
        <w:spacing w:before="312" w:beforeLines="100" w:after="0" w:line="360" w:lineRule="auto"/>
        <w:rPr>
          <w:rFonts w:ascii="黑体" w:hAnsi="黑体" w:eastAsia="黑体" w:cs="黑体"/>
          <w:color w:val="auto"/>
          <w:sz w:val="22"/>
          <w:szCs w:val="22"/>
          <w:highlight w:val="none"/>
        </w:rPr>
      </w:pPr>
      <w:bookmarkStart w:id="80" w:name="_Toc11446"/>
      <w:r>
        <w:rPr>
          <w:rFonts w:hint="eastAsia" w:ascii="黑体" w:hAnsi="黑体" w:eastAsia="黑体" w:cs="黑体"/>
          <w:color w:val="auto"/>
          <w:sz w:val="22"/>
          <w:szCs w:val="22"/>
          <w:highlight w:val="none"/>
        </w:rPr>
        <w:t>2.4  数据集成应遵循的技术架构</w:t>
      </w:r>
      <w:bookmarkEnd w:id="77"/>
      <w:bookmarkEnd w:id="78"/>
      <w:bookmarkEnd w:id="79"/>
      <w:bookmarkEnd w:id="80"/>
    </w:p>
    <w:p>
      <w:pPr>
        <w:adjustRightInd w:val="0"/>
        <w:snapToGrid w:val="0"/>
        <w:ind w:firstLine="404" w:firstLineChars="200"/>
        <w:rPr>
          <w:rFonts w:hint="default" w:ascii="宋体" w:hAnsi="宋体"/>
          <w:color w:val="auto"/>
          <w:spacing w:val="-4"/>
          <w:sz w:val="21"/>
          <w:szCs w:val="21"/>
          <w:highlight w:val="none"/>
          <w:lang w:val="en-US" w:eastAsia="zh-CN"/>
        </w:rPr>
      </w:pPr>
      <w:r>
        <w:rPr>
          <w:rFonts w:hint="eastAsia" w:ascii="宋体" w:hAnsi="宋体"/>
          <w:color w:val="auto"/>
          <w:spacing w:val="-4"/>
          <w:sz w:val="21"/>
          <w:szCs w:val="21"/>
          <w:highlight w:val="none"/>
          <w:lang w:val="en-US" w:eastAsia="zh-CN"/>
        </w:rPr>
        <w:t>本项目属于大英山站智能安防作业现场人员可视化管控功能的智能感知层，后期作为数字变的的重要数据基础设施，结合网公司数字生产的“云边协同”技术架构，依托现已建设的</w:t>
      </w:r>
      <w:r>
        <w:rPr>
          <w:rFonts w:hint="eastAsia" w:asciiTheme="minorEastAsia" w:hAnsiTheme="minorEastAsia" w:eastAsiaTheme="minorEastAsia" w:cstheme="minorEastAsia"/>
          <w:b w:val="0"/>
          <w:bCs/>
          <w:color w:val="auto"/>
          <w:sz w:val="20"/>
          <w:szCs w:val="8"/>
          <w:highlight w:val="none"/>
          <w:lang w:val="en-US" w:eastAsia="zh-CN"/>
        </w:rPr>
        <w:t>变电站</w:t>
      </w:r>
      <w:r>
        <w:rPr>
          <w:rFonts w:hint="eastAsia" w:asciiTheme="minorEastAsia" w:hAnsiTheme="minorEastAsia" w:eastAsiaTheme="minorEastAsia" w:cstheme="minorEastAsia"/>
          <w:b w:val="0"/>
          <w:bCs/>
          <w:color w:val="auto"/>
          <w:sz w:val="20"/>
          <w:szCs w:val="8"/>
          <w:highlight w:val="none"/>
          <w:lang w:val="zh-CN" w:eastAsia="zh-CN"/>
        </w:rPr>
        <w:t>智能安防与定位作业可视化</w:t>
      </w:r>
      <w:r>
        <w:rPr>
          <w:rFonts w:hint="eastAsia" w:asciiTheme="minorEastAsia" w:hAnsiTheme="minorEastAsia" w:eastAsiaTheme="minorEastAsia" w:cstheme="minorEastAsia"/>
          <w:b w:val="0"/>
          <w:bCs/>
          <w:color w:val="auto"/>
          <w:sz w:val="20"/>
          <w:szCs w:val="8"/>
          <w:highlight w:val="none"/>
          <w:lang w:val="en-US" w:eastAsia="zh-CN"/>
        </w:rPr>
        <w:t>系统</w:t>
      </w:r>
      <w:r>
        <w:rPr>
          <w:rFonts w:hint="eastAsia" w:ascii="宋体" w:hAnsi="宋体"/>
          <w:color w:val="auto"/>
          <w:spacing w:val="-4"/>
          <w:sz w:val="21"/>
          <w:szCs w:val="21"/>
          <w:highlight w:val="none"/>
          <w:lang w:val="en-US" w:eastAsia="zh-CN"/>
        </w:rPr>
        <w:t>、变电运行支持系统做好数据对接，实现变电站智能安防与作业人员实时定位可视化监控的业务需求。</w:t>
      </w:r>
    </w:p>
    <w:p>
      <w:pPr>
        <w:bidi w:val="0"/>
        <w:jc w:val="both"/>
        <w:rPr>
          <w:color w:val="auto"/>
        </w:rPr>
      </w:pPr>
      <w:r>
        <w:rPr>
          <w:color w:val="auto"/>
        </w:rPr>
        <w:drawing>
          <wp:inline distT="0" distB="0" distL="114300" distR="114300">
            <wp:extent cx="4791075" cy="2659380"/>
            <wp:effectExtent l="0" t="0" r="9525" b="7620"/>
            <wp:docPr id="1" name="图片 1" descr="C:\Users\lei\Desktop\定位原理图.png"/>
            <wp:cNvGraphicFramePr/>
            <a:graphic xmlns:a="http://schemas.openxmlformats.org/drawingml/2006/main">
              <a:graphicData uri="http://schemas.openxmlformats.org/drawingml/2006/picture">
                <pic:pic xmlns:pic="http://schemas.openxmlformats.org/drawingml/2006/picture">
                  <pic:nvPicPr>
                    <pic:cNvPr id="1" name="图片 1" descr="C:\Users\lei\Desktop\定位原理图.png"/>
                    <pic:cNvPicPr/>
                  </pic:nvPicPr>
                  <pic:blipFill>
                    <a:blip r:embed="rId10"/>
                    <a:stretch>
                      <a:fillRect/>
                    </a:stretch>
                  </pic:blipFill>
                  <pic:spPr>
                    <a:xfrm>
                      <a:off x="0" y="0"/>
                      <a:ext cx="4791075" cy="2659380"/>
                    </a:xfrm>
                    <a:prstGeom prst="rect">
                      <a:avLst/>
                    </a:prstGeom>
                    <a:noFill/>
                    <a:ln w="9525">
                      <a:noFill/>
                    </a:ln>
                  </pic:spPr>
                </pic:pic>
              </a:graphicData>
            </a:graphic>
          </wp:inline>
        </w:drawing>
      </w:r>
      <w:bookmarkStart w:id="81" w:name="_Toc15894"/>
      <w:bookmarkStart w:id="82" w:name="_Toc24630"/>
      <w:bookmarkStart w:id="83" w:name="_Toc25662"/>
    </w:p>
    <w:p>
      <w:pPr>
        <w:bidi w:val="0"/>
        <w:jc w:val="both"/>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2.5  </w:t>
      </w:r>
      <w:bookmarkEnd w:id="74"/>
      <w:bookmarkEnd w:id="75"/>
      <w:bookmarkEnd w:id="76"/>
      <w:r>
        <w:rPr>
          <w:rFonts w:hint="eastAsia" w:ascii="黑体" w:hAnsi="黑体" w:eastAsia="黑体" w:cs="黑体"/>
          <w:color w:val="auto"/>
          <w:sz w:val="22"/>
          <w:szCs w:val="22"/>
          <w:highlight w:val="none"/>
        </w:rPr>
        <w:t>项目需求清单</w:t>
      </w:r>
      <w:bookmarkEnd w:id="81"/>
      <w:bookmarkEnd w:id="82"/>
      <w:bookmarkEnd w:id="83"/>
    </w:p>
    <w:tbl>
      <w:tblPr>
        <w:tblStyle w:val="23"/>
        <w:tblW w:w="90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892"/>
        <w:gridCol w:w="1056"/>
        <w:gridCol w:w="4655"/>
        <w:gridCol w:w="811"/>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588"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序号</w:t>
            </w:r>
          </w:p>
        </w:tc>
        <w:tc>
          <w:tcPr>
            <w:tcW w:w="892"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类别</w:t>
            </w:r>
          </w:p>
        </w:tc>
        <w:tc>
          <w:tcPr>
            <w:tcW w:w="1056"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设备名称</w:t>
            </w:r>
          </w:p>
        </w:tc>
        <w:tc>
          <w:tcPr>
            <w:tcW w:w="4655"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技术参数</w:t>
            </w:r>
          </w:p>
        </w:tc>
        <w:tc>
          <w:tcPr>
            <w:tcW w:w="811"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单位</w:t>
            </w:r>
          </w:p>
        </w:tc>
        <w:tc>
          <w:tcPr>
            <w:tcW w:w="1080"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082" w:type="dxa"/>
            <w:gridSpan w:val="6"/>
            <w:shd w:val="clear" w:color="auto" w:fill="auto"/>
            <w:vAlign w:val="center"/>
          </w:tcPr>
          <w:p>
            <w:pPr>
              <w:spacing w:line="240" w:lineRule="auto"/>
              <w:jc w:val="left"/>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t>(一）配套感知层</w:t>
            </w:r>
            <w:r>
              <w:rPr>
                <w:rFonts w:hint="eastAsia" w:asciiTheme="minorEastAsia" w:hAnsiTheme="minorEastAsia" w:eastAsiaTheme="minorEastAsia" w:cstheme="minorEastAsia"/>
                <w:b/>
                <w:bCs/>
                <w:color w:val="auto"/>
                <w:sz w:val="20"/>
                <w:szCs w:val="20"/>
                <w:highlight w:val="none"/>
                <w:lang w:val="en-US" w:eastAsia="zh-CN"/>
              </w:rPr>
              <w:t>智能</w:t>
            </w:r>
            <w:r>
              <w:rPr>
                <w:rFonts w:hint="eastAsia" w:asciiTheme="minorEastAsia" w:hAnsiTheme="minorEastAsia" w:eastAsiaTheme="minorEastAsia" w:cstheme="minorEastAsia"/>
                <w:b/>
                <w:bCs/>
                <w:color w:val="auto"/>
                <w:sz w:val="20"/>
                <w:szCs w:val="20"/>
                <w:highlight w:val="none"/>
              </w:rPr>
              <w:t>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1</w:t>
            </w:r>
          </w:p>
        </w:tc>
        <w:tc>
          <w:tcPr>
            <w:tcW w:w="892" w:type="dxa"/>
            <w:vAlign w:val="center"/>
          </w:tcPr>
          <w:p>
            <w:pPr>
              <w:keepNext w:val="0"/>
              <w:keepLines w:val="0"/>
              <w:widowControl/>
              <w:suppressLineNumbers w:val="0"/>
              <w:spacing w:line="240" w:lineRule="auto"/>
              <w:jc w:val="center"/>
              <w:textAlignment w:val="center"/>
              <w:rPr>
                <w:rFonts w:asciiTheme="minorEastAsia" w:hAnsiTheme="minorEastAsia" w:eastAsiaTheme="minorEastAsia" w:cstheme="minorEastAsia"/>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配套感知层</w:t>
            </w:r>
          </w:p>
        </w:tc>
        <w:tc>
          <w:tcPr>
            <w:tcW w:w="1056"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人脸识别闸机一体机</w:t>
            </w:r>
          </w:p>
        </w:tc>
        <w:tc>
          <w:tcPr>
            <w:tcW w:w="4655" w:type="dxa"/>
            <w:vAlign w:val="top"/>
          </w:tcPr>
          <w:p>
            <w:pPr>
              <w:keepNext w:val="0"/>
              <w:keepLines w:val="0"/>
              <w:widowControl/>
              <w:suppressLineNumbers w:val="0"/>
              <w:spacing w:line="240" w:lineRule="auto"/>
              <w:jc w:val="left"/>
              <w:textAlignment w:val="top"/>
              <w:rPr>
                <w:rFonts w:asciiTheme="minorEastAsia" w:hAnsiTheme="minorEastAsia" w:eastAsiaTheme="minorEastAsia" w:cstheme="minorEastAsia"/>
                <w:color w:val="auto"/>
                <w:spacing w:val="-4"/>
                <w:sz w:val="15"/>
                <w:szCs w:val="15"/>
                <w:highlight w:val="none"/>
              </w:rPr>
            </w:pPr>
            <w:r>
              <w:rPr>
                <w:rFonts w:hint="eastAsia" w:ascii="宋体" w:hAnsi="宋体" w:eastAsia="宋体" w:cs="宋体"/>
                <w:i w:val="0"/>
                <w:iCs w:val="0"/>
                <w:color w:val="000000"/>
                <w:kern w:val="0"/>
                <w:sz w:val="20"/>
                <w:szCs w:val="20"/>
                <w:u w:val="none"/>
                <w:lang w:val="en-US" w:eastAsia="zh-CN" w:bidi="ar"/>
              </w:rPr>
              <w:t>智能门禁设备(含主机、读卡器、开门按钮、门磁、闭门器等):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1)采用不低于7英寸液晶屏，屏幕显示分辩率不低于980×800。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2)摄像头采用不低于200万CMOS。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3)支持不低于3万个用户、3万张人脸、3万个密码、3万张IC卡。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4)支持人脸、IC卡、密码等多种识别方式，并支持多种组合识别鉴权方式。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5)报警输入：本地1路报警输入。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6)报警输出：本地1路报警输出。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7)通讯方式：1路10/100M以太网(RJ45接口)。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8)工作环境：工作温度：-30℃--+50℃,湿度≤90%。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9)人脸识别速度&lt;100ms。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10)设备应支持最多2人同时进行人脸识别。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11)支持在0.005lux低照度无可见光补光环境下实现人脸识别。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12)设备支持对佩戴口置人员进行入脸识别功能。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13)刷卡距离&gt;8cm。</w:t>
            </w:r>
          </w:p>
        </w:tc>
        <w:tc>
          <w:tcPr>
            <w:tcW w:w="811" w:type="dxa"/>
            <w:vAlign w:val="center"/>
          </w:tcPr>
          <w:p>
            <w:pPr>
              <w:keepNext w:val="0"/>
              <w:keepLines w:val="0"/>
              <w:widowControl/>
              <w:suppressLineNumbers w:val="0"/>
              <w:spacing w:line="240" w:lineRule="auto"/>
              <w:jc w:val="center"/>
              <w:textAlignment w:val="center"/>
              <w:rPr>
                <w:rFonts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2</w:t>
            </w:r>
          </w:p>
        </w:tc>
        <w:tc>
          <w:tcPr>
            <w:tcW w:w="892" w:type="dxa"/>
            <w:vAlign w:val="center"/>
          </w:tcPr>
          <w:p>
            <w:pPr>
              <w:keepNext w:val="0"/>
              <w:keepLines w:val="0"/>
              <w:widowControl/>
              <w:suppressLineNumbers w:val="0"/>
              <w:spacing w:line="240" w:lineRule="auto"/>
              <w:jc w:val="center"/>
              <w:textAlignment w:val="center"/>
              <w:rPr>
                <w:rFonts w:asciiTheme="minorEastAsia" w:hAnsiTheme="minorEastAsia" w:eastAsiaTheme="minorEastAsia" w:cstheme="minorEastAsia"/>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变电配套感知层</w:t>
            </w:r>
          </w:p>
        </w:tc>
        <w:tc>
          <w:tcPr>
            <w:tcW w:w="1056"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安全帽图传模块设备</w:t>
            </w:r>
          </w:p>
        </w:tc>
        <w:tc>
          <w:tcPr>
            <w:tcW w:w="4655" w:type="dxa"/>
            <w:vAlign w:val="top"/>
          </w:tcPr>
          <w:p>
            <w:pPr>
              <w:keepNext w:val="0"/>
              <w:keepLines w:val="0"/>
              <w:widowControl/>
              <w:suppressLineNumbers w:val="0"/>
              <w:spacing w:line="240" w:lineRule="auto"/>
              <w:jc w:val="left"/>
              <w:textAlignment w:val="top"/>
              <w:rPr>
                <w:color w:val="auto"/>
                <w:sz w:val="21"/>
                <w:szCs w:val="21"/>
                <w:highlight w:val="none"/>
              </w:rPr>
            </w:pPr>
            <w:r>
              <w:rPr>
                <w:rFonts w:hint="eastAsia" w:ascii="宋体" w:hAnsi="宋体" w:eastAsia="宋体" w:cs="宋体"/>
                <w:i w:val="0"/>
                <w:iCs w:val="0"/>
                <w:color w:val="000000"/>
                <w:kern w:val="0"/>
                <w:sz w:val="20"/>
                <w:szCs w:val="20"/>
                <w:u w:val="none"/>
                <w:lang w:val="en-US" w:eastAsia="zh-CN" w:bidi="ar"/>
              </w:rPr>
              <w:t>1)1300W像素防抖摄像头。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2)分体式设计；。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3)重量350g;。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4)5G通讯模块。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5)实时视频、语音对讲。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6)2G+16G存储(可扩展至128G)。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7)3600mAH电池支持8小时工作。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8)支持GPS和北斗定位。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9)Type-C接口。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10)跌落、脱帽、登高、近电告警等传感器。</w:t>
            </w:r>
          </w:p>
        </w:tc>
        <w:tc>
          <w:tcPr>
            <w:tcW w:w="811" w:type="dxa"/>
            <w:vAlign w:val="center"/>
          </w:tcPr>
          <w:p>
            <w:pPr>
              <w:keepNext w:val="0"/>
              <w:keepLines w:val="0"/>
              <w:widowControl/>
              <w:suppressLineNumbers w:val="0"/>
              <w:spacing w:line="240" w:lineRule="auto"/>
              <w:jc w:val="center"/>
              <w:textAlignment w:val="center"/>
              <w:rPr>
                <w:rFonts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3</w:t>
            </w:r>
          </w:p>
        </w:tc>
        <w:tc>
          <w:tcPr>
            <w:tcW w:w="892" w:type="dxa"/>
            <w:vMerge w:val="restart"/>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变电配套感知层</w:t>
            </w:r>
          </w:p>
        </w:tc>
        <w:tc>
          <w:tcPr>
            <w:tcW w:w="1056"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定位基站</w:t>
            </w:r>
          </w:p>
        </w:tc>
        <w:tc>
          <w:tcPr>
            <w:tcW w:w="4655" w:type="dxa"/>
            <w:vAlign w:val="top"/>
          </w:tcPr>
          <w:p>
            <w:pPr>
              <w:keepNext w:val="0"/>
              <w:keepLines w:val="0"/>
              <w:widowControl/>
              <w:suppressLineNumbers w:val="0"/>
              <w:spacing w:line="240" w:lineRule="auto"/>
              <w:jc w:val="left"/>
              <w:textAlignment w:val="top"/>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 xml:space="preserve">1)供电电源：DC 12~24V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2)24Vpoe供电/48VPOE。</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3)供电基站功率：≤3W。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4)覆盖范围：&gt;80米半径。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5)无线发射功率：≤7dBm。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6)防护等级：IP66。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7)定位精度：≥20cm(无遮挡)。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8)工作环境：温度：-20C~70C;平均相对湿度：≤95%(25°C)。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9)大气压力：80KPa~106KPa。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10)存储温度： -40°C~70°C。</w:t>
            </w:r>
          </w:p>
        </w:tc>
        <w:tc>
          <w:tcPr>
            <w:tcW w:w="811"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4</w:t>
            </w:r>
          </w:p>
        </w:tc>
        <w:tc>
          <w:tcPr>
            <w:tcW w:w="892" w:type="dxa"/>
            <w:vMerge w:val="continue"/>
            <w:vAlign w:val="center"/>
          </w:tcPr>
          <w:p>
            <w:pPr>
              <w:spacing w:line="240" w:lineRule="auto"/>
              <w:jc w:val="center"/>
              <w:rPr>
                <w:rFonts w:hint="eastAsia" w:asciiTheme="minorEastAsia" w:hAnsiTheme="minorEastAsia" w:eastAsiaTheme="minorEastAsia" w:cstheme="minorEastAsia"/>
                <w:color w:val="auto"/>
                <w:sz w:val="20"/>
                <w:szCs w:val="20"/>
                <w:highlight w:val="none"/>
              </w:rPr>
            </w:pPr>
          </w:p>
        </w:tc>
        <w:tc>
          <w:tcPr>
            <w:tcW w:w="1056"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定位标签</w:t>
            </w:r>
          </w:p>
        </w:tc>
        <w:tc>
          <w:tcPr>
            <w:tcW w:w="4655" w:type="dxa"/>
            <w:vAlign w:val="top"/>
          </w:tcPr>
          <w:p>
            <w:pPr>
              <w:keepNext w:val="0"/>
              <w:keepLines w:val="0"/>
              <w:widowControl/>
              <w:suppressLineNumbers w:val="0"/>
              <w:spacing w:line="240" w:lineRule="auto"/>
              <w:jc w:val="left"/>
              <w:textAlignment w:val="top"/>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1)充电电压： DC3.3V。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2)设备功耗：瞬时功耗&lt;1W。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3)续航时间：&gt;2个月(1Hz)。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4)通信距离：大于80m。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5)工作温度： -20℃~65℃。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6)工作频段：3.75-4.25GHz/6.25-6.75GHz。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7)工作湿度：0%~90%无凝结。</w:t>
            </w:r>
          </w:p>
        </w:tc>
        <w:tc>
          <w:tcPr>
            <w:tcW w:w="811"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5</w:t>
            </w:r>
          </w:p>
        </w:tc>
        <w:tc>
          <w:tcPr>
            <w:tcW w:w="892" w:type="dxa"/>
            <w:vMerge w:val="continue"/>
            <w:vAlign w:val="center"/>
          </w:tcPr>
          <w:p>
            <w:pPr>
              <w:spacing w:line="240" w:lineRule="auto"/>
              <w:jc w:val="center"/>
              <w:rPr>
                <w:rFonts w:hint="eastAsia" w:asciiTheme="minorEastAsia" w:hAnsiTheme="minorEastAsia" w:eastAsiaTheme="minorEastAsia" w:cstheme="minorEastAsia"/>
                <w:color w:val="auto"/>
                <w:sz w:val="20"/>
                <w:szCs w:val="20"/>
                <w:highlight w:val="none"/>
              </w:rPr>
            </w:pPr>
          </w:p>
        </w:tc>
        <w:tc>
          <w:tcPr>
            <w:tcW w:w="1056"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PC监控终端</w:t>
            </w:r>
          </w:p>
        </w:tc>
        <w:tc>
          <w:tcPr>
            <w:tcW w:w="4655" w:type="dxa"/>
            <w:vAlign w:val="top"/>
          </w:tcPr>
          <w:p>
            <w:pPr>
              <w:keepNext w:val="0"/>
              <w:keepLines w:val="0"/>
              <w:widowControl/>
              <w:suppressLineNumbers w:val="0"/>
              <w:spacing w:line="240" w:lineRule="auto"/>
              <w:jc w:val="left"/>
              <w:textAlignment w:val="top"/>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1)处理器：≥2.0GHz，8核。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2)系统：采用LINUX安全可控操作系统。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3)内存：≥16GB DDR-3 ECC或DDR-4 ECC。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4)企业级固态硬盘：≥500 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5)显卡：16G独显。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6)显示：3xDP,1xHDMI。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7)网络：2x千兆自适应网口。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8)接口：6个USB3.2/VGA/DP/2个。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9)HDMI/RJ45/3个音频接口。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10)音频：前置3x音频。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11)电源：650W。</w:t>
            </w:r>
          </w:p>
        </w:tc>
        <w:tc>
          <w:tcPr>
            <w:tcW w:w="811"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6</w:t>
            </w:r>
          </w:p>
        </w:tc>
        <w:tc>
          <w:tcPr>
            <w:tcW w:w="892" w:type="dxa"/>
            <w:vMerge w:val="continue"/>
            <w:vAlign w:val="center"/>
          </w:tcPr>
          <w:p>
            <w:pPr>
              <w:spacing w:line="240" w:lineRule="auto"/>
              <w:jc w:val="center"/>
              <w:rPr>
                <w:rFonts w:hint="eastAsia" w:asciiTheme="minorEastAsia" w:hAnsiTheme="minorEastAsia" w:eastAsiaTheme="minorEastAsia" w:cstheme="minorEastAsia"/>
                <w:color w:val="auto"/>
                <w:sz w:val="20"/>
                <w:szCs w:val="20"/>
                <w:highlight w:val="none"/>
              </w:rPr>
            </w:pPr>
          </w:p>
        </w:tc>
        <w:tc>
          <w:tcPr>
            <w:tcW w:w="1056"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定位数据服务器</w:t>
            </w:r>
          </w:p>
        </w:tc>
        <w:tc>
          <w:tcPr>
            <w:tcW w:w="4655" w:type="dxa"/>
            <w:vAlign w:val="top"/>
          </w:tcPr>
          <w:p>
            <w:pPr>
              <w:keepNext w:val="0"/>
              <w:keepLines w:val="0"/>
              <w:widowControl/>
              <w:suppressLineNumbers w:val="0"/>
              <w:spacing w:line="240" w:lineRule="auto"/>
              <w:jc w:val="left"/>
              <w:textAlignment w:val="top"/>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1)服务器类型：2U机架式服务器。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2)处理器：14核心28线程。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3)硬盘：240G企业机固态硬盘*1,4T机械硬盘*1。共4个3.5寸插槽，支持热插拔硬盘。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4)硬盘支持：支持4个3.5或2.5寸SATA,1个M.2 NVME协议硬盘。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5)系统内存：2*16G内存。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6)网口：1个网口。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7)电源：500W(可按需搭配)。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8)机器尺寸：宽482mmX深400mmX高89mm。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9)内置融合定位引擎软件，功能包括人员实时定位、电子围栏、轨迹查询等。</w:t>
            </w:r>
          </w:p>
        </w:tc>
        <w:tc>
          <w:tcPr>
            <w:tcW w:w="811"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5"/>
                <w:szCs w:val="15"/>
                <w:highlight w:val="none"/>
                <w:lang w:val="en-US" w:eastAsia="zh-CN"/>
              </w:rPr>
            </w:pPr>
            <w:r>
              <w:rPr>
                <w:rFonts w:hint="eastAsia" w:ascii="宋体" w:hAnsi="宋体" w:eastAsia="宋体" w:cs="宋体"/>
                <w:i w:val="0"/>
                <w:iCs w:val="0"/>
                <w:color w:val="000000"/>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082" w:type="dxa"/>
            <w:gridSpan w:val="6"/>
            <w:vAlign w:val="center"/>
          </w:tcPr>
          <w:p>
            <w:pPr>
              <w:spacing w:line="240" w:lineRule="auto"/>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b/>
                <w:bCs/>
                <w:color w:val="auto"/>
                <w:sz w:val="20"/>
                <w:szCs w:val="20"/>
                <w:highlight w:val="none"/>
              </w:rPr>
              <w:t>(二）配套应用</w:t>
            </w:r>
            <w:r>
              <w:rPr>
                <w:rFonts w:hint="eastAsia" w:asciiTheme="minorEastAsia" w:hAnsiTheme="minorEastAsia" w:eastAsiaTheme="minorEastAsia" w:cstheme="minorEastAsia"/>
                <w:b/>
                <w:bCs/>
                <w:color w:val="auto"/>
                <w:sz w:val="20"/>
                <w:szCs w:val="20"/>
                <w:highlight w:val="none"/>
                <w:lang w:val="en-US" w:eastAsia="zh-CN"/>
              </w:rPr>
              <w:t>实施</w:t>
            </w:r>
            <w:r>
              <w:rPr>
                <w:rFonts w:hint="eastAsia" w:asciiTheme="minorEastAsia" w:hAnsiTheme="minorEastAsia" w:eastAsiaTheme="minorEastAsia" w:cstheme="minorEastAsia"/>
                <w:b/>
                <w:bCs/>
                <w:color w:val="auto"/>
                <w:sz w:val="20"/>
                <w:szCs w:val="20"/>
                <w:highlight w:val="none"/>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88" w:type="dxa"/>
            <w:shd w:val="clear" w:color="auto" w:fill="D7D7D7" w:themeFill="background1" w:themeFillShade="D8"/>
            <w:vAlign w:val="center"/>
          </w:tcPr>
          <w:p>
            <w:pPr>
              <w:spacing w:line="240" w:lineRule="auto"/>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t>序号</w:t>
            </w:r>
          </w:p>
        </w:tc>
        <w:tc>
          <w:tcPr>
            <w:tcW w:w="892" w:type="dxa"/>
            <w:shd w:val="clear" w:color="auto" w:fill="D7D7D7" w:themeFill="background1" w:themeFillShade="D8"/>
            <w:vAlign w:val="center"/>
          </w:tcPr>
          <w:p>
            <w:pPr>
              <w:pStyle w:val="4"/>
              <w:spacing w:before="0" w:after="0" w:line="240" w:lineRule="auto"/>
              <w:rPr>
                <w:rFonts w:asciiTheme="minorEastAsia" w:hAnsiTheme="minorEastAsia" w:eastAsiaTheme="minorEastAsia" w:cstheme="minorEastAsia"/>
                <w:color w:val="auto"/>
                <w:sz w:val="20"/>
                <w:szCs w:val="20"/>
                <w:highlight w:val="none"/>
              </w:rPr>
            </w:pPr>
            <w:bookmarkStart w:id="84" w:name="_Toc30612"/>
            <w:bookmarkStart w:id="85" w:name="_Toc22541"/>
            <w:bookmarkStart w:id="86" w:name="_Toc9677"/>
            <w:r>
              <w:rPr>
                <w:rFonts w:hint="eastAsia" w:asciiTheme="minorEastAsia" w:hAnsiTheme="minorEastAsia" w:eastAsiaTheme="minorEastAsia" w:cstheme="minorEastAsia"/>
                <w:color w:val="auto"/>
                <w:sz w:val="20"/>
                <w:szCs w:val="20"/>
                <w:highlight w:val="none"/>
              </w:rPr>
              <w:t>一级</w:t>
            </w:r>
            <w:bookmarkEnd w:id="84"/>
            <w:bookmarkEnd w:id="85"/>
            <w:bookmarkEnd w:id="86"/>
          </w:p>
          <w:p>
            <w:pPr>
              <w:pStyle w:val="4"/>
              <w:spacing w:before="0" w:after="0" w:line="240" w:lineRule="auto"/>
              <w:rPr>
                <w:rFonts w:asciiTheme="minorEastAsia" w:hAnsiTheme="minorEastAsia" w:eastAsiaTheme="minorEastAsia" w:cstheme="minorEastAsia"/>
                <w:color w:val="auto"/>
                <w:sz w:val="20"/>
                <w:szCs w:val="20"/>
                <w:highlight w:val="none"/>
              </w:rPr>
            </w:pPr>
            <w:bookmarkStart w:id="87" w:name="_Toc2723"/>
            <w:bookmarkStart w:id="88" w:name="_Toc6612"/>
            <w:bookmarkStart w:id="89" w:name="_Toc26569"/>
            <w:r>
              <w:rPr>
                <w:rFonts w:hint="eastAsia" w:asciiTheme="minorEastAsia" w:hAnsiTheme="minorEastAsia" w:eastAsiaTheme="minorEastAsia" w:cstheme="minorEastAsia"/>
                <w:color w:val="auto"/>
                <w:sz w:val="20"/>
                <w:szCs w:val="20"/>
                <w:highlight w:val="none"/>
              </w:rPr>
              <w:t>功能</w:t>
            </w:r>
            <w:bookmarkEnd w:id="87"/>
            <w:bookmarkEnd w:id="88"/>
            <w:bookmarkEnd w:id="89"/>
          </w:p>
        </w:tc>
        <w:tc>
          <w:tcPr>
            <w:tcW w:w="1056" w:type="dxa"/>
            <w:shd w:val="clear" w:color="auto" w:fill="D7D7D7" w:themeFill="background1" w:themeFillShade="D8"/>
            <w:vAlign w:val="center"/>
          </w:tcPr>
          <w:p>
            <w:pPr>
              <w:pStyle w:val="4"/>
              <w:spacing w:before="0" w:after="0" w:line="240" w:lineRule="auto"/>
              <w:rPr>
                <w:rFonts w:asciiTheme="minorEastAsia" w:hAnsiTheme="minorEastAsia" w:eastAsiaTheme="minorEastAsia" w:cstheme="minorEastAsia"/>
                <w:color w:val="auto"/>
                <w:sz w:val="20"/>
                <w:szCs w:val="20"/>
                <w:highlight w:val="none"/>
              </w:rPr>
            </w:pPr>
            <w:bookmarkStart w:id="90" w:name="_Toc27759"/>
            <w:bookmarkStart w:id="91" w:name="_Toc23431"/>
            <w:bookmarkStart w:id="92" w:name="_Toc28900"/>
            <w:r>
              <w:rPr>
                <w:rFonts w:hint="eastAsia" w:asciiTheme="minorEastAsia" w:hAnsiTheme="minorEastAsia" w:eastAsiaTheme="minorEastAsia" w:cstheme="minorEastAsia"/>
                <w:color w:val="auto"/>
                <w:sz w:val="20"/>
                <w:szCs w:val="20"/>
                <w:highlight w:val="none"/>
              </w:rPr>
              <w:t>二级功能</w:t>
            </w:r>
            <w:bookmarkEnd w:id="90"/>
            <w:bookmarkEnd w:id="91"/>
            <w:bookmarkEnd w:id="92"/>
          </w:p>
        </w:tc>
        <w:tc>
          <w:tcPr>
            <w:tcW w:w="4655" w:type="dxa"/>
            <w:shd w:val="clear" w:color="auto" w:fill="D7D7D7" w:themeFill="background1" w:themeFillShade="D8"/>
            <w:vAlign w:val="center"/>
          </w:tcPr>
          <w:p>
            <w:pPr>
              <w:pStyle w:val="4"/>
              <w:spacing w:before="0" w:after="0" w:line="240" w:lineRule="auto"/>
              <w:rPr>
                <w:rFonts w:asciiTheme="minorEastAsia" w:hAnsiTheme="minorEastAsia" w:eastAsiaTheme="minorEastAsia" w:cstheme="minorEastAsia"/>
                <w:color w:val="auto"/>
                <w:sz w:val="20"/>
                <w:szCs w:val="20"/>
                <w:highlight w:val="none"/>
              </w:rPr>
            </w:pPr>
            <w:bookmarkStart w:id="93" w:name="_Toc14471"/>
            <w:bookmarkStart w:id="94" w:name="_Toc18333"/>
            <w:bookmarkStart w:id="95" w:name="_Toc1475"/>
            <w:r>
              <w:rPr>
                <w:rFonts w:hint="eastAsia" w:asciiTheme="minorEastAsia" w:hAnsiTheme="minorEastAsia" w:eastAsiaTheme="minorEastAsia" w:cstheme="minorEastAsia"/>
                <w:color w:val="auto"/>
                <w:sz w:val="20"/>
                <w:szCs w:val="20"/>
                <w:highlight w:val="none"/>
              </w:rPr>
              <w:t>功能描述</w:t>
            </w:r>
            <w:bookmarkEnd w:id="93"/>
            <w:bookmarkEnd w:id="94"/>
            <w:bookmarkEnd w:id="95"/>
          </w:p>
        </w:tc>
        <w:tc>
          <w:tcPr>
            <w:tcW w:w="811"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t>单位</w:t>
            </w:r>
          </w:p>
        </w:tc>
        <w:tc>
          <w:tcPr>
            <w:tcW w:w="1080" w:type="dxa"/>
            <w:shd w:val="clear" w:color="auto" w:fill="D7D7D7" w:themeFill="background1" w:themeFillShade="D8"/>
            <w:vAlign w:val="center"/>
          </w:tcPr>
          <w:p>
            <w:pPr>
              <w:spacing w:line="240" w:lineRule="auto"/>
              <w:jc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588" w:type="dxa"/>
            <w:vAlign w:val="center"/>
          </w:tcPr>
          <w:p>
            <w:pPr>
              <w:spacing w:line="240" w:lineRule="auto"/>
              <w:jc w:val="center"/>
              <w:rPr>
                <w:rFonts w:ascii="宋体" w:hAnsi="宋体" w:cs="宋体"/>
                <w:color w:val="auto"/>
                <w:sz w:val="20"/>
                <w:szCs w:val="20"/>
                <w:highlight w:val="none"/>
              </w:rPr>
            </w:pPr>
            <w:r>
              <w:rPr>
                <w:rFonts w:hint="eastAsia" w:ascii="宋体" w:hAnsi="宋体" w:cs="宋体"/>
                <w:color w:val="auto"/>
                <w:sz w:val="20"/>
                <w:szCs w:val="20"/>
                <w:highlight w:val="none"/>
              </w:rPr>
              <w:t>1</w:t>
            </w:r>
          </w:p>
        </w:tc>
        <w:tc>
          <w:tcPr>
            <w:tcW w:w="892" w:type="dxa"/>
            <w:vAlign w:val="center"/>
          </w:tcPr>
          <w:p>
            <w:pPr>
              <w:keepNext w:val="0"/>
              <w:keepLines w:val="0"/>
              <w:widowControl/>
              <w:suppressLineNumbers w:val="0"/>
              <w:spacing w:line="240" w:lineRule="auto"/>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站端服务</w:t>
            </w:r>
          </w:p>
        </w:tc>
        <w:tc>
          <w:tcPr>
            <w:tcW w:w="1056" w:type="dxa"/>
            <w:vAlign w:val="center"/>
          </w:tcPr>
          <w:p>
            <w:pPr>
              <w:keepNext w:val="0"/>
              <w:keepLines w:val="0"/>
              <w:widowControl/>
              <w:suppressLineNumbers w:val="0"/>
              <w:spacing w:line="240" w:lineRule="auto"/>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终端安装及数据调试</w:t>
            </w:r>
          </w:p>
        </w:tc>
        <w:tc>
          <w:tcPr>
            <w:tcW w:w="4655" w:type="dxa"/>
            <w:vAlign w:val="top"/>
          </w:tcPr>
          <w:p>
            <w:pPr>
              <w:keepNext w:val="0"/>
              <w:keepLines w:val="0"/>
              <w:widowControl/>
              <w:suppressLineNumbers w:val="0"/>
              <w:spacing w:line="240" w:lineRule="auto"/>
              <w:jc w:val="left"/>
              <w:textAlignment w:val="top"/>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做好新增终端安装及数据联调，包括终端安装施工、终端与系统配套联调，数据链路传输正常，人员定位、图传视频等功能实时应用。</w:t>
            </w:r>
            <w:bookmarkStart w:id="276" w:name="_GoBack"/>
            <w:bookmarkEnd w:id="276"/>
          </w:p>
        </w:tc>
        <w:tc>
          <w:tcPr>
            <w:tcW w:w="811" w:type="dxa"/>
            <w:vAlign w:val="center"/>
          </w:tcPr>
          <w:p>
            <w:pPr>
              <w:keepNext w:val="0"/>
              <w:keepLines w:val="0"/>
              <w:widowControl/>
              <w:suppressLineNumbers w:val="0"/>
              <w:spacing w:line="240" w:lineRule="auto"/>
              <w:jc w:val="center"/>
              <w:textAlignment w:val="center"/>
              <w:rPr>
                <w:rFonts w:asciiTheme="minorEastAsia" w:hAnsiTheme="minorEastAsia" w:eastAsiaTheme="minorEastAsia" w:cstheme="minorEastAsia"/>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vAlign w:val="center"/>
          </w:tcPr>
          <w:p>
            <w:pPr>
              <w:keepNext w:val="0"/>
              <w:keepLines w:val="0"/>
              <w:widowControl/>
              <w:suppressLineNumbers w:val="0"/>
              <w:spacing w:line="240" w:lineRule="auto"/>
              <w:jc w:val="center"/>
              <w:textAlignment w:val="center"/>
              <w:rPr>
                <w:rFonts w:asciiTheme="minorEastAsia" w:hAnsiTheme="minorEastAsia" w:eastAsiaTheme="minorEastAsia" w:cstheme="minorEastAsia"/>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w:t>
            </w:r>
          </w:p>
        </w:tc>
      </w:tr>
    </w:tbl>
    <w:p>
      <w:pPr>
        <w:pStyle w:val="5"/>
        <w:keepNext/>
        <w:keepLines/>
        <w:pageBreakBefore w:val="0"/>
        <w:widowControl w:val="0"/>
        <w:numPr>
          <w:ilvl w:val="0"/>
          <w:numId w:val="0"/>
        </w:numPr>
        <w:kinsoku/>
        <w:wordWrap/>
        <w:overflowPunct/>
        <w:topLinePunct w:val="0"/>
        <w:autoSpaceDE/>
        <w:autoSpaceDN/>
        <w:bidi w:val="0"/>
        <w:adjustRightInd/>
        <w:snapToGrid/>
        <w:spacing w:before="157" w:beforeLines="50" w:after="0" w:line="360" w:lineRule="auto"/>
        <w:ind w:leftChars="0"/>
        <w:jc w:val="left"/>
        <w:textAlignment w:val="auto"/>
        <w:rPr>
          <w:rFonts w:hint="eastAsia" w:ascii="黑体" w:hAnsi="黑体" w:eastAsia="黑体" w:cs="Times New Roman"/>
          <w:b/>
          <w:bCs w:val="0"/>
          <w:color w:val="auto"/>
          <w:kern w:val="44"/>
          <w:sz w:val="22"/>
          <w:szCs w:val="22"/>
          <w:highlight w:val="none"/>
          <w:lang w:val="en-US" w:eastAsia="zh-CN" w:bidi="ar-SA"/>
        </w:rPr>
      </w:pPr>
      <w:bookmarkStart w:id="96" w:name="_Toc31353"/>
      <w:bookmarkStart w:id="97" w:name="_Toc10763"/>
      <w:bookmarkStart w:id="98" w:name="_Toc29294"/>
      <w:bookmarkStart w:id="99" w:name="_Toc21089"/>
      <w:bookmarkStart w:id="100" w:name="_Toc20335"/>
      <w:bookmarkStart w:id="101" w:name="_Toc11765"/>
      <w:bookmarkStart w:id="102" w:name="_Toc10574"/>
      <w:bookmarkStart w:id="103" w:name="_Toc14493"/>
      <w:bookmarkStart w:id="104" w:name="_Toc356999079"/>
      <w:bookmarkStart w:id="105" w:name="_Toc30581"/>
      <w:bookmarkStart w:id="106" w:name="_Toc10207"/>
      <w:bookmarkStart w:id="107" w:name="_Toc500920862"/>
      <w:bookmarkStart w:id="108" w:name="_Toc347154881"/>
      <w:bookmarkStart w:id="109" w:name="_Toc2054"/>
      <w:bookmarkStart w:id="110" w:name="_Toc15481"/>
      <w:bookmarkStart w:id="111" w:name="_Toc17945"/>
      <w:bookmarkStart w:id="112" w:name="_Toc15226"/>
      <w:bookmarkStart w:id="113" w:name="_Toc265313593"/>
      <w:bookmarkStart w:id="114" w:name="_Toc168869426"/>
      <w:r>
        <w:rPr>
          <w:rFonts w:hint="eastAsia" w:ascii="黑体" w:hAnsi="黑体" w:eastAsia="黑体" w:cs="Times New Roman"/>
          <w:b/>
          <w:bCs w:val="0"/>
          <w:color w:val="auto"/>
          <w:kern w:val="44"/>
          <w:sz w:val="22"/>
          <w:szCs w:val="22"/>
          <w:highlight w:val="none"/>
          <w:lang w:val="en-US" w:eastAsia="zh-CN" w:bidi="ar-SA"/>
        </w:rPr>
        <w:t>3.终端设备与系统集成要求</w:t>
      </w:r>
      <w:bookmarkEnd w:id="96"/>
      <w:bookmarkEnd w:id="97"/>
      <w:bookmarkEnd w:id="98"/>
    </w:p>
    <w:p>
      <w:pPr>
        <w:pStyle w:val="97"/>
        <w:pageBreakBefore w:val="0"/>
        <w:widowControl w:val="0"/>
        <w:numPr>
          <w:ilvl w:val="0"/>
          <w:numId w:val="0"/>
        </w:numPr>
        <w:kinsoku/>
        <w:wordWrap/>
        <w:overflowPunct/>
        <w:topLinePunct w:val="0"/>
        <w:autoSpaceDE/>
        <w:autoSpaceDN/>
        <w:bidi w:val="0"/>
        <w:spacing w:line="360" w:lineRule="auto"/>
        <w:ind w:leftChars="0" w:firstLine="404" w:firstLineChars="200"/>
        <w:jc w:val="left"/>
        <w:textAlignment w:val="auto"/>
        <w:rPr>
          <w:rFonts w:hint="eastAsia" w:ascii="宋体" w:hAnsi="宋体" w:eastAsia="宋体" w:cs="Times New Roman"/>
          <w:color w:val="auto"/>
          <w:spacing w:val="-4"/>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1）人脸闸机终端与变电智能网关的集成：人脸闸机终端接入变电站智能网关，实现进出站人员信息与边侧系统的互联互通。</w:t>
      </w:r>
    </w:p>
    <w:p>
      <w:pPr>
        <w:pStyle w:val="97"/>
        <w:pageBreakBefore w:val="0"/>
        <w:widowControl w:val="0"/>
        <w:numPr>
          <w:ilvl w:val="0"/>
          <w:numId w:val="0"/>
        </w:numPr>
        <w:kinsoku/>
        <w:wordWrap/>
        <w:overflowPunct/>
        <w:topLinePunct w:val="0"/>
        <w:autoSpaceDE/>
        <w:autoSpaceDN/>
        <w:bidi w:val="0"/>
        <w:spacing w:line="360" w:lineRule="auto"/>
        <w:ind w:leftChars="0" w:firstLine="404" w:firstLineChars="200"/>
        <w:jc w:val="left"/>
        <w:textAlignment w:val="auto"/>
        <w:rPr>
          <w:rFonts w:hint="eastAsia" w:ascii="宋体" w:hAnsi="宋体" w:eastAsia="宋体" w:cs="Times New Roman"/>
          <w:color w:val="auto"/>
          <w:spacing w:val="-4"/>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2）视频图传模块终端与平台视频可视化应用的集成：图传设备与安全帽集成并可拆卸，网关模块与视频可视化应用模块集成通信，实现在智能安防与定位作业可视化管理系统及边侧系统的客户端实时监控作业人员的作业过程。</w:t>
      </w:r>
    </w:p>
    <w:p>
      <w:pPr>
        <w:pStyle w:val="97"/>
        <w:pageBreakBefore w:val="0"/>
        <w:widowControl w:val="0"/>
        <w:numPr>
          <w:ilvl w:val="0"/>
          <w:numId w:val="0"/>
        </w:numPr>
        <w:kinsoku/>
        <w:wordWrap/>
        <w:overflowPunct/>
        <w:topLinePunct w:val="0"/>
        <w:autoSpaceDE/>
        <w:autoSpaceDN/>
        <w:bidi w:val="0"/>
        <w:spacing w:line="360" w:lineRule="auto"/>
        <w:ind w:leftChars="0" w:firstLine="404" w:firstLineChars="200"/>
        <w:jc w:val="left"/>
        <w:textAlignment w:val="auto"/>
        <w:rPr>
          <w:color w:val="auto"/>
          <w:highlight w:val="none"/>
        </w:rPr>
      </w:pPr>
      <w:r>
        <w:rPr>
          <w:rFonts w:hint="eastAsia" w:ascii="宋体" w:hAnsi="宋体" w:eastAsia="宋体" w:cs="Times New Roman"/>
          <w:color w:val="auto"/>
          <w:spacing w:val="-4"/>
          <w:kern w:val="2"/>
          <w:sz w:val="21"/>
          <w:szCs w:val="21"/>
          <w:highlight w:val="none"/>
          <w:lang w:val="en-US" w:eastAsia="zh-CN" w:bidi="ar-SA"/>
        </w:rPr>
        <w:t>3）定位终端与平台定位系统应用的集成：定位终端包括监控摄像、跟踪定位等模块，监控摄像模块识别人物与空间位置信息、跟踪定位模块与定位标签进行数据通信交互，两者结合定位算法实现人物检测、空间信息计算，实现在智能安防与定位作业可视化系统及边侧系统的客户端获取作业人员空间数据，达到准确实时定位的功能。</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spacing w:line="360" w:lineRule="auto"/>
        <w:outlineLvl w:val="0"/>
        <w:rPr>
          <w:rFonts w:hint="eastAsia" w:ascii="黑体" w:hAnsi="黑体" w:eastAsia="黑体" w:cs="Times New Roman"/>
          <w:b/>
          <w:bCs w:val="0"/>
          <w:color w:val="auto"/>
          <w:kern w:val="44"/>
          <w:sz w:val="22"/>
          <w:szCs w:val="22"/>
          <w:highlight w:val="none"/>
          <w:lang w:val="en-US" w:eastAsia="zh-CN" w:bidi="ar-SA"/>
        </w:rPr>
      </w:pPr>
      <w:bookmarkStart w:id="115" w:name="_Toc24913"/>
      <w:bookmarkStart w:id="116" w:name="_Toc384241749"/>
      <w:bookmarkStart w:id="117" w:name="_Toc508213795"/>
      <w:r>
        <w:rPr>
          <w:rFonts w:hint="eastAsia" w:ascii="黑体" w:hAnsi="黑体" w:eastAsia="黑体" w:cs="Times New Roman"/>
          <w:b/>
          <w:bCs w:val="0"/>
          <w:color w:val="auto"/>
          <w:kern w:val="44"/>
          <w:sz w:val="22"/>
          <w:szCs w:val="22"/>
          <w:highlight w:val="none"/>
          <w:lang w:val="en-US" w:eastAsia="zh-CN" w:bidi="ar-SA"/>
        </w:rPr>
        <w:t>4  包装、运输和贮存</w:t>
      </w:r>
      <w:bookmarkEnd w:id="115"/>
      <w:bookmarkEnd w:id="116"/>
      <w:bookmarkEnd w:id="117"/>
    </w:p>
    <w:p>
      <w:pPr>
        <w:adjustRightInd w:val="0"/>
        <w:snapToGrid w:val="0"/>
        <w:rPr>
          <w:rFonts w:ascii="宋体" w:hAnsi="宋体"/>
          <w:color w:val="auto"/>
          <w:spacing w:val="-4"/>
          <w:sz w:val="24"/>
          <w:szCs w:val="24"/>
          <w:highlight w:val="none"/>
        </w:rPr>
      </w:pPr>
      <w:bookmarkStart w:id="118" w:name="_Toc2589"/>
      <w:bookmarkStart w:id="119" w:name="_Toc25250"/>
      <w:r>
        <w:rPr>
          <w:rFonts w:hint="eastAsia" w:ascii="黑体" w:hAnsi="黑体" w:eastAsia="黑体"/>
          <w:color w:val="auto"/>
          <w:spacing w:val="-4"/>
          <w:sz w:val="24"/>
          <w:szCs w:val="24"/>
          <w:highlight w:val="none"/>
          <w:lang w:val="en-US" w:eastAsia="zh-CN"/>
        </w:rPr>
        <w:t>4</w:t>
      </w:r>
      <w:r>
        <w:rPr>
          <w:rFonts w:hint="eastAsia" w:ascii="黑体" w:hAnsi="黑体" w:eastAsia="黑体"/>
          <w:color w:val="auto"/>
          <w:spacing w:val="-4"/>
          <w:sz w:val="24"/>
          <w:szCs w:val="24"/>
          <w:highlight w:val="none"/>
        </w:rPr>
        <w:t xml:space="preserve">.1 </w:t>
      </w:r>
      <w:r>
        <w:rPr>
          <w:rFonts w:hint="eastAsia" w:ascii="宋体" w:hAnsi="宋体"/>
          <w:color w:val="auto"/>
          <w:spacing w:val="-4"/>
          <w:sz w:val="24"/>
          <w:szCs w:val="24"/>
          <w:highlight w:val="none"/>
        </w:rPr>
        <w:t xml:space="preserve"> 设备制造完成并通过试验后应及时包装, 否则应得到切实的保护, 确保其不受污损。</w:t>
      </w:r>
      <w:bookmarkEnd w:id="118"/>
      <w:bookmarkEnd w:id="119"/>
    </w:p>
    <w:p>
      <w:pPr>
        <w:adjustRightInd w:val="0"/>
        <w:snapToGrid w:val="0"/>
        <w:rPr>
          <w:rFonts w:ascii="宋体" w:hAnsi="宋体"/>
          <w:color w:val="auto"/>
          <w:spacing w:val="-4"/>
          <w:sz w:val="24"/>
          <w:szCs w:val="24"/>
          <w:highlight w:val="none"/>
        </w:rPr>
      </w:pPr>
      <w:bookmarkStart w:id="120" w:name="_Toc7064"/>
      <w:bookmarkStart w:id="121" w:name="_Toc96"/>
      <w:r>
        <w:rPr>
          <w:rFonts w:hint="eastAsia" w:ascii="黑体" w:hAnsi="黑体" w:eastAsia="黑体"/>
          <w:color w:val="auto"/>
          <w:spacing w:val="-4"/>
          <w:sz w:val="24"/>
          <w:szCs w:val="24"/>
          <w:highlight w:val="none"/>
          <w:lang w:val="en-US" w:eastAsia="zh-CN"/>
        </w:rPr>
        <w:t>4</w:t>
      </w:r>
      <w:r>
        <w:rPr>
          <w:rFonts w:hint="eastAsia" w:ascii="黑体" w:hAnsi="黑体" w:eastAsia="黑体"/>
          <w:color w:val="auto"/>
          <w:spacing w:val="-4"/>
          <w:sz w:val="24"/>
          <w:szCs w:val="24"/>
          <w:highlight w:val="none"/>
        </w:rPr>
        <w:t xml:space="preserve">.2 </w:t>
      </w:r>
      <w:r>
        <w:rPr>
          <w:rFonts w:hint="eastAsia" w:ascii="宋体" w:hAnsi="宋体"/>
          <w:color w:val="auto"/>
          <w:spacing w:val="-4"/>
          <w:sz w:val="24"/>
          <w:szCs w:val="24"/>
          <w:highlight w:val="none"/>
        </w:rPr>
        <w:t xml:space="preserve"> 所有部件经妥善包装或装箱后, 在运输过程中尚应采取其它防护措施, 以免散失损坏或被盗。</w:t>
      </w:r>
      <w:bookmarkEnd w:id="120"/>
      <w:bookmarkEnd w:id="121"/>
    </w:p>
    <w:p>
      <w:pPr>
        <w:adjustRightInd w:val="0"/>
        <w:snapToGrid w:val="0"/>
        <w:rPr>
          <w:rFonts w:ascii="宋体" w:hAnsi="宋体"/>
          <w:color w:val="auto"/>
          <w:spacing w:val="-4"/>
          <w:sz w:val="24"/>
          <w:szCs w:val="24"/>
          <w:highlight w:val="none"/>
        </w:rPr>
      </w:pPr>
      <w:bookmarkStart w:id="122" w:name="_Toc30620"/>
      <w:bookmarkStart w:id="123" w:name="_Toc23692"/>
      <w:r>
        <w:rPr>
          <w:rFonts w:hint="eastAsia" w:ascii="黑体" w:hAnsi="黑体" w:eastAsia="黑体"/>
          <w:color w:val="auto"/>
          <w:spacing w:val="-4"/>
          <w:sz w:val="24"/>
          <w:szCs w:val="24"/>
          <w:highlight w:val="none"/>
          <w:lang w:val="en-US" w:eastAsia="zh-CN"/>
        </w:rPr>
        <w:t>4</w:t>
      </w:r>
      <w:r>
        <w:rPr>
          <w:rFonts w:hint="eastAsia" w:ascii="黑体" w:hAnsi="黑体" w:eastAsia="黑体"/>
          <w:color w:val="auto"/>
          <w:spacing w:val="-4"/>
          <w:sz w:val="24"/>
          <w:szCs w:val="24"/>
          <w:highlight w:val="none"/>
        </w:rPr>
        <w:t xml:space="preserve">.3 </w:t>
      </w:r>
      <w:r>
        <w:rPr>
          <w:rFonts w:hint="eastAsia" w:ascii="宋体" w:hAnsi="宋体"/>
          <w:color w:val="auto"/>
          <w:spacing w:val="-4"/>
          <w:sz w:val="24"/>
          <w:szCs w:val="24"/>
          <w:highlight w:val="none"/>
        </w:rPr>
        <w:t xml:space="preserve"> 在包装箱外应标明需方的订货号、发货号。</w:t>
      </w:r>
      <w:bookmarkEnd w:id="122"/>
      <w:bookmarkEnd w:id="123"/>
    </w:p>
    <w:p>
      <w:pPr>
        <w:adjustRightInd w:val="0"/>
        <w:snapToGrid w:val="0"/>
        <w:rPr>
          <w:rFonts w:ascii="宋体" w:hAnsi="宋体"/>
          <w:color w:val="auto"/>
          <w:spacing w:val="-4"/>
          <w:sz w:val="24"/>
          <w:szCs w:val="24"/>
          <w:highlight w:val="none"/>
        </w:rPr>
      </w:pPr>
      <w:bookmarkStart w:id="124" w:name="_Toc5770"/>
      <w:bookmarkStart w:id="125" w:name="_Toc21854"/>
      <w:r>
        <w:rPr>
          <w:rFonts w:hint="eastAsia" w:ascii="黑体" w:hAnsi="黑体" w:eastAsia="黑体"/>
          <w:color w:val="auto"/>
          <w:spacing w:val="-4"/>
          <w:sz w:val="24"/>
          <w:szCs w:val="24"/>
          <w:highlight w:val="none"/>
          <w:lang w:val="en-US" w:eastAsia="zh-CN"/>
        </w:rPr>
        <w:t>4</w:t>
      </w:r>
      <w:r>
        <w:rPr>
          <w:rFonts w:hint="eastAsia" w:ascii="黑体" w:hAnsi="黑体" w:eastAsia="黑体"/>
          <w:color w:val="auto"/>
          <w:spacing w:val="-4"/>
          <w:sz w:val="24"/>
          <w:szCs w:val="24"/>
          <w:highlight w:val="none"/>
        </w:rPr>
        <w:t xml:space="preserve">.4 </w:t>
      </w:r>
      <w:r>
        <w:rPr>
          <w:rFonts w:hint="eastAsia" w:ascii="宋体" w:hAnsi="宋体"/>
          <w:color w:val="auto"/>
          <w:spacing w:val="-4"/>
          <w:sz w:val="24"/>
          <w:szCs w:val="24"/>
          <w:highlight w:val="none"/>
        </w:rPr>
        <w:t xml:space="preserve"> 各种包装应能确保各零部件在运输过程中不致遭到损坏、丢失、变形、受潮和腐蚀。</w:t>
      </w:r>
      <w:bookmarkEnd w:id="124"/>
      <w:bookmarkEnd w:id="125"/>
    </w:p>
    <w:p>
      <w:pPr>
        <w:adjustRightInd w:val="0"/>
        <w:snapToGrid w:val="0"/>
        <w:rPr>
          <w:rFonts w:ascii="宋体" w:hAnsi="宋体"/>
          <w:color w:val="auto"/>
          <w:spacing w:val="-4"/>
          <w:sz w:val="24"/>
          <w:szCs w:val="24"/>
          <w:highlight w:val="none"/>
        </w:rPr>
      </w:pPr>
      <w:bookmarkStart w:id="126" w:name="_Toc22009"/>
      <w:bookmarkStart w:id="127" w:name="_Toc5646"/>
      <w:r>
        <w:rPr>
          <w:rFonts w:hint="eastAsia" w:ascii="黑体" w:hAnsi="黑体" w:eastAsia="黑体"/>
          <w:color w:val="auto"/>
          <w:spacing w:val="-4"/>
          <w:sz w:val="24"/>
          <w:szCs w:val="24"/>
          <w:highlight w:val="none"/>
          <w:lang w:val="en-US" w:eastAsia="zh-CN"/>
        </w:rPr>
        <w:t>4</w:t>
      </w:r>
      <w:r>
        <w:rPr>
          <w:rFonts w:hint="eastAsia" w:ascii="黑体" w:hAnsi="黑体" w:eastAsia="黑体"/>
          <w:color w:val="auto"/>
          <w:spacing w:val="-4"/>
          <w:sz w:val="24"/>
          <w:szCs w:val="24"/>
          <w:highlight w:val="none"/>
        </w:rPr>
        <w:t>.</w:t>
      </w:r>
      <w:r>
        <w:rPr>
          <w:rFonts w:hint="eastAsia" w:ascii="黑体" w:hAnsi="黑体" w:eastAsia="黑体"/>
          <w:color w:val="auto"/>
          <w:spacing w:val="-4"/>
          <w:sz w:val="24"/>
          <w:szCs w:val="24"/>
          <w:highlight w:val="none"/>
          <w:lang w:val="en-US" w:eastAsia="zh-CN"/>
        </w:rPr>
        <w:t>5</w:t>
      </w:r>
      <w:r>
        <w:rPr>
          <w:rFonts w:hint="eastAsia" w:ascii="宋体" w:hAnsi="宋体"/>
          <w:color w:val="auto"/>
          <w:spacing w:val="-4"/>
          <w:sz w:val="24"/>
          <w:szCs w:val="24"/>
          <w:highlight w:val="none"/>
        </w:rPr>
        <w:t xml:space="preserve">  整体产品或分别运输的部件都要适合运输和装载的要求。</w:t>
      </w:r>
      <w:bookmarkEnd w:id="126"/>
      <w:bookmarkEnd w:id="127"/>
    </w:p>
    <w:p>
      <w:pPr>
        <w:spacing w:line="240" w:lineRule="auto"/>
        <w:outlineLvl w:val="0"/>
        <w:rPr>
          <w:rFonts w:hint="eastAsia" w:ascii="黑体" w:hAnsi="黑体" w:eastAsia="黑体" w:cs="Times New Roman"/>
          <w:b/>
          <w:bCs w:val="0"/>
          <w:color w:val="auto"/>
          <w:kern w:val="44"/>
          <w:sz w:val="22"/>
          <w:szCs w:val="22"/>
          <w:highlight w:val="none"/>
          <w:lang w:val="en-US" w:eastAsia="zh-CN" w:bidi="ar-SA"/>
        </w:rPr>
      </w:pPr>
      <w:bookmarkStart w:id="128" w:name="_Toc20027"/>
      <w:bookmarkStart w:id="129" w:name="_Toc309034198"/>
      <w:bookmarkStart w:id="130" w:name="_Toc508213796"/>
      <w:bookmarkStart w:id="131" w:name="_Toc384241750"/>
      <w:r>
        <w:rPr>
          <w:rFonts w:hint="eastAsia" w:ascii="黑体" w:hAnsi="黑体" w:eastAsia="黑体" w:cs="Times New Roman"/>
          <w:b/>
          <w:bCs w:val="0"/>
          <w:color w:val="auto"/>
          <w:kern w:val="44"/>
          <w:sz w:val="22"/>
          <w:szCs w:val="22"/>
          <w:highlight w:val="none"/>
          <w:lang w:val="en-US" w:eastAsia="zh-CN" w:bidi="ar-SA"/>
        </w:rPr>
        <w:t>5 双方工作安排</w:t>
      </w:r>
      <w:bookmarkEnd w:id="128"/>
      <w:bookmarkEnd w:id="129"/>
      <w:bookmarkEnd w:id="130"/>
      <w:bookmarkEnd w:id="131"/>
    </w:p>
    <w:p>
      <w:pPr>
        <w:pStyle w:val="5"/>
        <w:adjustRightInd w:val="0"/>
        <w:snapToGrid w:val="0"/>
        <w:spacing w:line="240" w:lineRule="auto"/>
        <w:rPr>
          <w:rFonts w:ascii="黑体" w:hAnsi="黑体" w:eastAsia="黑体" w:cs="黑体"/>
          <w:color w:val="auto"/>
          <w:sz w:val="22"/>
          <w:szCs w:val="22"/>
          <w:highlight w:val="none"/>
        </w:rPr>
      </w:pPr>
      <w:bookmarkStart w:id="132" w:name="_Toc29565"/>
      <w:bookmarkStart w:id="133" w:name="_Toc31745"/>
      <w:bookmarkStart w:id="134" w:name="_Toc13388"/>
      <w:bookmarkStart w:id="135" w:name="_Toc12312"/>
      <w:r>
        <w:rPr>
          <w:rFonts w:hint="eastAsia" w:ascii="黑体" w:hAnsi="黑体" w:eastAsia="黑体" w:cs="黑体"/>
          <w:color w:val="auto"/>
          <w:sz w:val="22"/>
          <w:szCs w:val="22"/>
          <w:highlight w:val="none"/>
          <w:lang w:val="en-US" w:eastAsia="zh-CN"/>
        </w:rPr>
        <w:t>5</w:t>
      </w:r>
      <w:r>
        <w:rPr>
          <w:rFonts w:hint="eastAsia" w:ascii="黑体" w:hAnsi="黑体" w:eastAsia="黑体" w:cs="黑体"/>
          <w:color w:val="auto"/>
          <w:sz w:val="22"/>
          <w:szCs w:val="22"/>
          <w:highlight w:val="none"/>
        </w:rPr>
        <w:t xml:space="preserve">.1  </w:t>
      </w:r>
      <w:r>
        <w:rPr>
          <w:rFonts w:hint="eastAsia" w:ascii="黑体" w:hAnsi="黑体" w:eastAsia="黑体" w:cs="黑体"/>
          <w:color w:val="auto"/>
          <w:sz w:val="22"/>
          <w:szCs w:val="22"/>
          <w:highlight w:val="none"/>
          <w:lang w:eastAsia="zh-CN"/>
        </w:rPr>
        <w:t>招标人</w:t>
      </w:r>
      <w:r>
        <w:rPr>
          <w:rFonts w:hint="eastAsia" w:ascii="黑体" w:hAnsi="黑体" w:eastAsia="黑体" w:cs="黑体"/>
          <w:color w:val="auto"/>
          <w:sz w:val="22"/>
          <w:szCs w:val="22"/>
          <w:highlight w:val="none"/>
        </w:rPr>
        <w:t>职责</w:t>
      </w:r>
      <w:bookmarkEnd w:id="132"/>
      <w:bookmarkEnd w:id="133"/>
      <w:bookmarkEnd w:id="134"/>
      <w:bookmarkEnd w:id="135"/>
    </w:p>
    <w:p>
      <w:pPr>
        <w:adjustRightInd w:val="0"/>
        <w:snapToGrid w:val="0"/>
        <w:rPr>
          <w:rFonts w:ascii="宋体" w:hAnsi="宋体"/>
          <w:color w:val="auto"/>
          <w:spacing w:val="-4"/>
          <w:sz w:val="24"/>
          <w:szCs w:val="24"/>
          <w:highlight w:val="none"/>
        </w:rPr>
      </w:pPr>
      <w:bookmarkStart w:id="136" w:name="_Toc2020"/>
      <w:bookmarkStart w:id="137" w:name="_Toc24239"/>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 xml:space="preserve">.1.1  </w:t>
      </w:r>
      <w:r>
        <w:rPr>
          <w:rFonts w:hint="eastAsia" w:ascii="宋体" w:hAnsi="宋体"/>
          <w:color w:val="auto"/>
          <w:spacing w:val="-4"/>
          <w:sz w:val="24"/>
          <w:szCs w:val="24"/>
          <w:highlight w:val="none"/>
        </w:rPr>
        <w:t>提出本项目配套设备的现场布置图。</w:t>
      </w:r>
      <w:bookmarkEnd w:id="136"/>
      <w:bookmarkEnd w:id="137"/>
    </w:p>
    <w:p>
      <w:pPr>
        <w:adjustRightInd w:val="0"/>
        <w:snapToGrid w:val="0"/>
        <w:rPr>
          <w:rFonts w:ascii="宋体" w:hAnsi="宋体"/>
          <w:color w:val="auto"/>
          <w:spacing w:val="-4"/>
          <w:sz w:val="24"/>
          <w:szCs w:val="24"/>
          <w:highlight w:val="none"/>
        </w:rPr>
      </w:pPr>
      <w:bookmarkStart w:id="138" w:name="_Toc31502"/>
      <w:bookmarkStart w:id="139" w:name="_Toc7122"/>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.1.2</w:t>
      </w:r>
      <w:r>
        <w:rPr>
          <w:rFonts w:hint="eastAsia" w:ascii="宋体" w:hAnsi="宋体"/>
          <w:color w:val="auto"/>
          <w:spacing w:val="-4"/>
          <w:sz w:val="24"/>
          <w:szCs w:val="24"/>
          <w:highlight w:val="none"/>
        </w:rPr>
        <w:t xml:space="preserve">  协调与本系统互联的各个系统的接口工作。</w:t>
      </w:r>
      <w:bookmarkEnd w:id="138"/>
      <w:bookmarkEnd w:id="139"/>
    </w:p>
    <w:p>
      <w:pPr>
        <w:adjustRightInd w:val="0"/>
        <w:snapToGrid w:val="0"/>
        <w:rPr>
          <w:rFonts w:ascii="宋体" w:hAnsi="宋体"/>
          <w:color w:val="auto"/>
          <w:spacing w:val="-4"/>
          <w:sz w:val="24"/>
          <w:szCs w:val="24"/>
          <w:highlight w:val="none"/>
        </w:rPr>
      </w:pPr>
      <w:bookmarkStart w:id="140" w:name="_Toc11120"/>
      <w:bookmarkStart w:id="141" w:name="_Toc9813"/>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.1.3</w:t>
      </w:r>
      <w:r>
        <w:rPr>
          <w:rFonts w:hint="eastAsia" w:ascii="宋体" w:hAnsi="宋体"/>
          <w:color w:val="auto"/>
          <w:spacing w:val="-4"/>
          <w:sz w:val="24"/>
          <w:szCs w:val="24"/>
          <w:highlight w:val="none"/>
        </w:rPr>
        <w:t xml:space="preserve">  提供本系统硬件设备与</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设备之间的管材（PVC管、镀锌钢管等）。</w:t>
      </w:r>
      <w:bookmarkEnd w:id="140"/>
      <w:bookmarkEnd w:id="141"/>
    </w:p>
    <w:p>
      <w:pPr>
        <w:adjustRightInd w:val="0"/>
        <w:snapToGrid w:val="0"/>
        <w:rPr>
          <w:rFonts w:ascii="宋体" w:hAnsi="宋体"/>
          <w:color w:val="auto"/>
          <w:spacing w:val="-4"/>
          <w:sz w:val="24"/>
          <w:szCs w:val="24"/>
          <w:highlight w:val="none"/>
        </w:rPr>
      </w:pPr>
      <w:bookmarkStart w:id="142" w:name="_Toc15836"/>
      <w:bookmarkStart w:id="143" w:name="_Toc29623"/>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 xml:space="preserve">.1.4 </w:t>
      </w:r>
      <w:r>
        <w:rPr>
          <w:rFonts w:hint="eastAsia" w:ascii="宋体" w:hAnsi="宋体"/>
          <w:color w:val="auto"/>
          <w:spacing w:val="-4"/>
          <w:sz w:val="24"/>
          <w:szCs w:val="24"/>
          <w:highlight w:val="none"/>
        </w:rPr>
        <w:t xml:space="preserve"> 本系统现场设备的安装准备。</w:t>
      </w:r>
      <w:bookmarkEnd w:id="142"/>
      <w:bookmarkEnd w:id="143"/>
    </w:p>
    <w:p>
      <w:pPr>
        <w:adjustRightInd w:val="0"/>
        <w:snapToGrid w:val="0"/>
        <w:rPr>
          <w:rFonts w:ascii="宋体" w:hAnsi="宋体"/>
          <w:color w:val="auto"/>
          <w:spacing w:val="-4"/>
          <w:sz w:val="24"/>
          <w:szCs w:val="24"/>
          <w:highlight w:val="none"/>
        </w:rPr>
      </w:pPr>
      <w:bookmarkStart w:id="144" w:name="_Toc4337"/>
      <w:bookmarkStart w:id="145" w:name="_Toc29726"/>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.1.5</w:t>
      </w:r>
      <w:r>
        <w:rPr>
          <w:rFonts w:hint="eastAsia" w:ascii="宋体" w:hAnsi="宋体"/>
          <w:color w:val="auto"/>
          <w:spacing w:val="-4"/>
          <w:sz w:val="24"/>
          <w:szCs w:val="24"/>
          <w:highlight w:val="none"/>
        </w:rPr>
        <w:t xml:space="preserve">  参加设计联络会、试验与验收, 并负责现场验收。</w:t>
      </w:r>
      <w:bookmarkEnd w:id="144"/>
      <w:bookmarkEnd w:id="145"/>
    </w:p>
    <w:p>
      <w:pPr>
        <w:adjustRightInd w:val="0"/>
        <w:snapToGrid w:val="0"/>
        <w:rPr>
          <w:rFonts w:ascii="宋体" w:hAnsi="宋体"/>
          <w:color w:val="auto"/>
          <w:spacing w:val="-4"/>
          <w:sz w:val="24"/>
          <w:szCs w:val="24"/>
          <w:highlight w:val="none"/>
        </w:rPr>
      </w:pPr>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.1.</w:t>
      </w:r>
      <w:r>
        <w:rPr>
          <w:rFonts w:hint="eastAsia" w:ascii="黑体" w:hAnsi="黑体" w:eastAsia="黑体"/>
          <w:color w:val="auto"/>
          <w:spacing w:val="-4"/>
          <w:sz w:val="24"/>
          <w:szCs w:val="24"/>
          <w:highlight w:val="none"/>
          <w:lang w:val="en-US" w:eastAsia="zh-CN"/>
        </w:rPr>
        <w:t>6</w:t>
      </w:r>
      <w:r>
        <w:rPr>
          <w:rFonts w:hint="eastAsia" w:ascii="宋体" w:hAnsi="宋体"/>
          <w:color w:val="auto"/>
          <w:spacing w:val="-4"/>
          <w:sz w:val="24"/>
          <w:szCs w:val="24"/>
          <w:highlight w:val="none"/>
        </w:rPr>
        <w:t xml:space="preserve">  </w:t>
      </w:r>
      <w:r>
        <w:rPr>
          <w:rFonts w:hint="eastAsia" w:ascii="宋体" w:hAnsi="宋体"/>
          <w:color w:val="auto"/>
          <w:spacing w:val="-4"/>
          <w:sz w:val="24"/>
          <w:szCs w:val="24"/>
          <w:highlight w:val="none"/>
          <w:lang w:val="en-US" w:eastAsia="zh-CN"/>
        </w:rPr>
        <w:t>设备所需APN卡及配套流量费用由招标人负责</w:t>
      </w:r>
      <w:r>
        <w:rPr>
          <w:rFonts w:hint="eastAsia" w:ascii="宋体" w:hAnsi="宋体"/>
          <w:color w:val="auto"/>
          <w:spacing w:val="-4"/>
          <w:sz w:val="24"/>
          <w:szCs w:val="24"/>
          <w:highlight w:val="none"/>
        </w:rPr>
        <w:t>。</w:t>
      </w:r>
    </w:p>
    <w:p>
      <w:pPr>
        <w:pStyle w:val="5"/>
        <w:adjustRightInd w:val="0"/>
        <w:snapToGrid w:val="0"/>
        <w:spacing w:line="240" w:lineRule="auto"/>
        <w:rPr>
          <w:rFonts w:ascii="黑体" w:hAnsi="黑体" w:eastAsia="黑体" w:cs="黑体"/>
          <w:color w:val="auto"/>
          <w:sz w:val="22"/>
          <w:szCs w:val="22"/>
          <w:highlight w:val="none"/>
        </w:rPr>
      </w:pPr>
      <w:bookmarkStart w:id="146" w:name="_Toc4908"/>
      <w:bookmarkStart w:id="147" w:name="_Toc28705"/>
      <w:bookmarkStart w:id="148" w:name="_Toc30904"/>
      <w:bookmarkStart w:id="149" w:name="_Toc1219"/>
      <w:r>
        <w:rPr>
          <w:rFonts w:hint="eastAsia" w:ascii="黑体" w:hAnsi="黑体" w:eastAsia="黑体" w:cs="黑体"/>
          <w:color w:val="auto"/>
          <w:sz w:val="22"/>
          <w:szCs w:val="22"/>
          <w:highlight w:val="none"/>
          <w:lang w:val="en-US" w:eastAsia="zh-CN"/>
        </w:rPr>
        <w:t>5</w:t>
      </w:r>
      <w:r>
        <w:rPr>
          <w:rFonts w:hint="eastAsia" w:ascii="黑体" w:hAnsi="黑体" w:eastAsia="黑体" w:cs="黑体"/>
          <w:color w:val="auto"/>
          <w:sz w:val="22"/>
          <w:szCs w:val="22"/>
          <w:highlight w:val="none"/>
        </w:rPr>
        <w:t xml:space="preserve">.2  </w:t>
      </w:r>
      <w:r>
        <w:rPr>
          <w:rFonts w:hint="eastAsia" w:ascii="黑体" w:hAnsi="黑体" w:eastAsia="黑体" w:cs="黑体"/>
          <w:color w:val="auto"/>
          <w:sz w:val="22"/>
          <w:szCs w:val="22"/>
          <w:highlight w:val="none"/>
          <w:lang w:eastAsia="zh-CN"/>
        </w:rPr>
        <w:t>投标人</w:t>
      </w:r>
      <w:r>
        <w:rPr>
          <w:rFonts w:hint="eastAsia" w:ascii="黑体" w:hAnsi="黑体" w:eastAsia="黑体" w:cs="黑体"/>
          <w:color w:val="auto"/>
          <w:sz w:val="22"/>
          <w:szCs w:val="22"/>
          <w:highlight w:val="none"/>
        </w:rPr>
        <w:t>职责</w:t>
      </w:r>
      <w:bookmarkEnd w:id="146"/>
      <w:bookmarkEnd w:id="147"/>
      <w:bookmarkEnd w:id="148"/>
      <w:bookmarkEnd w:id="149"/>
    </w:p>
    <w:p>
      <w:pPr>
        <w:adjustRightInd w:val="0"/>
        <w:snapToGrid w:val="0"/>
        <w:rPr>
          <w:rFonts w:ascii="宋体" w:hAnsi="宋体"/>
          <w:color w:val="auto"/>
          <w:spacing w:val="-4"/>
          <w:sz w:val="24"/>
          <w:szCs w:val="24"/>
          <w:highlight w:val="none"/>
        </w:rPr>
      </w:pPr>
      <w:bookmarkStart w:id="150" w:name="_Toc32188"/>
      <w:bookmarkStart w:id="151" w:name="_Toc8392"/>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 xml:space="preserve">.2.1 </w:t>
      </w:r>
      <w:r>
        <w:rPr>
          <w:rFonts w:hint="eastAsia" w:ascii="宋体" w:hAnsi="宋体"/>
          <w:color w:val="auto"/>
          <w:spacing w:val="-4"/>
          <w:sz w:val="24"/>
          <w:szCs w:val="24"/>
          <w:highlight w:val="none"/>
        </w:rPr>
        <w:t xml:space="preserve"> 负责提供投标范围内所有硬件设备（含电缆、网线、光缆、立杆等施工辅材）及线缆敷设 (场地准备、设备就位和电缆及网络线材的敷设)。</w:t>
      </w:r>
      <w:bookmarkEnd w:id="150"/>
      <w:bookmarkEnd w:id="151"/>
    </w:p>
    <w:p>
      <w:pPr>
        <w:adjustRightInd w:val="0"/>
        <w:snapToGrid w:val="0"/>
        <w:rPr>
          <w:rFonts w:ascii="宋体" w:hAnsi="宋体"/>
          <w:color w:val="auto"/>
          <w:spacing w:val="-4"/>
          <w:sz w:val="24"/>
          <w:szCs w:val="24"/>
          <w:highlight w:val="none"/>
        </w:rPr>
      </w:pPr>
      <w:bookmarkStart w:id="152" w:name="_Toc16332"/>
      <w:bookmarkStart w:id="153" w:name="_Toc12473"/>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.2.2</w:t>
      </w:r>
      <w:r>
        <w:rPr>
          <w:rFonts w:hint="eastAsia" w:ascii="宋体" w:hAnsi="宋体"/>
          <w:color w:val="auto"/>
          <w:spacing w:val="-4"/>
          <w:sz w:val="24"/>
          <w:szCs w:val="24"/>
          <w:highlight w:val="none"/>
        </w:rPr>
        <w:t xml:space="preserve">  负责完成本项目采购设备之间以及与</w:t>
      </w:r>
      <w:r>
        <w:rPr>
          <w:rFonts w:hint="eastAsia" w:ascii="宋体" w:hAnsi="宋体"/>
          <w:color w:val="auto"/>
          <w:spacing w:val="-4"/>
          <w:sz w:val="24"/>
          <w:szCs w:val="24"/>
          <w:highlight w:val="none"/>
          <w:lang w:val="en-US" w:eastAsia="zh-CN"/>
        </w:rPr>
        <w:t>智能安防可视化系统、</w:t>
      </w:r>
      <w:r>
        <w:rPr>
          <w:rFonts w:hint="eastAsia" w:ascii="宋体" w:hAnsi="宋体"/>
          <w:color w:val="auto"/>
          <w:spacing w:val="-4"/>
          <w:sz w:val="24"/>
          <w:szCs w:val="24"/>
          <w:highlight w:val="none"/>
        </w:rPr>
        <w:t>边侧支持系统等数字生产系统的数据集成和调试工作。</w:t>
      </w:r>
      <w:bookmarkEnd w:id="152"/>
      <w:bookmarkEnd w:id="153"/>
    </w:p>
    <w:p>
      <w:pPr>
        <w:adjustRightInd w:val="0"/>
        <w:snapToGrid w:val="0"/>
        <w:rPr>
          <w:rFonts w:ascii="宋体" w:hAnsi="宋体"/>
          <w:color w:val="auto"/>
          <w:spacing w:val="-4"/>
          <w:sz w:val="24"/>
          <w:szCs w:val="24"/>
          <w:highlight w:val="none"/>
        </w:rPr>
      </w:pPr>
      <w:bookmarkStart w:id="154" w:name="_Toc12980"/>
      <w:bookmarkStart w:id="155" w:name="_Toc11383"/>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.2.3</w:t>
      </w:r>
      <w:r>
        <w:rPr>
          <w:rFonts w:hint="eastAsia" w:ascii="宋体" w:hAnsi="宋体"/>
          <w:color w:val="auto"/>
          <w:spacing w:val="-4"/>
          <w:sz w:val="24"/>
          <w:szCs w:val="24"/>
          <w:highlight w:val="none"/>
        </w:rPr>
        <w:t xml:space="preserve">  负责对</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专业人员的技术培训 (包括硬件、软件的维护及运行培训), 并提供必要的工作场地。</w:t>
      </w:r>
      <w:bookmarkEnd w:id="154"/>
      <w:bookmarkEnd w:id="155"/>
    </w:p>
    <w:p>
      <w:pPr>
        <w:adjustRightInd w:val="0"/>
        <w:snapToGrid w:val="0"/>
        <w:rPr>
          <w:rFonts w:ascii="宋体" w:hAnsi="宋体"/>
          <w:color w:val="auto"/>
          <w:spacing w:val="-4"/>
          <w:sz w:val="24"/>
          <w:szCs w:val="24"/>
          <w:highlight w:val="none"/>
        </w:rPr>
      </w:pPr>
      <w:bookmarkStart w:id="156" w:name="_Toc28620"/>
      <w:bookmarkStart w:id="157" w:name="_Toc28243"/>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.2.4</w:t>
      </w:r>
      <w:r>
        <w:rPr>
          <w:rFonts w:hint="eastAsia" w:ascii="宋体" w:hAnsi="宋体"/>
          <w:color w:val="auto"/>
          <w:spacing w:val="-4"/>
          <w:sz w:val="24"/>
          <w:szCs w:val="24"/>
          <w:highlight w:val="none"/>
        </w:rPr>
        <w:t xml:space="preserve">  负责设备安装、现场调试、技术指导，参加现场验收。</w:t>
      </w:r>
      <w:bookmarkEnd w:id="156"/>
      <w:bookmarkEnd w:id="157"/>
    </w:p>
    <w:p>
      <w:pPr>
        <w:adjustRightInd w:val="0"/>
        <w:snapToGrid w:val="0"/>
        <w:rPr>
          <w:rFonts w:ascii="宋体" w:hAnsi="宋体"/>
          <w:color w:val="auto"/>
          <w:spacing w:val="-4"/>
          <w:sz w:val="24"/>
          <w:szCs w:val="24"/>
          <w:highlight w:val="none"/>
        </w:rPr>
      </w:pPr>
      <w:bookmarkStart w:id="158" w:name="_Toc25616"/>
      <w:bookmarkStart w:id="159" w:name="_Toc12770"/>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 xml:space="preserve">.2.5 </w:t>
      </w:r>
      <w:r>
        <w:rPr>
          <w:rFonts w:hint="eastAsia" w:ascii="宋体" w:hAnsi="宋体"/>
          <w:color w:val="auto"/>
          <w:spacing w:val="-4"/>
          <w:sz w:val="24"/>
          <w:szCs w:val="24"/>
          <w:highlight w:val="none"/>
        </w:rPr>
        <w:t xml:space="preserve"> 负责提供供货范围内所有设备的文件资料和运行维护手册。</w:t>
      </w:r>
      <w:bookmarkEnd w:id="158"/>
      <w:bookmarkEnd w:id="159"/>
    </w:p>
    <w:p>
      <w:pPr>
        <w:adjustRightInd w:val="0"/>
        <w:snapToGrid w:val="0"/>
        <w:rPr>
          <w:rFonts w:ascii="宋体" w:hAnsi="宋体"/>
          <w:color w:val="auto"/>
          <w:spacing w:val="-4"/>
          <w:sz w:val="24"/>
          <w:szCs w:val="24"/>
          <w:highlight w:val="none"/>
        </w:rPr>
      </w:pPr>
      <w:bookmarkStart w:id="160" w:name="_Toc26288"/>
      <w:bookmarkStart w:id="161" w:name="_Toc10652"/>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.2.6</w:t>
      </w:r>
      <w:r>
        <w:rPr>
          <w:rFonts w:hint="eastAsia" w:ascii="宋体" w:hAnsi="宋体"/>
          <w:color w:val="auto"/>
          <w:spacing w:val="-4"/>
          <w:sz w:val="24"/>
          <w:szCs w:val="24"/>
          <w:highlight w:val="none"/>
        </w:rPr>
        <w:t xml:space="preserve">  负责本系统设备的运输和保险。</w:t>
      </w:r>
      <w:bookmarkEnd w:id="160"/>
      <w:bookmarkEnd w:id="161"/>
    </w:p>
    <w:p>
      <w:pPr>
        <w:adjustRightInd w:val="0"/>
        <w:snapToGrid w:val="0"/>
        <w:rPr>
          <w:rFonts w:ascii="宋体" w:hAnsi="宋体"/>
          <w:color w:val="auto"/>
          <w:spacing w:val="-4"/>
          <w:sz w:val="24"/>
          <w:szCs w:val="24"/>
          <w:highlight w:val="none"/>
        </w:rPr>
      </w:pPr>
      <w:bookmarkStart w:id="162" w:name="_Toc18986"/>
      <w:bookmarkStart w:id="163" w:name="_Toc12790"/>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.2.7</w:t>
      </w:r>
      <w:r>
        <w:rPr>
          <w:rFonts w:hint="eastAsia" w:ascii="宋体" w:hAnsi="宋体"/>
          <w:color w:val="auto"/>
          <w:spacing w:val="-4"/>
          <w:sz w:val="24"/>
          <w:szCs w:val="24"/>
          <w:highlight w:val="none"/>
        </w:rPr>
        <w:t xml:space="preserve">  </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应提供所供产品技术资料及电子版本；</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至少应提供下列技术文件以供设计确认：设备清单、产品说明书、系统拓扑结构图、技术方案。</w:t>
      </w:r>
      <w:bookmarkEnd w:id="162"/>
      <w:bookmarkEnd w:id="163"/>
    </w:p>
    <w:p>
      <w:pPr>
        <w:adjustRightInd w:val="0"/>
        <w:snapToGrid w:val="0"/>
        <w:rPr>
          <w:rFonts w:hint="eastAsia" w:ascii="宋体" w:hAnsi="宋体"/>
          <w:color w:val="auto"/>
          <w:spacing w:val="-4"/>
          <w:sz w:val="24"/>
          <w:szCs w:val="24"/>
          <w:highlight w:val="none"/>
        </w:rPr>
      </w:pPr>
      <w:bookmarkStart w:id="164" w:name="_Toc9343"/>
      <w:bookmarkStart w:id="165" w:name="_Toc16991"/>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.2.8</w:t>
      </w:r>
      <w:r>
        <w:rPr>
          <w:rFonts w:hint="eastAsia" w:ascii="宋体" w:hAnsi="宋体"/>
          <w:color w:val="auto"/>
          <w:spacing w:val="-4"/>
          <w:sz w:val="24"/>
          <w:szCs w:val="24"/>
          <w:highlight w:val="none"/>
        </w:rPr>
        <w:t xml:space="preserve">  </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提供的设备参数或配置接线有变化时, 应及时书面通知</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 否则由此引起的一切后果将由卖方承担。</w:t>
      </w:r>
      <w:bookmarkEnd w:id="164"/>
      <w:bookmarkEnd w:id="165"/>
    </w:p>
    <w:p>
      <w:pPr>
        <w:pStyle w:val="5"/>
        <w:adjustRightInd w:val="0"/>
        <w:snapToGrid w:val="0"/>
        <w:spacing w:line="240" w:lineRule="auto"/>
        <w:rPr>
          <w:rFonts w:ascii="黑体" w:hAnsi="黑体" w:eastAsia="黑体" w:cs="黑体"/>
          <w:b/>
          <w:bCs/>
          <w:color w:val="auto"/>
          <w:sz w:val="22"/>
          <w:szCs w:val="22"/>
          <w:highlight w:val="none"/>
        </w:rPr>
      </w:pPr>
      <w:bookmarkStart w:id="166" w:name="_Toc11968"/>
      <w:bookmarkStart w:id="167" w:name="_Toc21887"/>
      <w:bookmarkStart w:id="168" w:name="_Toc19309"/>
      <w:r>
        <w:rPr>
          <w:rFonts w:hint="eastAsia" w:ascii="黑体" w:hAnsi="黑体" w:eastAsia="黑体" w:cs="黑体"/>
          <w:b/>
          <w:bCs/>
          <w:color w:val="auto"/>
          <w:sz w:val="22"/>
          <w:szCs w:val="22"/>
          <w:highlight w:val="none"/>
          <w:lang w:val="en-US" w:eastAsia="zh-CN"/>
        </w:rPr>
        <w:t>5</w:t>
      </w:r>
      <w:r>
        <w:rPr>
          <w:rFonts w:hint="eastAsia" w:ascii="黑体" w:hAnsi="黑体" w:eastAsia="黑体" w:cs="黑体"/>
          <w:b/>
          <w:bCs/>
          <w:color w:val="auto"/>
          <w:sz w:val="22"/>
          <w:szCs w:val="22"/>
          <w:highlight w:val="none"/>
        </w:rPr>
        <w:t>.3  设计联络会与培训</w:t>
      </w:r>
      <w:bookmarkEnd w:id="166"/>
      <w:bookmarkEnd w:id="167"/>
      <w:bookmarkEnd w:id="168"/>
    </w:p>
    <w:p>
      <w:pPr>
        <w:pStyle w:val="6"/>
        <w:adjustRightInd w:val="0"/>
        <w:snapToGrid w:val="0"/>
        <w:rPr>
          <w:rFonts w:ascii="黑体" w:hAnsi="黑体" w:eastAsia="黑体"/>
          <w:color w:val="auto"/>
          <w:spacing w:val="-4"/>
          <w:sz w:val="22"/>
          <w:szCs w:val="22"/>
          <w:highlight w:val="none"/>
        </w:rPr>
      </w:pPr>
      <w:bookmarkStart w:id="169" w:name="_Toc10710"/>
      <w:bookmarkStart w:id="170" w:name="_Toc16103"/>
      <w:bookmarkStart w:id="171" w:name="_Toc11243"/>
      <w:bookmarkStart w:id="172" w:name="_Toc19372"/>
      <w:r>
        <w:rPr>
          <w:rFonts w:hint="eastAsia" w:ascii="黑体" w:hAnsi="黑体" w:eastAsia="黑体"/>
          <w:color w:val="auto"/>
          <w:spacing w:val="-4"/>
          <w:sz w:val="22"/>
          <w:szCs w:val="22"/>
          <w:highlight w:val="none"/>
          <w:lang w:val="en-US" w:eastAsia="zh-CN"/>
        </w:rPr>
        <w:t>5</w:t>
      </w:r>
      <w:r>
        <w:rPr>
          <w:rFonts w:hint="eastAsia" w:ascii="黑体" w:hAnsi="黑体" w:eastAsia="黑体"/>
          <w:color w:val="auto"/>
          <w:spacing w:val="-4"/>
          <w:sz w:val="22"/>
          <w:szCs w:val="22"/>
          <w:highlight w:val="none"/>
        </w:rPr>
        <w:t>.3.1  设计联络会</w:t>
      </w:r>
      <w:bookmarkEnd w:id="169"/>
      <w:bookmarkEnd w:id="170"/>
      <w:bookmarkEnd w:id="171"/>
      <w:bookmarkEnd w:id="172"/>
    </w:p>
    <w:p>
      <w:pPr>
        <w:adjustRightInd w:val="0"/>
        <w:snapToGrid w:val="0"/>
        <w:ind w:firstLine="464" w:firstLineChars="200"/>
        <w:rPr>
          <w:rFonts w:ascii="宋体" w:hAnsi="宋体"/>
          <w:color w:val="auto"/>
          <w:spacing w:val="-4"/>
          <w:sz w:val="24"/>
          <w:szCs w:val="24"/>
          <w:highlight w:val="none"/>
        </w:rPr>
      </w:pPr>
      <w:bookmarkStart w:id="173" w:name="_Toc25943"/>
      <w:bookmarkStart w:id="174" w:name="_Toc10197"/>
      <w:r>
        <w:rPr>
          <w:rFonts w:hint="eastAsia" w:ascii="宋体" w:hAnsi="宋体"/>
          <w:color w:val="auto"/>
          <w:spacing w:val="-4"/>
          <w:sz w:val="24"/>
          <w:szCs w:val="24"/>
          <w:highlight w:val="none"/>
        </w:rPr>
        <w:t>为了确认本系统的设计方案，确定各互联系统软硬件接口界面，交换必需的设计配合资料, 协调工程进度，</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应在设计联络会召开前二周, 提交给</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需要确认的图纸和资料。由</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负责设计联络会费用，调度、设计院、供电局参加，投标时需单独报价。是否召开设计联络会由</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决定。</w:t>
      </w:r>
      <w:bookmarkEnd w:id="173"/>
      <w:bookmarkEnd w:id="174"/>
    </w:p>
    <w:p>
      <w:pPr>
        <w:adjustRightInd w:val="0"/>
        <w:snapToGrid w:val="0"/>
        <w:rPr>
          <w:rFonts w:ascii="宋体" w:hAnsi="宋体"/>
          <w:color w:val="auto"/>
          <w:spacing w:val="-4"/>
          <w:sz w:val="24"/>
          <w:szCs w:val="24"/>
          <w:highlight w:val="none"/>
        </w:rPr>
      </w:pPr>
      <w:bookmarkStart w:id="175" w:name="_Toc26628"/>
      <w:bookmarkStart w:id="176" w:name="_Toc13656"/>
      <w:r>
        <w:rPr>
          <w:rFonts w:hint="eastAsia" w:ascii="黑体" w:hAnsi="黑体" w:eastAsia="黑体"/>
          <w:color w:val="auto"/>
          <w:spacing w:val="-4"/>
          <w:sz w:val="24"/>
          <w:szCs w:val="24"/>
          <w:highlight w:val="none"/>
          <w:lang w:val="en-US" w:eastAsia="zh-CN"/>
        </w:rPr>
        <w:t>5</w:t>
      </w:r>
      <w:r>
        <w:rPr>
          <w:rFonts w:hint="eastAsia" w:ascii="黑体" w:hAnsi="黑体" w:eastAsia="黑体"/>
          <w:color w:val="auto"/>
          <w:spacing w:val="-4"/>
          <w:sz w:val="24"/>
          <w:szCs w:val="24"/>
          <w:highlight w:val="none"/>
        </w:rPr>
        <w:t>.3.1.1</w:t>
      </w:r>
      <w:r>
        <w:rPr>
          <w:rFonts w:hint="eastAsia" w:ascii="宋体" w:hAnsi="宋体"/>
          <w:color w:val="auto"/>
          <w:spacing w:val="-4"/>
          <w:sz w:val="24"/>
          <w:szCs w:val="24"/>
          <w:highlight w:val="none"/>
        </w:rPr>
        <w:t xml:space="preserve">  设计联络会议内容为：</w:t>
      </w:r>
      <w:bookmarkEnd w:id="175"/>
      <w:bookmarkEnd w:id="176"/>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1）  确认本系统的详细设计方案；</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2）  确认本系统的具体功能规范；</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3）  讨论/确定培训计划；</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4）  讨论/确定工程进度要求；</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5）  讨论/确定工厂验收 (FAT)计划；</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6）  讨论/确定现场安装计划要求；</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7）  讨论/确定现场验收 (SAT)计划。</w:t>
      </w:r>
    </w:p>
    <w:p>
      <w:pPr>
        <w:pStyle w:val="6"/>
        <w:adjustRightInd w:val="0"/>
        <w:snapToGrid w:val="0"/>
        <w:rPr>
          <w:rFonts w:ascii="黑体" w:hAnsi="黑体" w:eastAsia="黑体"/>
          <w:color w:val="auto"/>
          <w:spacing w:val="-4"/>
          <w:sz w:val="22"/>
          <w:szCs w:val="22"/>
          <w:highlight w:val="none"/>
        </w:rPr>
      </w:pPr>
      <w:bookmarkStart w:id="177" w:name="_Toc22613"/>
      <w:bookmarkStart w:id="178" w:name="_Toc17175"/>
      <w:bookmarkStart w:id="179" w:name="_Toc8482"/>
      <w:bookmarkStart w:id="180" w:name="_Toc13366"/>
      <w:r>
        <w:rPr>
          <w:rFonts w:hint="eastAsia" w:ascii="黑体" w:hAnsi="黑体" w:eastAsia="黑体"/>
          <w:color w:val="auto"/>
          <w:spacing w:val="-4"/>
          <w:sz w:val="22"/>
          <w:szCs w:val="22"/>
          <w:highlight w:val="none"/>
          <w:lang w:val="en-US" w:eastAsia="zh-CN"/>
        </w:rPr>
        <w:t>5</w:t>
      </w:r>
      <w:r>
        <w:rPr>
          <w:rFonts w:hint="eastAsia" w:ascii="黑体" w:hAnsi="黑体" w:eastAsia="黑体"/>
          <w:color w:val="auto"/>
          <w:spacing w:val="-4"/>
          <w:sz w:val="22"/>
          <w:szCs w:val="22"/>
          <w:highlight w:val="none"/>
        </w:rPr>
        <w:t>.3.2  培训</w:t>
      </w:r>
      <w:bookmarkEnd w:id="177"/>
      <w:bookmarkEnd w:id="178"/>
      <w:bookmarkEnd w:id="179"/>
      <w:bookmarkEnd w:id="180"/>
    </w:p>
    <w:p>
      <w:pPr>
        <w:adjustRightInd w:val="0"/>
        <w:snapToGrid w:val="0"/>
        <w:rPr>
          <w:rFonts w:ascii="宋体" w:hAnsi="宋体"/>
          <w:color w:val="auto"/>
          <w:spacing w:val="-4"/>
          <w:sz w:val="24"/>
          <w:szCs w:val="24"/>
          <w:highlight w:val="none"/>
        </w:rPr>
      </w:pPr>
      <w:bookmarkStart w:id="181" w:name="_Toc20533"/>
      <w:bookmarkStart w:id="182" w:name="_Toc32747"/>
      <w:r>
        <w:rPr>
          <w:rFonts w:hint="eastAsia" w:ascii="宋体" w:hAnsi="宋体"/>
          <w:color w:val="auto"/>
          <w:spacing w:val="-4"/>
          <w:sz w:val="24"/>
          <w:szCs w:val="24"/>
          <w:highlight w:val="none"/>
          <w:lang w:val="en-US" w:eastAsia="zh-CN"/>
        </w:rPr>
        <w:t>5</w:t>
      </w:r>
      <w:r>
        <w:rPr>
          <w:rFonts w:hint="eastAsia" w:ascii="宋体" w:hAnsi="宋体"/>
          <w:color w:val="auto"/>
          <w:spacing w:val="-4"/>
          <w:sz w:val="24"/>
          <w:szCs w:val="24"/>
          <w:highlight w:val="none"/>
        </w:rPr>
        <w:t xml:space="preserve">.3.2.1  </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负责对</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技术人员及运行、维护人员的培训。</w:t>
      </w:r>
      <w:bookmarkEnd w:id="181"/>
      <w:bookmarkEnd w:id="182"/>
    </w:p>
    <w:p>
      <w:pPr>
        <w:adjustRightInd w:val="0"/>
        <w:snapToGrid w:val="0"/>
        <w:rPr>
          <w:rFonts w:ascii="宋体" w:hAnsi="宋体"/>
          <w:color w:val="auto"/>
          <w:spacing w:val="-4"/>
          <w:sz w:val="24"/>
          <w:szCs w:val="24"/>
          <w:highlight w:val="none"/>
        </w:rPr>
      </w:pPr>
      <w:bookmarkStart w:id="183" w:name="_Toc7521"/>
      <w:bookmarkStart w:id="184" w:name="_Toc17680"/>
      <w:r>
        <w:rPr>
          <w:rFonts w:hint="eastAsia" w:ascii="宋体" w:hAnsi="宋体"/>
          <w:color w:val="auto"/>
          <w:spacing w:val="-4"/>
          <w:sz w:val="24"/>
          <w:szCs w:val="24"/>
          <w:highlight w:val="none"/>
          <w:lang w:val="en-US" w:eastAsia="zh-CN"/>
        </w:rPr>
        <w:t>5</w:t>
      </w:r>
      <w:r>
        <w:rPr>
          <w:rFonts w:hint="eastAsia" w:ascii="宋体" w:hAnsi="宋体"/>
          <w:color w:val="auto"/>
          <w:spacing w:val="-4"/>
          <w:sz w:val="24"/>
          <w:szCs w:val="24"/>
          <w:highlight w:val="none"/>
        </w:rPr>
        <w:t>.3.2.2  由</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负责免费提供培训，</w:t>
      </w:r>
      <w:r>
        <w:rPr>
          <w:rFonts w:hint="eastAsia" w:ascii="宋体" w:hAnsi="宋体"/>
          <w:color w:val="auto"/>
          <w:spacing w:val="-4"/>
          <w:sz w:val="24"/>
          <w:szCs w:val="24"/>
          <w:highlight w:val="none"/>
          <w:lang w:eastAsia="zh-CN"/>
        </w:rPr>
        <w:t>招标人</w:t>
      </w:r>
      <w:r>
        <w:rPr>
          <w:rFonts w:hint="eastAsia" w:ascii="宋体" w:hAnsi="宋体"/>
          <w:color w:val="auto"/>
          <w:spacing w:val="-4"/>
          <w:sz w:val="24"/>
          <w:szCs w:val="24"/>
          <w:highlight w:val="none"/>
        </w:rPr>
        <w:t>选派人员参加。</w:t>
      </w:r>
      <w:bookmarkEnd w:id="183"/>
      <w:bookmarkEnd w:id="184"/>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lang w:val="en-US" w:eastAsia="zh-CN"/>
        </w:rPr>
        <w:t>5</w:t>
      </w:r>
      <w:r>
        <w:rPr>
          <w:rFonts w:hint="eastAsia" w:ascii="宋体" w:hAnsi="宋体"/>
          <w:color w:val="auto"/>
          <w:spacing w:val="-4"/>
          <w:sz w:val="24"/>
          <w:szCs w:val="24"/>
          <w:highlight w:val="none"/>
        </w:rPr>
        <w:t>.4售后服务要求</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1）应对技术支持人员进行网络安全身份认证，并进行安全教育、培训；</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2）</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人员现场按规定流程工作，严禁使用非专用终端（笔记本电脑）、移动介质（U盘），防范病毒感染等风险；</w:t>
      </w:r>
    </w:p>
    <w:p>
      <w:pPr>
        <w:adjustRightInd w:val="0"/>
        <w:snapToGrid w:val="0"/>
        <w:rPr>
          <w:rFonts w:ascii="宋体" w:hAnsi="宋体"/>
          <w:color w:val="auto"/>
          <w:spacing w:val="-4"/>
          <w:sz w:val="24"/>
          <w:szCs w:val="24"/>
          <w:highlight w:val="none"/>
        </w:rPr>
      </w:pPr>
      <w:r>
        <w:rPr>
          <w:rFonts w:hint="eastAsia" w:ascii="宋体" w:hAnsi="宋体"/>
          <w:color w:val="auto"/>
          <w:spacing w:val="-4"/>
          <w:sz w:val="24"/>
          <w:szCs w:val="24"/>
          <w:highlight w:val="none"/>
        </w:rPr>
        <w:t>3）</w:t>
      </w: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应做好有关信息的保密工作，严禁将带有南方电网公司标志及相关信息的开发、测试环境接入互联网等外部环境，严禁将系统运行的业务数据拷贝或发送到外部使用。</w:t>
      </w:r>
    </w:p>
    <w:p>
      <w:pPr>
        <w:pStyle w:val="2"/>
        <w:topLinePunct/>
        <w:spacing w:before="0" w:after="0" w:line="360" w:lineRule="auto"/>
        <w:textAlignment w:val="baseline"/>
        <w:rPr>
          <w:rFonts w:ascii="黑体" w:hAnsi="黑体" w:eastAsia="黑体"/>
          <w:bCs w:val="0"/>
          <w:color w:val="auto"/>
          <w:sz w:val="21"/>
          <w:szCs w:val="21"/>
          <w:highlight w:val="none"/>
        </w:rPr>
      </w:pPr>
      <w:bookmarkStart w:id="185" w:name="_Toc116033325"/>
      <w:bookmarkStart w:id="186" w:name="_Toc85616711"/>
      <w:bookmarkStart w:id="187" w:name="_Toc85616806"/>
      <w:bookmarkStart w:id="188" w:name="_Toc118205219"/>
      <w:bookmarkStart w:id="189" w:name="_Toc85616901"/>
      <w:bookmarkStart w:id="190" w:name="_Toc23250"/>
      <w:r>
        <w:rPr>
          <w:rFonts w:hint="eastAsia" w:ascii="黑体" w:hAnsi="黑体" w:eastAsia="黑体"/>
          <w:bCs w:val="0"/>
          <w:color w:val="auto"/>
          <w:sz w:val="21"/>
          <w:szCs w:val="21"/>
          <w:highlight w:val="none"/>
          <w:lang w:val="en-US" w:eastAsia="zh-CN"/>
        </w:rPr>
        <w:t>6</w:t>
      </w:r>
      <w:r>
        <w:rPr>
          <w:rFonts w:hint="eastAsia" w:ascii="黑体" w:hAnsi="黑体" w:eastAsia="黑体"/>
          <w:bCs w:val="0"/>
          <w:color w:val="auto"/>
          <w:sz w:val="21"/>
          <w:szCs w:val="21"/>
          <w:highlight w:val="none"/>
        </w:rPr>
        <w:t>.</w:t>
      </w:r>
      <w:bookmarkEnd w:id="185"/>
      <w:bookmarkEnd w:id="186"/>
      <w:bookmarkEnd w:id="187"/>
      <w:bookmarkEnd w:id="188"/>
      <w:bookmarkEnd w:id="189"/>
      <w:r>
        <w:rPr>
          <w:rFonts w:hint="eastAsia" w:ascii="黑体" w:hAnsi="黑体" w:eastAsia="黑体"/>
          <w:bCs w:val="0"/>
          <w:color w:val="auto"/>
          <w:sz w:val="21"/>
          <w:szCs w:val="21"/>
          <w:highlight w:val="none"/>
          <w:lang w:val="en-US" w:eastAsia="zh-CN"/>
        </w:rPr>
        <w:t>项目集成服务</w:t>
      </w:r>
      <w:r>
        <w:rPr>
          <w:rFonts w:hint="eastAsia" w:ascii="黑体" w:hAnsi="黑体" w:eastAsia="黑体"/>
          <w:bCs w:val="0"/>
          <w:color w:val="auto"/>
          <w:sz w:val="21"/>
          <w:szCs w:val="21"/>
          <w:highlight w:val="none"/>
        </w:rPr>
        <w:t>地点</w:t>
      </w:r>
      <w:bookmarkEnd w:id="190"/>
    </w:p>
    <w:p>
      <w:pPr>
        <w:pStyle w:val="89"/>
        <w:spacing w:line="380" w:lineRule="exact"/>
        <w:ind w:left="0" w:leftChars="0" w:firstLine="404"/>
        <w:rPr>
          <w:rFonts w:hint="eastAsia" w:ascii="宋体" w:hAnsi="宋体" w:eastAsia="宋体" w:cs="Times New Roman"/>
          <w:color w:val="auto"/>
          <w:spacing w:val="-4"/>
          <w:kern w:val="2"/>
          <w:sz w:val="24"/>
          <w:szCs w:val="24"/>
          <w:highlight w:val="none"/>
          <w:lang w:val="en-US" w:eastAsia="zh-CN" w:bidi="ar-SA"/>
        </w:rPr>
      </w:pPr>
      <w:r>
        <w:rPr>
          <w:rFonts w:hint="eastAsia" w:ascii="宋体" w:hAnsi="宋体" w:eastAsia="宋体" w:cs="Times New Roman"/>
          <w:color w:val="auto"/>
          <w:spacing w:val="-4"/>
          <w:kern w:val="2"/>
          <w:sz w:val="24"/>
          <w:szCs w:val="24"/>
          <w:highlight w:val="none"/>
          <w:lang w:val="en-US" w:eastAsia="zh-CN" w:bidi="ar-SA"/>
        </w:rPr>
        <w:t>海口变电运检分公司</w:t>
      </w:r>
      <w:r>
        <w:rPr>
          <w:rFonts w:hint="eastAsia" w:ascii="宋体" w:hAnsi="宋体" w:cs="Times New Roman"/>
          <w:color w:val="auto"/>
          <w:spacing w:val="-4"/>
          <w:kern w:val="2"/>
          <w:sz w:val="24"/>
          <w:szCs w:val="24"/>
          <w:highlight w:val="none"/>
          <w:lang w:val="en-US" w:eastAsia="zh-CN" w:bidi="ar-SA"/>
        </w:rPr>
        <w:t>大英山</w:t>
      </w:r>
      <w:r>
        <w:rPr>
          <w:rFonts w:hint="eastAsia" w:ascii="宋体" w:hAnsi="宋体" w:eastAsia="宋体" w:cs="Times New Roman"/>
          <w:color w:val="auto"/>
          <w:spacing w:val="-4"/>
          <w:kern w:val="2"/>
          <w:sz w:val="24"/>
          <w:szCs w:val="24"/>
          <w:highlight w:val="none"/>
          <w:lang w:val="en-US" w:eastAsia="zh-CN" w:bidi="ar-SA"/>
        </w:rPr>
        <w:t>变电站。</w:t>
      </w:r>
    </w:p>
    <w:p>
      <w:pPr>
        <w:pStyle w:val="2"/>
        <w:topLinePunct/>
        <w:spacing w:before="0" w:after="0" w:line="360" w:lineRule="auto"/>
        <w:textAlignment w:val="baseline"/>
        <w:rPr>
          <w:rFonts w:ascii="黑体" w:hAnsi="黑体" w:eastAsia="黑体"/>
          <w:bCs w:val="0"/>
          <w:color w:val="auto"/>
          <w:sz w:val="21"/>
          <w:szCs w:val="21"/>
          <w:highlight w:val="none"/>
        </w:rPr>
      </w:pPr>
      <w:bookmarkStart w:id="191" w:name="_Toc85616714"/>
      <w:bookmarkStart w:id="192" w:name="_Toc85616904"/>
      <w:bookmarkStart w:id="193" w:name="_Toc118205220"/>
      <w:bookmarkStart w:id="194" w:name="_Toc85616809"/>
      <w:bookmarkStart w:id="195" w:name="_Toc116033328"/>
      <w:bookmarkStart w:id="196" w:name="_Toc9821"/>
      <w:r>
        <w:rPr>
          <w:rFonts w:hint="eastAsia" w:ascii="黑体" w:hAnsi="黑体" w:eastAsia="黑体"/>
          <w:bCs w:val="0"/>
          <w:color w:val="auto"/>
          <w:sz w:val="21"/>
          <w:szCs w:val="21"/>
          <w:highlight w:val="none"/>
          <w:lang w:val="en-US" w:eastAsia="zh-CN"/>
        </w:rPr>
        <w:t>7</w:t>
      </w:r>
      <w:r>
        <w:rPr>
          <w:rFonts w:hint="eastAsia" w:ascii="黑体" w:hAnsi="黑体" w:eastAsia="黑体"/>
          <w:bCs w:val="0"/>
          <w:color w:val="auto"/>
          <w:sz w:val="21"/>
          <w:szCs w:val="21"/>
          <w:highlight w:val="none"/>
        </w:rPr>
        <w:t>.技术资料</w:t>
      </w:r>
      <w:bookmarkEnd w:id="191"/>
      <w:bookmarkEnd w:id="192"/>
      <w:bookmarkEnd w:id="193"/>
      <w:bookmarkEnd w:id="194"/>
      <w:bookmarkEnd w:id="195"/>
      <w:bookmarkEnd w:id="196"/>
    </w:p>
    <w:p>
      <w:pPr>
        <w:pStyle w:val="89"/>
        <w:ind w:left="0" w:leftChars="0" w:firstLine="404"/>
        <w:rPr>
          <w:rFonts w:ascii="宋体" w:hAnsi="宋体"/>
          <w:color w:val="auto"/>
          <w:spacing w:val="-4"/>
          <w:sz w:val="24"/>
          <w:szCs w:val="24"/>
          <w:highlight w:val="none"/>
        </w:rPr>
      </w:pPr>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应提供设备和系统的安装文件和图纸、检验记录、工程竣工文件、技术手册、用户手册、设备技术使用的说明书等资料，并对所提供的全部技术资料的准确性负责。</w:t>
      </w:r>
    </w:p>
    <w:p>
      <w:pPr>
        <w:pStyle w:val="5"/>
        <w:topLinePunct/>
        <w:spacing w:before="0" w:after="0" w:line="360" w:lineRule="auto"/>
        <w:textAlignment w:val="baseline"/>
        <w:rPr>
          <w:rFonts w:ascii="黑体" w:hAnsi="黑体" w:eastAsia="黑体"/>
          <w:bCs w:val="0"/>
          <w:color w:val="auto"/>
          <w:sz w:val="22"/>
          <w:szCs w:val="22"/>
          <w:highlight w:val="none"/>
        </w:rPr>
      </w:pPr>
      <w:bookmarkStart w:id="197" w:name="_Toc252534255"/>
      <w:bookmarkStart w:id="198" w:name="_Toc85616715"/>
      <w:bookmarkStart w:id="199" w:name="_Toc32578"/>
      <w:bookmarkStart w:id="200" w:name="_Toc116033329"/>
      <w:bookmarkStart w:id="201" w:name="_Toc9458"/>
      <w:bookmarkStart w:id="202" w:name="_Toc252536015"/>
      <w:bookmarkStart w:id="203" w:name="_Toc85616905"/>
      <w:bookmarkStart w:id="204" w:name="_Toc5327"/>
      <w:bookmarkStart w:id="205" w:name="_Toc256460952"/>
      <w:bookmarkStart w:id="206" w:name="_Toc9588"/>
      <w:bookmarkStart w:id="207" w:name="_Toc85616810"/>
      <w:bookmarkStart w:id="208" w:name="_Toc9733"/>
      <w:r>
        <w:rPr>
          <w:rFonts w:hint="eastAsia" w:ascii="黑体" w:hAnsi="黑体" w:eastAsia="黑体"/>
          <w:bCs w:val="0"/>
          <w:color w:val="auto"/>
          <w:sz w:val="22"/>
          <w:szCs w:val="22"/>
          <w:highlight w:val="none"/>
          <w:lang w:val="en-US" w:eastAsia="zh-CN"/>
        </w:rPr>
        <w:t>7</w:t>
      </w:r>
      <w:r>
        <w:rPr>
          <w:rFonts w:hint="eastAsia" w:ascii="黑体" w:hAnsi="黑体" w:eastAsia="黑体"/>
          <w:bCs w:val="0"/>
          <w:color w:val="auto"/>
          <w:sz w:val="22"/>
          <w:szCs w:val="22"/>
          <w:highlight w:val="none"/>
        </w:rPr>
        <w:t>.1文件资料的数量</w:t>
      </w:r>
      <w:bookmarkEnd w:id="197"/>
      <w:bookmarkEnd w:id="198"/>
      <w:bookmarkEnd w:id="199"/>
      <w:bookmarkEnd w:id="200"/>
      <w:bookmarkEnd w:id="201"/>
      <w:bookmarkEnd w:id="202"/>
      <w:bookmarkEnd w:id="203"/>
      <w:bookmarkEnd w:id="204"/>
      <w:bookmarkEnd w:id="205"/>
      <w:bookmarkEnd w:id="206"/>
      <w:bookmarkEnd w:id="207"/>
      <w:bookmarkEnd w:id="208"/>
    </w:p>
    <w:p>
      <w:pPr>
        <w:pStyle w:val="89"/>
        <w:ind w:left="0" w:leftChars="0" w:firstLine="404"/>
        <w:rPr>
          <w:rFonts w:ascii="宋体" w:hAnsi="宋体"/>
          <w:color w:val="auto"/>
          <w:spacing w:val="-4"/>
          <w:sz w:val="24"/>
          <w:szCs w:val="24"/>
          <w:highlight w:val="none"/>
        </w:rPr>
      </w:pPr>
      <w:bookmarkStart w:id="209" w:name="_Toc97017983"/>
      <w:r>
        <w:rPr>
          <w:rFonts w:hint="eastAsia" w:ascii="宋体" w:hAnsi="宋体"/>
          <w:color w:val="auto"/>
          <w:spacing w:val="-4"/>
          <w:sz w:val="24"/>
          <w:szCs w:val="24"/>
          <w:highlight w:val="none"/>
          <w:lang w:eastAsia="zh-CN"/>
        </w:rPr>
        <w:t>投标人</w:t>
      </w:r>
      <w:r>
        <w:rPr>
          <w:rFonts w:hint="eastAsia" w:ascii="宋体" w:hAnsi="宋体"/>
          <w:color w:val="auto"/>
          <w:spacing w:val="-4"/>
          <w:sz w:val="24"/>
          <w:szCs w:val="24"/>
          <w:highlight w:val="none"/>
        </w:rPr>
        <w:t>提供的图纸和资料的数量为2套。</w:t>
      </w:r>
      <w:bookmarkEnd w:id="209"/>
    </w:p>
    <w:p>
      <w:pPr>
        <w:pStyle w:val="2"/>
        <w:topLinePunct/>
        <w:spacing w:before="0" w:after="0" w:line="360" w:lineRule="auto"/>
        <w:textAlignment w:val="baseline"/>
        <w:rPr>
          <w:rFonts w:ascii="黑体" w:hAnsi="黑体" w:eastAsia="黑体"/>
          <w:bCs w:val="0"/>
          <w:color w:val="auto"/>
          <w:sz w:val="21"/>
          <w:szCs w:val="21"/>
          <w:highlight w:val="none"/>
        </w:rPr>
      </w:pPr>
      <w:bookmarkStart w:id="210" w:name="_Toc85616820"/>
      <w:bookmarkStart w:id="211" w:name="_Toc85616915"/>
      <w:bookmarkStart w:id="212" w:name="_Toc85616725"/>
      <w:bookmarkStart w:id="213" w:name="_Toc118205223"/>
      <w:bookmarkStart w:id="214" w:name="_Toc116033333"/>
      <w:bookmarkStart w:id="215" w:name="_Toc30010"/>
      <w:r>
        <w:rPr>
          <w:rFonts w:hint="eastAsia" w:ascii="黑体" w:hAnsi="黑体" w:eastAsia="黑体"/>
          <w:bCs w:val="0"/>
          <w:color w:val="auto"/>
          <w:sz w:val="21"/>
          <w:szCs w:val="21"/>
          <w:highlight w:val="none"/>
          <w:lang w:val="en-US" w:eastAsia="zh-CN"/>
        </w:rPr>
        <w:t>8</w:t>
      </w:r>
      <w:r>
        <w:rPr>
          <w:rFonts w:hint="eastAsia" w:ascii="黑体" w:hAnsi="黑体" w:eastAsia="黑体"/>
          <w:bCs w:val="0"/>
          <w:color w:val="auto"/>
          <w:sz w:val="21"/>
          <w:szCs w:val="21"/>
          <w:highlight w:val="none"/>
        </w:rPr>
        <w:t>.到货及验收</w:t>
      </w:r>
      <w:bookmarkEnd w:id="210"/>
      <w:bookmarkEnd w:id="211"/>
      <w:bookmarkEnd w:id="212"/>
      <w:bookmarkEnd w:id="213"/>
      <w:bookmarkEnd w:id="214"/>
      <w:bookmarkEnd w:id="215"/>
    </w:p>
    <w:p>
      <w:pPr>
        <w:pStyle w:val="6"/>
        <w:spacing w:before="0" w:after="0" w:line="360" w:lineRule="auto"/>
        <w:rPr>
          <w:rFonts w:ascii="黑体" w:hAnsi="黑体" w:eastAsia="黑体"/>
          <w:color w:val="auto"/>
          <w:kern w:val="44"/>
          <w:sz w:val="21"/>
          <w:szCs w:val="21"/>
          <w:highlight w:val="none"/>
        </w:rPr>
      </w:pPr>
      <w:bookmarkStart w:id="216" w:name="_Toc28670"/>
      <w:bookmarkStart w:id="217" w:name="_Toc15686"/>
      <w:bookmarkStart w:id="218" w:name="_Toc2101"/>
      <w:bookmarkStart w:id="219" w:name="_Toc18257"/>
      <w:r>
        <w:rPr>
          <w:rFonts w:hint="eastAsia" w:ascii="黑体" w:hAnsi="黑体" w:eastAsia="黑体"/>
          <w:color w:val="auto"/>
          <w:kern w:val="44"/>
          <w:sz w:val="21"/>
          <w:szCs w:val="21"/>
          <w:highlight w:val="none"/>
          <w:lang w:val="en-US" w:eastAsia="zh-CN"/>
        </w:rPr>
        <w:t>8</w:t>
      </w:r>
      <w:r>
        <w:rPr>
          <w:rFonts w:hint="eastAsia" w:ascii="黑体" w:hAnsi="黑体" w:eastAsia="黑体"/>
          <w:color w:val="auto"/>
          <w:kern w:val="44"/>
          <w:sz w:val="21"/>
          <w:szCs w:val="21"/>
          <w:highlight w:val="none"/>
        </w:rPr>
        <w:t>.1到货</w:t>
      </w:r>
      <w:bookmarkEnd w:id="216"/>
      <w:bookmarkEnd w:id="217"/>
      <w:bookmarkEnd w:id="218"/>
      <w:bookmarkEnd w:id="219"/>
    </w:p>
    <w:p>
      <w:pPr>
        <w:pStyle w:val="89"/>
        <w:spacing w:after="0"/>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.1.1设备到货地点根据甲方建设地点而定。</w:t>
      </w:r>
    </w:p>
    <w:p>
      <w:pPr>
        <w:pStyle w:val="89"/>
        <w:spacing w:after="0"/>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.1.2设备到货后开箱验收无误后施工方做到货签收，甲方做见证方。</w:t>
      </w:r>
    </w:p>
    <w:p>
      <w:pPr>
        <w:pStyle w:val="6"/>
        <w:spacing w:before="0" w:after="0" w:line="360" w:lineRule="auto"/>
        <w:rPr>
          <w:rFonts w:ascii="宋体" w:hAnsi="宋体" w:cs="宋体"/>
          <w:color w:val="auto"/>
          <w:sz w:val="21"/>
          <w:szCs w:val="21"/>
          <w:highlight w:val="none"/>
        </w:rPr>
      </w:pPr>
      <w:bookmarkStart w:id="220" w:name="_Toc85616727"/>
      <w:bookmarkStart w:id="221" w:name="_Toc2188"/>
      <w:bookmarkStart w:id="222" w:name="_Toc425184678"/>
      <w:bookmarkStart w:id="223" w:name="_Toc116033335"/>
      <w:bookmarkStart w:id="224" w:name="_Toc85616822"/>
      <w:bookmarkStart w:id="225" w:name="_Toc6793"/>
      <w:bookmarkStart w:id="226" w:name="_Toc449287343"/>
      <w:bookmarkStart w:id="227" w:name="_Toc19468"/>
      <w:bookmarkStart w:id="228" w:name="_Toc18237"/>
      <w:bookmarkStart w:id="229" w:name="_Toc85616917"/>
      <w:r>
        <w:rPr>
          <w:rFonts w:hint="eastAsia" w:ascii="黑体" w:hAnsi="黑体" w:eastAsia="黑体"/>
          <w:color w:val="auto"/>
          <w:kern w:val="44"/>
          <w:sz w:val="21"/>
          <w:szCs w:val="21"/>
          <w:highlight w:val="none"/>
          <w:lang w:val="en-US" w:eastAsia="zh-CN"/>
        </w:rPr>
        <w:t>8</w:t>
      </w:r>
      <w:r>
        <w:rPr>
          <w:rFonts w:hint="eastAsia" w:ascii="黑体" w:hAnsi="黑体" w:eastAsia="黑体"/>
          <w:color w:val="auto"/>
          <w:kern w:val="44"/>
          <w:sz w:val="21"/>
          <w:szCs w:val="21"/>
          <w:highlight w:val="none"/>
        </w:rPr>
        <w:t>.2</w:t>
      </w:r>
      <w:r>
        <w:rPr>
          <w:rFonts w:hint="eastAsia" w:ascii="宋体" w:hAnsi="宋体" w:cs="宋体"/>
          <w:color w:val="auto"/>
          <w:sz w:val="21"/>
          <w:szCs w:val="21"/>
          <w:highlight w:val="none"/>
        </w:rPr>
        <w:t>验收</w:t>
      </w:r>
      <w:bookmarkEnd w:id="220"/>
      <w:bookmarkEnd w:id="221"/>
      <w:bookmarkEnd w:id="222"/>
      <w:bookmarkEnd w:id="223"/>
      <w:bookmarkEnd w:id="224"/>
      <w:bookmarkEnd w:id="225"/>
      <w:bookmarkEnd w:id="226"/>
      <w:bookmarkEnd w:id="227"/>
      <w:bookmarkEnd w:id="228"/>
      <w:bookmarkEnd w:id="229"/>
    </w:p>
    <w:p>
      <w:pPr>
        <w:pStyle w:val="89"/>
        <w:spacing w:after="0"/>
        <w:ind w:left="0" w:leftChars="0" w:firstLine="0" w:firstLineChars="0"/>
        <w:rPr>
          <w:rFonts w:ascii="宋体" w:hAnsi="宋体" w:cs="宋体"/>
          <w:color w:val="auto"/>
          <w:sz w:val="24"/>
          <w:szCs w:val="24"/>
          <w:highlight w:val="none"/>
        </w:rPr>
      </w:pPr>
      <w:bookmarkStart w:id="230" w:name="_Toc120363385"/>
      <w:bookmarkStart w:id="231" w:name="_Toc120363225"/>
      <w:bookmarkStart w:id="232" w:name="_Toc112465568"/>
      <w:bookmarkStart w:id="233" w:name="_Toc468466457"/>
      <w:bookmarkStart w:id="234" w:name="_Toc120415787"/>
      <w:bookmarkStart w:id="235" w:name="_Toc450935001"/>
      <w:bookmarkStart w:id="236" w:name="_Toc116795368"/>
      <w:bookmarkStart w:id="237" w:name="_Toc112465926"/>
      <w:bookmarkStart w:id="238" w:name="_Toc120415886"/>
      <w:bookmarkStart w:id="239" w:name="_Toc120363736"/>
      <w:bookmarkStart w:id="240" w:name="_Toc120415502"/>
      <w:bookmarkStart w:id="241" w:name="_Toc479638148"/>
      <w:bookmarkStart w:id="242" w:name="_Toc468503907"/>
      <w:bookmarkStart w:id="243" w:name="_Toc120505994"/>
      <w:bookmarkStart w:id="244" w:name="_Toc120415234"/>
      <w:bookmarkStart w:id="245" w:name="_Toc479638335"/>
      <w:bookmarkStart w:id="246" w:name="_Toc112464957"/>
      <w:bookmarkStart w:id="247" w:name="_Toc479643393"/>
      <w:bookmarkStart w:id="248" w:name="_Toc422824595"/>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.2.1依据</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在投标文件中的承诺对全部设备、产品、型号、规格、数量、外型、外观、包装及资料、文件（包括装箱单、保修单、随箱介质等）进行验收。</w:t>
      </w:r>
    </w:p>
    <w:p>
      <w:pPr>
        <w:pStyle w:val="89"/>
        <w:spacing w:after="0"/>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.2.2</w:t>
      </w:r>
      <w:r>
        <w:rPr>
          <w:rFonts w:hint="eastAsia" w:ascii="宋体" w:hAnsi="宋体" w:cs="宋体"/>
          <w:color w:val="auto"/>
          <w:sz w:val="24"/>
          <w:szCs w:val="24"/>
          <w:highlight w:val="none"/>
          <w:lang w:eastAsia="zh-CN"/>
        </w:rPr>
        <w:t>招标人</w:t>
      </w:r>
      <w:r>
        <w:rPr>
          <w:rFonts w:hint="eastAsia" w:ascii="宋体" w:hAnsi="宋体" w:cs="宋体"/>
          <w:color w:val="auto"/>
          <w:sz w:val="24"/>
          <w:szCs w:val="24"/>
          <w:highlight w:val="none"/>
        </w:rPr>
        <w:t>与</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对设备到货后共同配合进行开箱检查，出现损坏、数量不全或设备不符等问题时，由</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负责解决。</w:t>
      </w:r>
    </w:p>
    <w:p>
      <w:pPr>
        <w:pStyle w:val="89"/>
        <w:spacing w:after="0"/>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.2.3设备测试中出现性能指标或功能上不符合</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在投标文件中的承诺和合同要求时，</w:t>
      </w:r>
      <w:r>
        <w:rPr>
          <w:rFonts w:hint="eastAsia" w:ascii="宋体" w:hAnsi="宋体" w:cs="宋体"/>
          <w:color w:val="auto"/>
          <w:sz w:val="24"/>
          <w:szCs w:val="24"/>
          <w:highlight w:val="none"/>
          <w:lang w:eastAsia="zh-CN"/>
        </w:rPr>
        <w:t>招标人</w:t>
      </w:r>
      <w:r>
        <w:rPr>
          <w:rFonts w:hint="eastAsia" w:ascii="宋体" w:hAnsi="宋体" w:cs="宋体"/>
          <w:color w:val="auto"/>
          <w:sz w:val="24"/>
          <w:szCs w:val="24"/>
          <w:highlight w:val="none"/>
        </w:rPr>
        <w:t>有拒收的权利。</w:t>
      </w:r>
    </w:p>
    <w:p>
      <w:pPr>
        <w:pStyle w:val="89"/>
        <w:spacing w:after="0"/>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.2.4如验收及测试中出现不符合</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在投标文件中的承诺和合同要求的严重质量问题时，</w:t>
      </w:r>
      <w:r>
        <w:rPr>
          <w:rFonts w:hint="eastAsia" w:ascii="宋体" w:hAnsi="宋体" w:cs="宋体"/>
          <w:color w:val="auto"/>
          <w:sz w:val="24"/>
          <w:szCs w:val="24"/>
          <w:highlight w:val="none"/>
          <w:lang w:eastAsia="zh-CN"/>
        </w:rPr>
        <w:t>招标人</w:t>
      </w:r>
      <w:r>
        <w:rPr>
          <w:rFonts w:hint="eastAsia" w:ascii="宋体" w:hAnsi="宋体" w:cs="宋体"/>
          <w:color w:val="auto"/>
          <w:sz w:val="24"/>
          <w:szCs w:val="24"/>
          <w:highlight w:val="none"/>
        </w:rPr>
        <w:t>保留索赔权利。</w:t>
      </w:r>
    </w:p>
    <w:p>
      <w:pPr>
        <w:pStyle w:val="2"/>
        <w:topLinePunct/>
        <w:spacing w:before="0" w:after="0" w:line="360" w:lineRule="auto"/>
        <w:textAlignment w:val="baseline"/>
        <w:rPr>
          <w:rFonts w:ascii="黑体" w:hAnsi="黑体" w:eastAsia="黑体"/>
          <w:bCs w:val="0"/>
          <w:color w:val="auto"/>
          <w:sz w:val="21"/>
          <w:szCs w:val="21"/>
          <w:highlight w:val="none"/>
        </w:rPr>
      </w:pPr>
      <w:bookmarkStart w:id="249" w:name="_Toc425184679"/>
      <w:bookmarkStart w:id="250" w:name="_Toc116033337"/>
      <w:bookmarkStart w:id="251" w:name="_Toc118205225"/>
      <w:bookmarkStart w:id="252" w:name="_Toc85616919"/>
      <w:bookmarkStart w:id="253" w:name="_Toc85616729"/>
      <w:bookmarkStart w:id="254" w:name="_Toc85616824"/>
      <w:bookmarkStart w:id="255" w:name="_Toc16158"/>
      <w:bookmarkStart w:id="256" w:name="_Toc449287345"/>
      <w:r>
        <w:rPr>
          <w:rFonts w:hint="eastAsia" w:ascii="黑体" w:hAnsi="黑体" w:eastAsia="黑体"/>
          <w:bCs w:val="0"/>
          <w:color w:val="auto"/>
          <w:sz w:val="21"/>
          <w:szCs w:val="21"/>
          <w:highlight w:val="none"/>
          <w:lang w:val="en-US" w:eastAsia="zh-CN"/>
        </w:rPr>
        <w:t>9</w:t>
      </w:r>
      <w:r>
        <w:rPr>
          <w:rFonts w:hint="eastAsia" w:ascii="黑体" w:hAnsi="黑体" w:eastAsia="黑体"/>
          <w:bCs w:val="0"/>
          <w:color w:val="auto"/>
          <w:sz w:val="21"/>
          <w:szCs w:val="21"/>
          <w:highlight w:val="none"/>
        </w:rPr>
        <w:t>.技术服务</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pPr>
        <w:adjustRightInd w:val="0"/>
        <w:snapToGrid w:val="0"/>
        <w:rPr>
          <w:rFonts w:hint="eastAsia" w:ascii="宋体" w:hAnsi="宋体" w:eastAsia="宋体" w:cs="宋体"/>
          <w:color w:val="auto"/>
          <w:sz w:val="24"/>
          <w:szCs w:val="24"/>
          <w:highlight w:val="none"/>
          <w:lang w:val="en-US" w:eastAsia="zh-CN"/>
        </w:rPr>
      </w:pPr>
      <w:bookmarkStart w:id="257" w:name="_Toc468503927"/>
      <w:bookmarkStart w:id="258" w:name="_Toc120505997"/>
      <w:bookmarkStart w:id="259" w:name="_Toc112465588"/>
      <w:bookmarkStart w:id="260" w:name="_Toc116795388"/>
      <w:bookmarkStart w:id="261" w:name="_Toc479643413"/>
      <w:bookmarkStart w:id="262" w:name="_Toc422824596"/>
      <w:bookmarkStart w:id="263" w:name="_Toc479638355"/>
      <w:bookmarkStart w:id="264" w:name="_Toc120363388"/>
      <w:bookmarkStart w:id="265" w:name="_Toc468466478"/>
      <w:bookmarkStart w:id="266" w:name="_Toc120415790"/>
      <w:bookmarkStart w:id="267" w:name="_Toc112465946"/>
      <w:bookmarkStart w:id="268" w:name="_Toc112464977"/>
      <w:bookmarkStart w:id="269" w:name="_Toc479638168"/>
      <w:bookmarkStart w:id="270" w:name="_Toc120415237"/>
      <w:bookmarkStart w:id="271" w:name="_Toc120363739"/>
      <w:bookmarkStart w:id="272" w:name="_Toc120415889"/>
      <w:bookmarkStart w:id="273" w:name="_Toc120415505"/>
      <w:bookmarkStart w:id="274" w:name="_Toc450935021"/>
      <w:bookmarkStart w:id="275" w:name="_Toc120363228"/>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.1设备安装调试并通过验收运行后，进入质保期。质保期之后发生设备损坏，如招标单位需进行设备修理，投标方应按最近的投标价提供维修部件及维修服务</w:t>
      </w:r>
      <w:r>
        <w:rPr>
          <w:rFonts w:hint="eastAsia" w:ascii="宋体" w:hAnsi="宋体" w:cs="宋体"/>
          <w:color w:val="auto"/>
          <w:sz w:val="24"/>
          <w:szCs w:val="24"/>
          <w:highlight w:val="none"/>
          <w:lang w:eastAsia="zh-CN"/>
        </w:rPr>
        <w:t>。</w:t>
      </w:r>
    </w:p>
    <w:p>
      <w:pPr>
        <w:adjustRightInd w:val="0"/>
        <w:snapToGrid w:val="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.2装置</w:t>
      </w:r>
      <w:r>
        <w:rPr>
          <w:rFonts w:hint="eastAsia" w:ascii="宋体" w:hAnsi="宋体" w:cs="宋体"/>
          <w:color w:val="auto"/>
          <w:sz w:val="24"/>
          <w:szCs w:val="24"/>
          <w:highlight w:val="none"/>
          <w:lang w:val="en-US" w:eastAsia="zh-CN"/>
        </w:rPr>
        <w:t>质保期内</w:t>
      </w:r>
      <w:r>
        <w:rPr>
          <w:rFonts w:hint="eastAsia" w:ascii="宋体" w:hAnsi="宋体" w:cs="宋体"/>
          <w:color w:val="auto"/>
          <w:sz w:val="24"/>
          <w:szCs w:val="24"/>
          <w:highlight w:val="none"/>
        </w:rPr>
        <w:t>免费维修，设备发生的所有非不可抗力因素造成的缺陷或故障由生产厂家免费进行维修或更换，包括所需人力和所需更换材料。</w:t>
      </w:r>
    </w:p>
    <w:p>
      <w:pPr>
        <w:adjustRightInd w:val="0"/>
        <w:snapToGrid w:val="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系统软件终身免费升级。</w:t>
      </w:r>
    </w:p>
    <w:p>
      <w:pPr>
        <w:adjustRightInd w:val="0"/>
        <w:snapToGrid w:val="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对售后服务的需求必须在24小时答复，在48小时内提供技术服务。</w:t>
      </w:r>
    </w:p>
    <w:p>
      <w:pPr>
        <w:pStyle w:val="89"/>
        <w:spacing w:after="0"/>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应向</w:t>
      </w:r>
      <w:r>
        <w:rPr>
          <w:rFonts w:hint="eastAsia" w:ascii="宋体" w:hAnsi="宋体" w:cs="宋体"/>
          <w:color w:val="auto"/>
          <w:sz w:val="24"/>
          <w:szCs w:val="24"/>
          <w:highlight w:val="none"/>
          <w:lang w:eastAsia="zh-CN"/>
        </w:rPr>
        <w:t>招标人</w:t>
      </w:r>
      <w:r>
        <w:rPr>
          <w:rFonts w:hint="eastAsia" w:ascii="宋体" w:hAnsi="宋体" w:cs="宋体"/>
          <w:color w:val="auto"/>
          <w:sz w:val="24"/>
          <w:szCs w:val="24"/>
          <w:highlight w:val="none"/>
        </w:rPr>
        <w:t>提供以下内容的技术支持，包括但不限于：</w:t>
      </w:r>
    </w:p>
    <w:p>
      <w:pPr>
        <w:pStyle w:val="89"/>
        <w:spacing w:after="0"/>
        <w:ind w:left="0" w:leftChars="0"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1)设备安装、调试以及发生故障时的技术支持；</w:t>
      </w:r>
    </w:p>
    <w:p>
      <w:pPr>
        <w:pStyle w:val="89"/>
        <w:spacing w:after="0"/>
        <w:ind w:left="0" w:leftChars="0"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2)设备定期健康巡检现场技术支持；</w:t>
      </w:r>
    </w:p>
    <w:p>
      <w:pPr>
        <w:pStyle w:val="89"/>
        <w:spacing w:after="0"/>
        <w:ind w:left="0" w:leftChars="0"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3)重大故障及重大活动保障技术支持。</w:t>
      </w:r>
    </w:p>
    <w:p>
      <w:pPr>
        <w:pStyle w:val="89"/>
        <w:spacing w:after="0"/>
        <w:ind w:left="0" w:leftChars="0"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在质保期内安装的任何零配件，必须是其报价货物生产厂家原产的或是经其认可的产品。</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sectPr>
      <w:headerReference r:id="rId6" w:type="default"/>
      <w:footerReference r:id="rId7"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9864304"/>
                          </w:sdtPr>
                          <w:sdtContent>
                            <w:p>
                              <w:pPr>
                                <w:pStyle w:val="14"/>
                                <w:jc w:val="center"/>
                              </w:pPr>
                              <w:r>
                                <w:fldChar w:fldCharType="begin"/>
                              </w:r>
                              <w:r>
                                <w:instrText xml:space="preserve">PAGE   \* MERGEFORMAT</w:instrText>
                              </w:r>
                              <w:r>
                                <w:fldChar w:fldCharType="separate"/>
                              </w:r>
                              <w:r>
                                <w:rPr>
                                  <w:lang w:val="zh-CN"/>
                                </w:rPr>
                                <w:t>39</w:t>
                              </w:r>
                              <w:r>
                                <w:fldChar w:fldCharType="end"/>
                              </w:r>
                            </w:p>
                          </w:sdtContent>
                        </w:sdt>
                        <w:p>
                          <w:pPr>
                            <w:pStyle w:val="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219864304"/>
                    </w:sdtPr>
                    <w:sdtContent>
                      <w:p>
                        <w:pPr>
                          <w:pStyle w:val="14"/>
                          <w:jc w:val="center"/>
                        </w:pPr>
                        <w:r>
                          <w:fldChar w:fldCharType="begin"/>
                        </w:r>
                        <w:r>
                          <w:instrText xml:space="preserve">PAGE   \* MERGEFORMAT</w:instrText>
                        </w:r>
                        <w:r>
                          <w:fldChar w:fldCharType="separate"/>
                        </w:r>
                        <w:r>
                          <w:rPr>
                            <w:lang w:val="zh-CN"/>
                          </w:rPr>
                          <w:t>39</w:t>
                        </w:r>
                        <w:r>
                          <w:fldChar w:fldCharType="end"/>
                        </w:r>
                      </w:p>
                    </w:sdtContent>
                  </w:sdt>
                  <w:p>
                    <w:pPr>
                      <w:pStyle w:val="3"/>
                    </w:pPr>
                  </w:p>
                </w:txbxContent>
              </v:textbox>
            </v:shape>
          </w:pict>
        </mc:Fallback>
      </mc:AlternateContent>
    </w:r>
  </w:p>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98"/>
    <w:multiLevelType w:val="multilevel"/>
    <w:tmpl w:val="0000009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53"/>
      <w:lvlText w:val="%1%2"/>
      <w:lvlJc w:val="left"/>
      <w:pPr>
        <w:tabs>
          <w:tab w:val="left" w:pos="360"/>
        </w:tabs>
        <w:ind w:left="0" w:firstLine="0"/>
      </w:pPr>
      <w:rPr>
        <w:rFonts w:hint="eastAsia" w:ascii="黑体" w:hAnsi="Times New Roman" w:eastAsia="黑体" w:cs="Times New Roman"/>
        <w:b/>
        <w:i w:val="0"/>
        <w:sz w:val="20"/>
      </w:rPr>
    </w:lvl>
    <w:lvl w:ilvl="2" w:tentative="0">
      <w:start w:val="1"/>
      <w:numFmt w:val="decimal"/>
      <w:pStyle w:val="52"/>
      <w:lvlText w:val="%1%2.%3"/>
      <w:lvlJc w:val="left"/>
      <w:pPr>
        <w:tabs>
          <w:tab w:val="left" w:pos="720"/>
        </w:tabs>
        <w:ind w:left="0" w:firstLine="0"/>
      </w:pPr>
      <w:rPr>
        <w:rFonts w:hint="eastAsia" w:ascii="黑体" w:hAnsi="Times New Roman" w:eastAsia="黑体" w:cs="Times New Roman"/>
        <w:b/>
        <w:i w:val="0"/>
        <w:sz w:val="20"/>
        <w:szCs w:val="20"/>
      </w:rPr>
    </w:lvl>
    <w:lvl w:ilvl="3" w:tentative="0">
      <w:start w:val="1"/>
      <w:numFmt w:val="decimal"/>
      <w:pStyle w:val="56"/>
      <w:lvlText w:val="%1%2.%3.%4"/>
      <w:lvlJc w:val="left"/>
      <w:pPr>
        <w:tabs>
          <w:tab w:val="left" w:pos="720"/>
        </w:tabs>
        <w:ind w:left="0" w:firstLine="0"/>
      </w:pPr>
      <w:rPr>
        <w:rFonts w:hint="default" w:ascii="Times New Roman" w:hAnsi="Times New Roman" w:eastAsia="黑体" w:cs="Times New Roman"/>
        <w:b w:val="0"/>
        <w:i w:val="0"/>
        <w:sz w:val="21"/>
      </w:rPr>
    </w:lvl>
    <w:lvl w:ilvl="4" w:tentative="0">
      <w:start w:val="1"/>
      <w:numFmt w:val="decimal"/>
      <w:pStyle w:val="55"/>
      <w:lvlText w:val="%2.%3.%4.%5"/>
      <w:lvlJc w:val="left"/>
      <w:pPr>
        <w:tabs>
          <w:tab w:val="left" w:pos="0"/>
        </w:tabs>
        <w:ind w:left="0" w:firstLine="0"/>
      </w:pPr>
      <w:rPr>
        <w:rFonts w:hint="default" w:ascii="Times New Roman" w:hAnsi="Times New Roman" w:eastAsia="宋体" w:cs="Times New Roman"/>
        <w:b w:val="0"/>
        <w:i w:val="0"/>
        <w:sz w:val="21"/>
      </w:rPr>
    </w:lvl>
    <w:lvl w:ilvl="5" w:tentative="0">
      <w:start w:val="1"/>
      <w:numFmt w:val="decimal"/>
      <w:pStyle w:val="54"/>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57"/>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1">
    <w:nsid w:val="000000FF"/>
    <w:multiLevelType w:val="multilevel"/>
    <w:tmpl w:val="000000FF"/>
    <w:lvl w:ilvl="0" w:tentative="0">
      <w:start w:val="1"/>
      <w:numFmt w:val="none"/>
      <w:suff w:val="nothing"/>
      <w:lvlText w:val=""/>
      <w:lvlJc w:val="left"/>
      <w:pPr>
        <w:ind w:left="420" w:firstLine="0"/>
      </w:pPr>
      <w:rPr>
        <w:rFonts w:hint="eastAsia" w:ascii="黑体" w:hAnsi="Times New Roman" w:eastAsia="黑体"/>
        <w:b/>
        <w:i w:val="0"/>
        <w:sz w:val="28"/>
      </w:rPr>
    </w:lvl>
    <w:lvl w:ilvl="1" w:tentative="0">
      <w:start w:val="1"/>
      <w:numFmt w:val="lowerLetter"/>
      <w:pStyle w:val="51"/>
      <w:suff w:val="nothing"/>
      <w:lvlText w:val="%1%2)  "/>
      <w:lvlJc w:val="left"/>
      <w:pPr>
        <w:ind w:left="420" w:hanging="420"/>
      </w:pPr>
      <w:rPr>
        <w:rFonts w:hint="eastAsia" w:ascii="黑体" w:hAnsi="Times New Roman" w:eastAsia="黑体"/>
        <w:b/>
        <w:i w:val="0"/>
        <w:sz w:val="21"/>
      </w:rPr>
    </w:lvl>
    <w:lvl w:ilvl="2" w:tentative="0">
      <w:start w:val="1"/>
      <w:numFmt w:val="decimal"/>
      <w:pStyle w:val="50"/>
      <w:suff w:val="nothing"/>
      <w:lvlText w:val="    %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420" w:firstLine="0"/>
      </w:pPr>
      <w:rPr>
        <w:rFonts w:hint="eastAsia" w:ascii="黑体" w:hAnsi="Times New Roman" w:eastAsia="黑体"/>
        <w:b/>
        <w:i w:val="0"/>
        <w:sz w:val="21"/>
      </w:rPr>
    </w:lvl>
    <w:lvl w:ilvl="4" w:tentative="0">
      <w:start w:val="1"/>
      <w:numFmt w:val="decimal"/>
      <w:lvlRestart w:val="2"/>
      <w:suff w:val="nothing"/>
      <w:lvlText w:val="%2.0.%5  "/>
      <w:lvlJc w:val="left"/>
      <w:pPr>
        <w:ind w:left="420" w:firstLine="0"/>
      </w:pPr>
      <w:rPr>
        <w:rFonts w:hint="eastAsia" w:ascii="黑体" w:hAnsi="Times New Roman" w:eastAsia="黑体"/>
        <w:b/>
        <w:i w:val="0"/>
        <w:sz w:val="21"/>
      </w:rPr>
    </w:lvl>
    <w:lvl w:ilvl="5" w:tentative="0">
      <w:start w:val="1"/>
      <w:numFmt w:val="decimal"/>
      <w:suff w:val="nothing"/>
      <w:lvlText w:val="      %6)  "/>
      <w:lvlJc w:val="left"/>
      <w:pPr>
        <w:ind w:left="1441" w:hanging="1021"/>
      </w:pPr>
      <w:rPr>
        <w:rFonts w:hint="eastAsia" w:ascii="黑体" w:hAnsi="Times New Roman" w:eastAsia="黑体"/>
        <w:b/>
        <w:i w:val="0"/>
        <w:sz w:val="21"/>
      </w:rPr>
    </w:lvl>
    <w:lvl w:ilvl="6" w:tentative="0">
      <w:start w:val="1"/>
      <w:numFmt w:val="decimal"/>
      <w:lvlRestart w:val="4"/>
      <w:suff w:val="nothing"/>
      <w:lvlText w:val="表 %2.%3.%4-%7  "/>
      <w:lvlJc w:val="left"/>
      <w:pPr>
        <w:ind w:left="420" w:firstLine="0"/>
      </w:pPr>
      <w:rPr>
        <w:rFonts w:hint="eastAsia" w:ascii="黑体" w:hAnsi="Times New Roman" w:eastAsia="黑体"/>
        <w:b/>
        <w:i w:val="0"/>
        <w:sz w:val="21"/>
      </w:rPr>
    </w:lvl>
    <w:lvl w:ilvl="7" w:tentative="0">
      <w:start w:val="1"/>
      <w:numFmt w:val="decimal"/>
      <w:lvlRestart w:val="4"/>
      <w:suff w:val="nothing"/>
      <w:lvlText w:val="图 %2.%3.%4-%8  "/>
      <w:lvlJc w:val="left"/>
      <w:pPr>
        <w:ind w:left="420" w:firstLine="0"/>
      </w:pPr>
      <w:rPr>
        <w:rFonts w:hint="eastAsia" w:ascii="黑体" w:eastAsia="黑体"/>
        <w:b/>
        <w:i w:val="0"/>
        <w:sz w:val="21"/>
      </w:rPr>
    </w:lvl>
    <w:lvl w:ilvl="8" w:tentative="0">
      <w:start w:val="1"/>
      <w:numFmt w:val="decimal"/>
      <w:lvlRestart w:val="5"/>
      <w:suff w:val="nothing"/>
      <w:lvlText w:val="    %9  "/>
      <w:lvlJc w:val="left"/>
      <w:pPr>
        <w:ind w:left="420" w:firstLine="0"/>
      </w:pPr>
      <w:rPr>
        <w:rFonts w:hint="eastAsia" w:ascii="黑体" w:hAnsi="华文细黑" w:eastAsia="黑体"/>
        <w:b/>
        <w:i w:val="0"/>
        <w:sz w:val="21"/>
      </w:rPr>
    </w:lvl>
  </w:abstractNum>
  <w:abstractNum w:abstractNumId="2">
    <w:nsid w:val="6883480C"/>
    <w:multiLevelType w:val="multilevel"/>
    <w:tmpl w:val="6883480C"/>
    <w:lvl w:ilvl="0" w:tentative="0">
      <w:start w:val="1"/>
      <w:numFmt w:val="decimal"/>
      <w:pStyle w:val="98"/>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QzZTI3MTA2MjhiZGFlZDE4Y2MxOGNkNjgwZjc5ZDUifQ=="/>
    <w:docVar w:name="KSO_WPS_MARK_KEY" w:val="a13b7d57-5287-4e19-866d-cc3ce6fa6100"/>
  </w:docVars>
  <w:rsids>
    <w:rsidRoot w:val="00F028FB"/>
    <w:rsid w:val="0000024A"/>
    <w:rsid w:val="00001EAA"/>
    <w:rsid w:val="000046A6"/>
    <w:rsid w:val="00011273"/>
    <w:rsid w:val="00027EBF"/>
    <w:rsid w:val="00041D7F"/>
    <w:rsid w:val="0004222E"/>
    <w:rsid w:val="00042B3B"/>
    <w:rsid w:val="00044753"/>
    <w:rsid w:val="00052133"/>
    <w:rsid w:val="000522D5"/>
    <w:rsid w:val="00053D85"/>
    <w:rsid w:val="000545F4"/>
    <w:rsid w:val="000652DE"/>
    <w:rsid w:val="00073479"/>
    <w:rsid w:val="0008173C"/>
    <w:rsid w:val="0009110D"/>
    <w:rsid w:val="000922C8"/>
    <w:rsid w:val="00092775"/>
    <w:rsid w:val="000A524F"/>
    <w:rsid w:val="000A5D6C"/>
    <w:rsid w:val="000B08F2"/>
    <w:rsid w:val="000B1190"/>
    <w:rsid w:val="000B5783"/>
    <w:rsid w:val="000B6E1D"/>
    <w:rsid w:val="000C2974"/>
    <w:rsid w:val="000C5A3E"/>
    <w:rsid w:val="000D063D"/>
    <w:rsid w:val="000D2217"/>
    <w:rsid w:val="000D79F7"/>
    <w:rsid w:val="000E68C1"/>
    <w:rsid w:val="000F1A25"/>
    <w:rsid w:val="000F440A"/>
    <w:rsid w:val="00100789"/>
    <w:rsid w:val="00101B2F"/>
    <w:rsid w:val="0010507A"/>
    <w:rsid w:val="0010637F"/>
    <w:rsid w:val="00106C27"/>
    <w:rsid w:val="001111E8"/>
    <w:rsid w:val="0011190D"/>
    <w:rsid w:val="00113529"/>
    <w:rsid w:val="00134F18"/>
    <w:rsid w:val="0013756E"/>
    <w:rsid w:val="001414C8"/>
    <w:rsid w:val="00141AF5"/>
    <w:rsid w:val="001424CD"/>
    <w:rsid w:val="00143E02"/>
    <w:rsid w:val="00145424"/>
    <w:rsid w:val="00147282"/>
    <w:rsid w:val="001501DA"/>
    <w:rsid w:val="0015207E"/>
    <w:rsid w:val="00152C6E"/>
    <w:rsid w:val="001672D2"/>
    <w:rsid w:val="001701C5"/>
    <w:rsid w:val="00170211"/>
    <w:rsid w:val="00171C36"/>
    <w:rsid w:val="00180C38"/>
    <w:rsid w:val="00181D18"/>
    <w:rsid w:val="00183571"/>
    <w:rsid w:val="001836E8"/>
    <w:rsid w:val="00184072"/>
    <w:rsid w:val="00187E40"/>
    <w:rsid w:val="001910DB"/>
    <w:rsid w:val="00191583"/>
    <w:rsid w:val="001971BD"/>
    <w:rsid w:val="00197E61"/>
    <w:rsid w:val="001A4B1C"/>
    <w:rsid w:val="001A5D74"/>
    <w:rsid w:val="001C1A17"/>
    <w:rsid w:val="001C5520"/>
    <w:rsid w:val="001C5665"/>
    <w:rsid w:val="001C5781"/>
    <w:rsid w:val="001D0A2F"/>
    <w:rsid w:val="001D30D2"/>
    <w:rsid w:val="001D5A27"/>
    <w:rsid w:val="001D6A8A"/>
    <w:rsid w:val="001D785D"/>
    <w:rsid w:val="001E1376"/>
    <w:rsid w:val="001E439D"/>
    <w:rsid w:val="001E563F"/>
    <w:rsid w:val="001F6841"/>
    <w:rsid w:val="00200D22"/>
    <w:rsid w:val="00201B1C"/>
    <w:rsid w:val="002026DF"/>
    <w:rsid w:val="00211056"/>
    <w:rsid w:val="00213194"/>
    <w:rsid w:val="00216B2D"/>
    <w:rsid w:val="0022124A"/>
    <w:rsid w:val="00223B74"/>
    <w:rsid w:val="00223FF0"/>
    <w:rsid w:val="00224C33"/>
    <w:rsid w:val="002273C8"/>
    <w:rsid w:val="00230158"/>
    <w:rsid w:val="002349DE"/>
    <w:rsid w:val="00235EC0"/>
    <w:rsid w:val="002375AC"/>
    <w:rsid w:val="0023778A"/>
    <w:rsid w:val="00240DFF"/>
    <w:rsid w:val="002424A7"/>
    <w:rsid w:val="0024370D"/>
    <w:rsid w:val="00243D06"/>
    <w:rsid w:val="00247B9F"/>
    <w:rsid w:val="002513DD"/>
    <w:rsid w:val="0025258A"/>
    <w:rsid w:val="00265751"/>
    <w:rsid w:val="00265CC9"/>
    <w:rsid w:val="00271423"/>
    <w:rsid w:val="00274E6C"/>
    <w:rsid w:val="00275328"/>
    <w:rsid w:val="002764F4"/>
    <w:rsid w:val="00277062"/>
    <w:rsid w:val="00277700"/>
    <w:rsid w:val="0028128D"/>
    <w:rsid w:val="00283664"/>
    <w:rsid w:val="00286BCF"/>
    <w:rsid w:val="00295997"/>
    <w:rsid w:val="002A3BAD"/>
    <w:rsid w:val="002B6F55"/>
    <w:rsid w:val="002C5D0F"/>
    <w:rsid w:val="002C7C8D"/>
    <w:rsid w:val="002D38FD"/>
    <w:rsid w:val="002E71ED"/>
    <w:rsid w:val="00305F59"/>
    <w:rsid w:val="003168D3"/>
    <w:rsid w:val="00317B26"/>
    <w:rsid w:val="00320DE7"/>
    <w:rsid w:val="00321332"/>
    <w:rsid w:val="003336FF"/>
    <w:rsid w:val="00347C96"/>
    <w:rsid w:val="003519FC"/>
    <w:rsid w:val="00354E49"/>
    <w:rsid w:val="00356C43"/>
    <w:rsid w:val="003627D0"/>
    <w:rsid w:val="00365EB7"/>
    <w:rsid w:val="00366DF2"/>
    <w:rsid w:val="00372341"/>
    <w:rsid w:val="0037442C"/>
    <w:rsid w:val="00383DE8"/>
    <w:rsid w:val="00386101"/>
    <w:rsid w:val="0039755E"/>
    <w:rsid w:val="00397864"/>
    <w:rsid w:val="003A0816"/>
    <w:rsid w:val="003B1996"/>
    <w:rsid w:val="003B6A28"/>
    <w:rsid w:val="003D6307"/>
    <w:rsid w:val="003E35B4"/>
    <w:rsid w:val="003F72C0"/>
    <w:rsid w:val="00400EE9"/>
    <w:rsid w:val="00401D51"/>
    <w:rsid w:val="0040443C"/>
    <w:rsid w:val="0041002C"/>
    <w:rsid w:val="0041728C"/>
    <w:rsid w:val="00423441"/>
    <w:rsid w:val="00423E30"/>
    <w:rsid w:val="00424EE3"/>
    <w:rsid w:val="00430667"/>
    <w:rsid w:val="00430D3F"/>
    <w:rsid w:val="00445C5B"/>
    <w:rsid w:val="00446194"/>
    <w:rsid w:val="004574E6"/>
    <w:rsid w:val="0046775E"/>
    <w:rsid w:val="00472F46"/>
    <w:rsid w:val="00473243"/>
    <w:rsid w:val="004764A9"/>
    <w:rsid w:val="0047696C"/>
    <w:rsid w:val="00476BC4"/>
    <w:rsid w:val="004912FF"/>
    <w:rsid w:val="0049223B"/>
    <w:rsid w:val="00495E4A"/>
    <w:rsid w:val="004A1E74"/>
    <w:rsid w:val="004A3CAA"/>
    <w:rsid w:val="004B1328"/>
    <w:rsid w:val="004C2D09"/>
    <w:rsid w:val="004C4029"/>
    <w:rsid w:val="004C4B3A"/>
    <w:rsid w:val="004C555C"/>
    <w:rsid w:val="004C7071"/>
    <w:rsid w:val="004E066B"/>
    <w:rsid w:val="004E16CE"/>
    <w:rsid w:val="004E2556"/>
    <w:rsid w:val="004E7FB1"/>
    <w:rsid w:val="004F18BF"/>
    <w:rsid w:val="004F4F53"/>
    <w:rsid w:val="005029BA"/>
    <w:rsid w:val="00505C4A"/>
    <w:rsid w:val="00522827"/>
    <w:rsid w:val="005231A9"/>
    <w:rsid w:val="0052542F"/>
    <w:rsid w:val="00531325"/>
    <w:rsid w:val="005323FC"/>
    <w:rsid w:val="00535571"/>
    <w:rsid w:val="00546BE6"/>
    <w:rsid w:val="00553B1E"/>
    <w:rsid w:val="00557CE8"/>
    <w:rsid w:val="0056159D"/>
    <w:rsid w:val="005634F9"/>
    <w:rsid w:val="005667A5"/>
    <w:rsid w:val="0056738E"/>
    <w:rsid w:val="00572EFF"/>
    <w:rsid w:val="005A4C89"/>
    <w:rsid w:val="005B31C2"/>
    <w:rsid w:val="005B6F16"/>
    <w:rsid w:val="005C08B9"/>
    <w:rsid w:val="005C2E75"/>
    <w:rsid w:val="005C5DF7"/>
    <w:rsid w:val="005C6372"/>
    <w:rsid w:val="005D6384"/>
    <w:rsid w:val="005E24DB"/>
    <w:rsid w:val="005E2DA5"/>
    <w:rsid w:val="005E4BD1"/>
    <w:rsid w:val="005E4EB2"/>
    <w:rsid w:val="005E67EF"/>
    <w:rsid w:val="005F2712"/>
    <w:rsid w:val="005F2847"/>
    <w:rsid w:val="005F2E27"/>
    <w:rsid w:val="005F4B29"/>
    <w:rsid w:val="005F7E4A"/>
    <w:rsid w:val="00602202"/>
    <w:rsid w:val="00602B37"/>
    <w:rsid w:val="00605C1C"/>
    <w:rsid w:val="00607064"/>
    <w:rsid w:val="006119E2"/>
    <w:rsid w:val="006149C7"/>
    <w:rsid w:val="00615A65"/>
    <w:rsid w:val="00621F3F"/>
    <w:rsid w:val="0062555F"/>
    <w:rsid w:val="0063502E"/>
    <w:rsid w:val="006436D4"/>
    <w:rsid w:val="006456BF"/>
    <w:rsid w:val="00650225"/>
    <w:rsid w:val="00652870"/>
    <w:rsid w:val="00653AFF"/>
    <w:rsid w:val="00654B30"/>
    <w:rsid w:val="0066591D"/>
    <w:rsid w:val="00671F85"/>
    <w:rsid w:val="00672AF9"/>
    <w:rsid w:val="00674F5F"/>
    <w:rsid w:val="006756BE"/>
    <w:rsid w:val="00677B11"/>
    <w:rsid w:val="00681A08"/>
    <w:rsid w:val="00682988"/>
    <w:rsid w:val="00687A87"/>
    <w:rsid w:val="00687BBE"/>
    <w:rsid w:val="006938C8"/>
    <w:rsid w:val="00697626"/>
    <w:rsid w:val="006A2245"/>
    <w:rsid w:val="006A5A47"/>
    <w:rsid w:val="006A6F1A"/>
    <w:rsid w:val="006B2237"/>
    <w:rsid w:val="006B67EE"/>
    <w:rsid w:val="006C13F6"/>
    <w:rsid w:val="006C475D"/>
    <w:rsid w:val="006C6467"/>
    <w:rsid w:val="006E1FC0"/>
    <w:rsid w:val="006E53A2"/>
    <w:rsid w:val="006E5C88"/>
    <w:rsid w:val="006F1CCD"/>
    <w:rsid w:val="006F520D"/>
    <w:rsid w:val="00700950"/>
    <w:rsid w:val="00701039"/>
    <w:rsid w:val="00703401"/>
    <w:rsid w:val="007069E4"/>
    <w:rsid w:val="00712CB0"/>
    <w:rsid w:val="00717034"/>
    <w:rsid w:val="007202DE"/>
    <w:rsid w:val="00723DD0"/>
    <w:rsid w:val="00734BAF"/>
    <w:rsid w:val="007412E3"/>
    <w:rsid w:val="0074688A"/>
    <w:rsid w:val="007500EA"/>
    <w:rsid w:val="007502C7"/>
    <w:rsid w:val="0075215B"/>
    <w:rsid w:val="00777084"/>
    <w:rsid w:val="0077749F"/>
    <w:rsid w:val="0077773B"/>
    <w:rsid w:val="00784BCF"/>
    <w:rsid w:val="00785C23"/>
    <w:rsid w:val="0079072C"/>
    <w:rsid w:val="007911BC"/>
    <w:rsid w:val="00794687"/>
    <w:rsid w:val="00797DF1"/>
    <w:rsid w:val="007A1E43"/>
    <w:rsid w:val="007A2E2C"/>
    <w:rsid w:val="007B6C99"/>
    <w:rsid w:val="007C799F"/>
    <w:rsid w:val="007D0D55"/>
    <w:rsid w:val="007D28A9"/>
    <w:rsid w:val="007D3826"/>
    <w:rsid w:val="007E05CE"/>
    <w:rsid w:val="007E1357"/>
    <w:rsid w:val="007E496B"/>
    <w:rsid w:val="007F0791"/>
    <w:rsid w:val="007F2D18"/>
    <w:rsid w:val="007F4C45"/>
    <w:rsid w:val="007F5932"/>
    <w:rsid w:val="007F6255"/>
    <w:rsid w:val="007F7699"/>
    <w:rsid w:val="0080563D"/>
    <w:rsid w:val="008105A3"/>
    <w:rsid w:val="00810B17"/>
    <w:rsid w:val="00812613"/>
    <w:rsid w:val="00814771"/>
    <w:rsid w:val="00816BD8"/>
    <w:rsid w:val="00825522"/>
    <w:rsid w:val="00827F38"/>
    <w:rsid w:val="008362BF"/>
    <w:rsid w:val="00840EA2"/>
    <w:rsid w:val="00845B64"/>
    <w:rsid w:val="00846BF7"/>
    <w:rsid w:val="00847E3C"/>
    <w:rsid w:val="008624CB"/>
    <w:rsid w:val="0086487D"/>
    <w:rsid w:val="00865181"/>
    <w:rsid w:val="008674B3"/>
    <w:rsid w:val="0086785D"/>
    <w:rsid w:val="008679BD"/>
    <w:rsid w:val="00874B5C"/>
    <w:rsid w:val="00876DD2"/>
    <w:rsid w:val="008824C3"/>
    <w:rsid w:val="0089313D"/>
    <w:rsid w:val="00893697"/>
    <w:rsid w:val="0089391D"/>
    <w:rsid w:val="00893BF1"/>
    <w:rsid w:val="008A1D80"/>
    <w:rsid w:val="008A3E8F"/>
    <w:rsid w:val="008B35F5"/>
    <w:rsid w:val="008C192A"/>
    <w:rsid w:val="008C57D0"/>
    <w:rsid w:val="008D49DB"/>
    <w:rsid w:val="008D7121"/>
    <w:rsid w:val="008D735A"/>
    <w:rsid w:val="008E0528"/>
    <w:rsid w:val="008E5A9B"/>
    <w:rsid w:val="008F384E"/>
    <w:rsid w:val="008F7444"/>
    <w:rsid w:val="008F7DA0"/>
    <w:rsid w:val="00902A30"/>
    <w:rsid w:val="0090420E"/>
    <w:rsid w:val="009062B4"/>
    <w:rsid w:val="00910875"/>
    <w:rsid w:val="00921D16"/>
    <w:rsid w:val="00927B95"/>
    <w:rsid w:val="00932644"/>
    <w:rsid w:val="0093310D"/>
    <w:rsid w:val="00943361"/>
    <w:rsid w:val="00946D75"/>
    <w:rsid w:val="00957F3F"/>
    <w:rsid w:val="00964FF9"/>
    <w:rsid w:val="00976754"/>
    <w:rsid w:val="009812DC"/>
    <w:rsid w:val="00984BDD"/>
    <w:rsid w:val="009911DA"/>
    <w:rsid w:val="009947F0"/>
    <w:rsid w:val="00995505"/>
    <w:rsid w:val="009A02A9"/>
    <w:rsid w:val="009A34B1"/>
    <w:rsid w:val="009A35B7"/>
    <w:rsid w:val="009B2DD8"/>
    <w:rsid w:val="009B456E"/>
    <w:rsid w:val="009C09D7"/>
    <w:rsid w:val="009C38D7"/>
    <w:rsid w:val="009D0D80"/>
    <w:rsid w:val="009D2084"/>
    <w:rsid w:val="009D400A"/>
    <w:rsid w:val="009F62D6"/>
    <w:rsid w:val="00A01F99"/>
    <w:rsid w:val="00A074B1"/>
    <w:rsid w:val="00A12EFB"/>
    <w:rsid w:val="00A17C20"/>
    <w:rsid w:val="00A22FAF"/>
    <w:rsid w:val="00A26CA5"/>
    <w:rsid w:val="00A3764A"/>
    <w:rsid w:val="00A37C3C"/>
    <w:rsid w:val="00A44538"/>
    <w:rsid w:val="00A46EB6"/>
    <w:rsid w:val="00A52DC6"/>
    <w:rsid w:val="00A52F9F"/>
    <w:rsid w:val="00A54DC2"/>
    <w:rsid w:val="00A60F4C"/>
    <w:rsid w:val="00A62C97"/>
    <w:rsid w:val="00A62D8E"/>
    <w:rsid w:val="00A71131"/>
    <w:rsid w:val="00A80841"/>
    <w:rsid w:val="00A9770B"/>
    <w:rsid w:val="00A97FF6"/>
    <w:rsid w:val="00AA1351"/>
    <w:rsid w:val="00AA5FDF"/>
    <w:rsid w:val="00AA74A6"/>
    <w:rsid w:val="00AB4E06"/>
    <w:rsid w:val="00AB6421"/>
    <w:rsid w:val="00AC6102"/>
    <w:rsid w:val="00AD17A1"/>
    <w:rsid w:val="00AD6B5B"/>
    <w:rsid w:val="00AE7530"/>
    <w:rsid w:val="00AF3F28"/>
    <w:rsid w:val="00AF733A"/>
    <w:rsid w:val="00B01F62"/>
    <w:rsid w:val="00B26593"/>
    <w:rsid w:val="00B338B8"/>
    <w:rsid w:val="00B35AF9"/>
    <w:rsid w:val="00B37E0B"/>
    <w:rsid w:val="00B43996"/>
    <w:rsid w:val="00B4564D"/>
    <w:rsid w:val="00B51777"/>
    <w:rsid w:val="00B51CEA"/>
    <w:rsid w:val="00B541AA"/>
    <w:rsid w:val="00B60124"/>
    <w:rsid w:val="00B64969"/>
    <w:rsid w:val="00B66225"/>
    <w:rsid w:val="00B72104"/>
    <w:rsid w:val="00B775B3"/>
    <w:rsid w:val="00B80C76"/>
    <w:rsid w:val="00B82EB6"/>
    <w:rsid w:val="00B833DB"/>
    <w:rsid w:val="00B86AEE"/>
    <w:rsid w:val="00B87FA6"/>
    <w:rsid w:val="00B9437B"/>
    <w:rsid w:val="00B949AB"/>
    <w:rsid w:val="00B953F8"/>
    <w:rsid w:val="00BA2D99"/>
    <w:rsid w:val="00BA3A01"/>
    <w:rsid w:val="00BC2EF3"/>
    <w:rsid w:val="00BC5CB6"/>
    <w:rsid w:val="00BD69A3"/>
    <w:rsid w:val="00BE2510"/>
    <w:rsid w:val="00BE3D7E"/>
    <w:rsid w:val="00BE404F"/>
    <w:rsid w:val="00BF18AA"/>
    <w:rsid w:val="00BF69A1"/>
    <w:rsid w:val="00C063D9"/>
    <w:rsid w:val="00C13B3C"/>
    <w:rsid w:val="00C24B8C"/>
    <w:rsid w:val="00C255F9"/>
    <w:rsid w:val="00C279C2"/>
    <w:rsid w:val="00C37AB0"/>
    <w:rsid w:val="00C41BED"/>
    <w:rsid w:val="00C60C69"/>
    <w:rsid w:val="00C65675"/>
    <w:rsid w:val="00C712B8"/>
    <w:rsid w:val="00C80546"/>
    <w:rsid w:val="00C84604"/>
    <w:rsid w:val="00C86DF8"/>
    <w:rsid w:val="00C90191"/>
    <w:rsid w:val="00C968B2"/>
    <w:rsid w:val="00C970B5"/>
    <w:rsid w:val="00C97FC4"/>
    <w:rsid w:val="00CA44BD"/>
    <w:rsid w:val="00CB09A0"/>
    <w:rsid w:val="00CB7960"/>
    <w:rsid w:val="00CC106C"/>
    <w:rsid w:val="00CC4244"/>
    <w:rsid w:val="00CC426D"/>
    <w:rsid w:val="00CD4409"/>
    <w:rsid w:val="00CE4866"/>
    <w:rsid w:val="00CF0DCE"/>
    <w:rsid w:val="00CF2B7E"/>
    <w:rsid w:val="00CF2F5A"/>
    <w:rsid w:val="00CF4C31"/>
    <w:rsid w:val="00CF5E34"/>
    <w:rsid w:val="00D05ED9"/>
    <w:rsid w:val="00D10060"/>
    <w:rsid w:val="00D11319"/>
    <w:rsid w:val="00D11A08"/>
    <w:rsid w:val="00D33898"/>
    <w:rsid w:val="00D52559"/>
    <w:rsid w:val="00D558DA"/>
    <w:rsid w:val="00D65C12"/>
    <w:rsid w:val="00D7269D"/>
    <w:rsid w:val="00D7456A"/>
    <w:rsid w:val="00D74EFE"/>
    <w:rsid w:val="00D75295"/>
    <w:rsid w:val="00D760B2"/>
    <w:rsid w:val="00D8229A"/>
    <w:rsid w:val="00D83DA2"/>
    <w:rsid w:val="00D84E6D"/>
    <w:rsid w:val="00D87811"/>
    <w:rsid w:val="00D945C8"/>
    <w:rsid w:val="00D959D3"/>
    <w:rsid w:val="00DA4759"/>
    <w:rsid w:val="00DA6A90"/>
    <w:rsid w:val="00DA745C"/>
    <w:rsid w:val="00DB0213"/>
    <w:rsid w:val="00DB2576"/>
    <w:rsid w:val="00DB6B9E"/>
    <w:rsid w:val="00DC32B9"/>
    <w:rsid w:val="00DD3BC1"/>
    <w:rsid w:val="00DD5AD2"/>
    <w:rsid w:val="00DE0105"/>
    <w:rsid w:val="00DE2A1A"/>
    <w:rsid w:val="00DF699D"/>
    <w:rsid w:val="00E018DA"/>
    <w:rsid w:val="00E02B7A"/>
    <w:rsid w:val="00E12E84"/>
    <w:rsid w:val="00E154C1"/>
    <w:rsid w:val="00E223EC"/>
    <w:rsid w:val="00E24F17"/>
    <w:rsid w:val="00E25286"/>
    <w:rsid w:val="00E258D4"/>
    <w:rsid w:val="00E27467"/>
    <w:rsid w:val="00E30EE9"/>
    <w:rsid w:val="00E32189"/>
    <w:rsid w:val="00E346BB"/>
    <w:rsid w:val="00E35CCE"/>
    <w:rsid w:val="00E42C8C"/>
    <w:rsid w:val="00E55BA5"/>
    <w:rsid w:val="00E55BD6"/>
    <w:rsid w:val="00E56F9D"/>
    <w:rsid w:val="00E60763"/>
    <w:rsid w:val="00E61CCE"/>
    <w:rsid w:val="00E63B56"/>
    <w:rsid w:val="00E7794C"/>
    <w:rsid w:val="00E84689"/>
    <w:rsid w:val="00E961E9"/>
    <w:rsid w:val="00E96FE2"/>
    <w:rsid w:val="00EA758B"/>
    <w:rsid w:val="00EB1D0B"/>
    <w:rsid w:val="00EB5A73"/>
    <w:rsid w:val="00EB68BE"/>
    <w:rsid w:val="00EB7541"/>
    <w:rsid w:val="00EC01E9"/>
    <w:rsid w:val="00EC03AF"/>
    <w:rsid w:val="00EC3557"/>
    <w:rsid w:val="00EC3B5C"/>
    <w:rsid w:val="00EC4AFA"/>
    <w:rsid w:val="00EC65F6"/>
    <w:rsid w:val="00ED0545"/>
    <w:rsid w:val="00ED0F4B"/>
    <w:rsid w:val="00ED39C4"/>
    <w:rsid w:val="00ED6725"/>
    <w:rsid w:val="00EE5DD9"/>
    <w:rsid w:val="00EF10EE"/>
    <w:rsid w:val="00EF24C7"/>
    <w:rsid w:val="00EF3315"/>
    <w:rsid w:val="00F028FB"/>
    <w:rsid w:val="00F11F1C"/>
    <w:rsid w:val="00F143AE"/>
    <w:rsid w:val="00F14EBC"/>
    <w:rsid w:val="00F20A89"/>
    <w:rsid w:val="00F323C3"/>
    <w:rsid w:val="00F33A89"/>
    <w:rsid w:val="00F36CED"/>
    <w:rsid w:val="00F40182"/>
    <w:rsid w:val="00F41312"/>
    <w:rsid w:val="00F4309F"/>
    <w:rsid w:val="00F440B6"/>
    <w:rsid w:val="00F5001D"/>
    <w:rsid w:val="00F5112C"/>
    <w:rsid w:val="00F539F5"/>
    <w:rsid w:val="00F63DD8"/>
    <w:rsid w:val="00F81D5A"/>
    <w:rsid w:val="00F85AF4"/>
    <w:rsid w:val="00F9094A"/>
    <w:rsid w:val="00F96125"/>
    <w:rsid w:val="00FA2129"/>
    <w:rsid w:val="00FA40BB"/>
    <w:rsid w:val="00FB142A"/>
    <w:rsid w:val="00FB3F7A"/>
    <w:rsid w:val="00FB7647"/>
    <w:rsid w:val="00FC0EA1"/>
    <w:rsid w:val="00FC271E"/>
    <w:rsid w:val="00FD0755"/>
    <w:rsid w:val="00FD0F9F"/>
    <w:rsid w:val="00FD250A"/>
    <w:rsid w:val="00FD3E68"/>
    <w:rsid w:val="00FE4A02"/>
    <w:rsid w:val="00FE7884"/>
    <w:rsid w:val="00FE7D03"/>
    <w:rsid w:val="014538BE"/>
    <w:rsid w:val="01581DE5"/>
    <w:rsid w:val="01C94589"/>
    <w:rsid w:val="01E822E4"/>
    <w:rsid w:val="01EB79CB"/>
    <w:rsid w:val="020134AA"/>
    <w:rsid w:val="022A49B8"/>
    <w:rsid w:val="023E20FC"/>
    <w:rsid w:val="028B7134"/>
    <w:rsid w:val="029456A5"/>
    <w:rsid w:val="0348161B"/>
    <w:rsid w:val="03577A2F"/>
    <w:rsid w:val="03713C6D"/>
    <w:rsid w:val="039E565E"/>
    <w:rsid w:val="03E46C6F"/>
    <w:rsid w:val="040826C1"/>
    <w:rsid w:val="04353F4F"/>
    <w:rsid w:val="04504BAA"/>
    <w:rsid w:val="04AF4FC9"/>
    <w:rsid w:val="04D36A97"/>
    <w:rsid w:val="04F50227"/>
    <w:rsid w:val="05605769"/>
    <w:rsid w:val="05621471"/>
    <w:rsid w:val="056F1060"/>
    <w:rsid w:val="05707FA8"/>
    <w:rsid w:val="05880232"/>
    <w:rsid w:val="05C03809"/>
    <w:rsid w:val="06230E50"/>
    <w:rsid w:val="062533F6"/>
    <w:rsid w:val="066873B5"/>
    <w:rsid w:val="06872661"/>
    <w:rsid w:val="068F0FF0"/>
    <w:rsid w:val="06D5105D"/>
    <w:rsid w:val="06E56E50"/>
    <w:rsid w:val="074B323A"/>
    <w:rsid w:val="075B0AA8"/>
    <w:rsid w:val="07767C8F"/>
    <w:rsid w:val="07935918"/>
    <w:rsid w:val="07F42FE9"/>
    <w:rsid w:val="08115ED9"/>
    <w:rsid w:val="08203426"/>
    <w:rsid w:val="083210FA"/>
    <w:rsid w:val="0874687F"/>
    <w:rsid w:val="08CF5356"/>
    <w:rsid w:val="08DF47BB"/>
    <w:rsid w:val="08F55B75"/>
    <w:rsid w:val="09735957"/>
    <w:rsid w:val="09945539"/>
    <w:rsid w:val="099A2404"/>
    <w:rsid w:val="09AD6C7F"/>
    <w:rsid w:val="09E65669"/>
    <w:rsid w:val="0A3F1837"/>
    <w:rsid w:val="0A6A34C4"/>
    <w:rsid w:val="0AC70955"/>
    <w:rsid w:val="0ACB1AB0"/>
    <w:rsid w:val="0AE136ED"/>
    <w:rsid w:val="0B6321E1"/>
    <w:rsid w:val="0B694084"/>
    <w:rsid w:val="0B6D50FE"/>
    <w:rsid w:val="0B8E2F2C"/>
    <w:rsid w:val="0BA5204E"/>
    <w:rsid w:val="0BC0201B"/>
    <w:rsid w:val="0BF306E7"/>
    <w:rsid w:val="0C017AAB"/>
    <w:rsid w:val="0C260C03"/>
    <w:rsid w:val="0C52649A"/>
    <w:rsid w:val="0C553808"/>
    <w:rsid w:val="0C5E4087"/>
    <w:rsid w:val="0C7F6071"/>
    <w:rsid w:val="0C8109E8"/>
    <w:rsid w:val="0C9F06F1"/>
    <w:rsid w:val="0CB523AD"/>
    <w:rsid w:val="0D516D74"/>
    <w:rsid w:val="0D811899"/>
    <w:rsid w:val="0D83617F"/>
    <w:rsid w:val="0DAE729F"/>
    <w:rsid w:val="0DDA4492"/>
    <w:rsid w:val="0DDC4816"/>
    <w:rsid w:val="0DEF3BD2"/>
    <w:rsid w:val="0DF27914"/>
    <w:rsid w:val="0DF3365B"/>
    <w:rsid w:val="0E605A42"/>
    <w:rsid w:val="0E6B25E0"/>
    <w:rsid w:val="0EA765D8"/>
    <w:rsid w:val="0EA91092"/>
    <w:rsid w:val="0EAF2C06"/>
    <w:rsid w:val="0ECF46D5"/>
    <w:rsid w:val="0ED02240"/>
    <w:rsid w:val="0EF064E4"/>
    <w:rsid w:val="0EF73EE7"/>
    <w:rsid w:val="0F0A3B4E"/>
    <w:rsid w:val="0F252E43"/>
    <w:rsid w:val="0F514A4E"/>
    <w:rsid w:val="0F671D15"/>
    <w:rsid w:val="0F7C45F0"/>
    <w:rsid w:val="0F852FE9"/>
    <w:rsid w:val="0F8C7557"/>
    <w:rsid w:val="0FD141B5"/>
    <w:rsid w:val="10387D13"/>
    <w:rsid w:val="10411DE1"/>
    <w:rsid w:val="10443FEE"/>
    <w:rsid w:val="108160EB"/>
    <w:rsid w:val="10C552AD"/>
    <w:rsid w:val="10D66428"/>
    <w:rsid w:val="10D97CD5"/>
    <w:rsid w:val="10E967B8"/>
    <w:rsid w:val="112C53E1"/>
    <w:rsid w:val="115E7EA9"/>
    <w:rsid w:val="11641C95"/>
    <w:rsid w:val="117B240F"/>
    <w:rsid w:val="11893A84"/>
    <w:rsid w:val="119430DF"/>
    <w:rsid w:val="11F86C31"/>
    <w:rsid w:val="1213336C"/>
    <w:rsid w:val="12842D03"/>
    <w:rsid w:val="12A5136F"/>
    <w:rsid w:val="12A968EF"/>
    <w:rsid w:val="12AF6000"/>
    <w:rsid w:val="12B039EC"/>
    <w:rsid w:val="133A09E4"/>
    <w:rsid w:val="13525E00"/>
    <w:rsid w:val="13686085"/>
    <w:rsid w:val="13A710FA"/>
    <w:rsid w:val="13DBFB82"/>
    <w:rsid w:val="13DF4C93"/>
    <w:rsid w:val="13EE12C2"/>
    <w:rsid w:val="13F9686D"/>
    <w:rsid w:val="14E12ADA"/>
    <w:rsid w:val="15245D06"/>
    <w:rsid w:val="15516AE8"/>
    <w:rsid w:val="155400DE"/>
    <w:rsid w:val="1580010C"/>
    <w:rsid w:val="15887945"/>
    <w:rsid w:val="15AC1B03"/>
    <w:rsid w:val="160471DB"/>
    <w:rsid w:val="162474CE"/>
    <w:rsid w:val="1631701A"/>
    <w:rsid w:val="163C399A"/>
    <w:rsid w:val="16930F3A"/>
    <w:rsid w:val="16CC7A92"/>
    <w:rsid w:val="16D20BBA"/>
    <w:rsid w:val="17247B10"/>
    <w:rsid w:val="175207E1"/>
    <w:rsid w:val="17736DE3"/>
    <w:rsid w:val="17C46A8A"/>
    <w:rsid w:val="17D1740D"/>
    <w:rsid w:val="17E04E2E"/>
    <w:rsid w:val="180B4373"/>
    <w:rsid w:val="18125238"/>
    <w:rsid w:val="18463EA2"/>
    <w:rsid w:val="18470CF5"/>
    <w:rsid w:val="187E3CD6"/>
    <w:rsid w:val="18AF4BE5"/>
    <w:rsid w:val="18F42F8A"/>
    <w:rsid w:val="193F4955"/>
    <w:rsid w:val="19615486"/>
    <w:rsid w:val="1977414E"/>
    <w:rsid w:val="199F4BCF"/>
    <w:rsid w:val="19BD361F"/>
    <w:rsid w:val="19D3239C"/>
    <w:rsid w:val="1A010F4D"/>
    <w:rsid w:val="1A3F3C40"/>
    <w:rsid w:val="1A4A6F18"/>
    <w:rsid w:val="1A680207"/>
    <w:rsid w:val="1A9E1ABF"/>
    <w:rsid w:val="1AAD645B"/>
    <w:rsid w:val="1ACE017F"/>
    <w:rsid w:val="1B227943"/>
    <w:rsid w:val="1B241ADD"/>
    <w:rsid w:val="1B49788A"/>
    <w:rsid w:val="1B8134F5"/>
    <w:rsid w:val="1BA16C5B"/>
    <w:rsid w:val="1C106923"/>
    <w:rsid w:val="1C6E3FA7"/>
    <w:rsid w:val="1C7F76DE"/>
    <w:rsid w:val="1C890E39"/>
    <w:rsid w:val="1C8B2BA7"/>
    <w:rsid w:val="1D412577"/>
    <w:rsid w:val="1D7756A4"/>
    <w:rsid w:val="1DB5338B"/>
    <w:rsid w:val="1DBA3BCA"/>
    <w:rsid w:val="1DD65420"/>
    <w:rsid w:val="1DDD36E9"/>
    <w:rsid w:val="1DF727AA"/>
    <w:rsid w:val="1DFC32A7"/>
    <w:rsid w:val="1E044E54"/>
    <w:rsid w:val="1E0B4512"/>
    <w:rsid w:val="1E1705D1"/>
    <w:rsid w:val="1F7C7C5D"/>
    <w:rsid w:val="1FAD141F"/>
    <w:rsid w:val="1FDE0E64"/>
    <w:rsid w:val="1FE807F4"/>
    <w:rsid w:val="1FED34B7"/>
    <w:rsid w:val="1FF97535"/>
    <w:rsid w:val="204939D6"/>
    <w:rsid w:val="205621F7"/>
    <w:rsid w:val="20865A1C"/>
    <w:rsid w:val="209B10A9"/>
    <w:rsid w:val="20B52C13"/>
    <w:rsid w:val="20F21E37"/>
    <w:rsid w:val="21400304"/>
    <w:rsid w:val="214B42D7"/>
    <w:rsid w:val="214E00F0"/>
    <w:rsid w:val="21A42791"/>
    <w:rsid w:val="21BD1870"/>
    <w:rsid w:val="21CE180C"/>
    <w:rsid w:val="21D07930"/>
    <w:rsid w:val="21D123BA"/>
    <w:rsid w:val="22155086"/>
    <w:rsid w:val="22282960"/>
    <w:rsid w:val="228757E3"/>
    <w:rsid w:val="228B68C7"/>
    <w:rsid w:val="22B81E40"/>
    <w:rsid w:val="23027F17"/>
    <w:rsid w:val="235037D1"/>
    <w:rsid w:val="23627062"/>
    <w:rsid w:val="237A0CA6"/>
    <w:rsid w:val="23803CE2"/>
    <w:rsid w:val="23C80FDD"/>
    <w:rsid w:val="23D33B36"/>
    <w:rsid w:val="24067475"/>
    <w:rsid w:val="242121E0"/>
    <w:rsid w:val="249A4D83"/>
    <w:rsid w:val="251826F8"/>
    <w:rsid w:val="2562673B"/>
    <w:rsid w:val="256A2ECE"/>
    <w:rsid w:val="256C34B2"/>
    <w:rsid w:val="25A34073"/>
    <w:rsid w:val="25AE0FD0"/>
    <w:rsid w:val="25D63756"/>
    <w:rsid w:val="260809E9"/>
    <w:rsid w:val="26186849"/>
    <w:rsid w:val="262F0AD0"/>
    <w:rsid w:val="26680BCC"/>
    <w:rsid w:val="26794B4B"/>
    <w:rsid w:val="268816D1"/>
    <w:rsid w:val="268D07CE"/>
    <w:rsid w:val="26CA2D50"/>
    <w:rsid w:val="26D3650A"/>
    <w:rsid w:val="26F45FB4"/>
    <w:rsid w:val="26F767D8"/>
    <w:rsid w:val="27063307"/>
    <w:rsid w:val="27444241"/>
    <w:rsid w:val="275024C4"/>
    <w:rsid w:val="27C56D0C"/>
    <w:rsid w:val="27DD14F6"/>
    <w:rsid w:val="27F96C00"/>
    <w:rsid w:val="27FA2B24"/>
    <w:rsid w:val="28175DE8"/>
    <w:rsid w:val="283539BB"/>
    <w:rsid w:val="289D1C22"/>
    <w:rsid w:val="28BF101B"/>
    <w:rsid w:val="28C459C8"/>
    <w:rsid w:val="28E41437"/>
    <w:rsid w:val="28E5558B"/>
    <w:rsid w:val="28EA3125"/>
    <w:rsid w:val="290C6FDC"/>
    <w:rsid w:val="29213C5B"/>
    <w:rsid w:val="29512C4D"/>
    <w:rsid w:val="29592D82"/>
    <w:rsid w:val="29C54D67"/>
    <w:rsid w:val="29DF1B7A"/>
    <w:rsid w:val="29F064F6"/>
    <w:rsid w:val="2A321EC1"/>
    <w:rsid w:val="2A476616"/>
    <w:rsid w:val="2A613095"/>
    <w:rsid w:val="2A6B0125"/>
    <w:rsid w:val="2B44327F"/>
    <w:rsid w:val="2B523590"/>
    <w:rsid w:val="2B6F5066"/>
    <w:rsid w:val="2BD00B97"/>
    <w:rsid w:val="2BDA6B7F"/>
    <w:rsid w:val="2BE048B5"/>
    <w:rsid w:val="2C315CC7"/>
    <w:rsid w:val="2C554743"/>
    <w:rsid w:val="2C7E3E48"/>
    <w:rsid w:val="2CD551A0"/>
    <w:rsid w:val="2CEB7679"/>
    <w:rsid w:val="2CFE3491"/>
    <w:rsid w:val="2D711F8E"/>
    <w:rsid w:val="2D7F1B49"/>
    <w:rsid w:val="2D9569B5"/>
    <w:rsid w:val="2D967EBA"/>
    <w:rsid w:val="2DC51454"/>
    <w:rsid w:val="2DE63641"/>
    <w:rsid w:val="2E074870"/>
    <w:rsid w:val="2E262242"/>
    <w:rsid w:val="2E2A4465"/>
    <w:rsid w:val="2E794707"/>
    <w:rsid w:val="2E836D65"/>
    <w:rsid w:val="2E944192"/>
    <w:rsid w:val="2EBE238B"/>
    <w:rsid w:val="2EC662A1"/>
    <w:rsid w:val="2EE50797"/>
    <w:rsid w:val="2EE637A2"/>
    <w:rsid w:val="2EF51025"/>
    <w:rsid w:val="2F0C3BC8"/>
    <w:rsid w:val="2F6F6C75"/>
    <w:rsid w:val="2F9C3AF8"/>
    <w:rsid w:val="2F9F0C94"/>
    <w:rsid w:val="2FA67613"/>
    <w:rsid w:val="2FE916AC"/>
    <w:rsid w:val="301F724E"/>
    <w:rsid w:val="302D048E"/>
    <w:rsid w:val="302E10E4"/>
    <w:rsid w:val="304300F8"/>
    <w:rsid w:val="30566028"/>
    <w:rsid w:val="305C6F8D"/>
    <w:rsid w:val="30A21A3A"/>
    <w:rsid w:val="30B238A0"/>
    <w:rsid w:val="30B50A45"/>
    <w:rsid w:val="30B6432E"/>
    <w:rsid w:val="3115442A"/>
    <w:rsid w:val="31254DC1"/>
    <w:rsid w:val="31523460"/>
    <w:rsid w:val="31B05FAE"/>
    <w:rsid w:val="31DC5726"/>
    <w:rsid w:val="321B2412"/>
    <w:rsid w:val="32417408"/>
    <w:rsid w:val="325B17FA"/>
    <w:rsid w:val="328E04C8"/>
    <w:rsid w:val="32CB22D2"/>
    <w:rsid w:val="32CE6B16"/>
    <w:rsid w:val="32DF4DBC"/>
    <w:rsid w:val="32E85F2C"/>
    <w:rsid w:val="330234B1"/>
    <w:rsid w:val="3307457A"/>
    <w:rsid w:val="333444BA"/>
    <w:rsid w:val="33644B6C"/>
    <w:rsid w:val="33815131"/>
    <w:rsid w:val="33AB1057"/>
    <w:rsid w:val="33B8167C"/>
    <w:rsid w:val="33D50ECD"/>
    <w:rsid w:val="34003264"/>
    <w:rsid w:val="343135A8"/>
    <w:rsid w:val="3444658B"/>
    <w:rsid w:val="348A5C35"/>
    <w:rsid w:val="349D5435"/>
    <w:rsid w:val="34DA355B"/>
    <w:rsid w:val="34DC69E2"/>
    <w:rsid w:val="35051E84"/>
    <w:rsid w:val="351E142A"/>
    <w:rsid w:val="35531BEF"/>
    <w:rsid w:val="35546891"/>
    <w:rsid w:val="355B5E30"/>
    <w:rsid w:val="35845926"/>
    <w:rsid w:val="35E74E10"/>
    <w:rsid w:val="36124F80"/>
    <w:rsid w:val="362551E1"/>
    <w:rsid w:val="3652234A"/>
    <w:rsid w:val="366D4C0B"/>
    <w:rsid w:val="367C375D"/>
    <w:rsid w:val="36B369DE"/>
    <w:rsid w:val="36DE7C08"/>
    <w:rsid w:val="373830F8"/>
    <w:rsid w:val="375E4232"/>
    <w:rsid w:val="376E6CD5"/>
    <w:rsid w:val="37C4498C"/>
    <w:rsid w:val="37DB4820"/>
    <w:rsid w:val="37E96018"/>
    <w:rsid w:val="37F43748"/>
    <w:rsid w:val="384D0210"/>
    <w:rsid w:val="384F77CD"/>
    <w:rsid w:val="38545D10"/>
    <w:rsid w:val="38662931"/>
    <w:rsid w:val="386D3CC7"/>
    <w:rsid w:val="3892031E"/>
    <w:rsid w:val="38C45110"/>
    <w:rsid w:val="38ED6392"/>
    <w:rsid w:val="390362EA"/>
    <w:rsid w:val="39183B69"/>
    <w:rsid w:val="393F16DF"/>
    <w:rsid w:val="395879F1"/>
    <w:rsid w:val="395E6897"/>
    <w:rsid w:val="39B10DA0"/>
    <w:rsid w:val="39B60304"/>
    <w:rsid w:val="39DF0648"/>
    <w:rsid w:val="39E56049"/>
    <w:rsid w:val="39F87DDA"/>
    <w:rsid w:val="3A137505"/>
    <w:rsid w:val="3A1D418F"/>
    <w:rsid w:val="3A213D95"/>
    <w:rsid w:val="3A5C70FE"/>
    <w:rsid w:val="3A6A369B"/>
    <w:rsid w:val="3A9D05A1"/>
    <w:rsid w:val="3AA46CD1"/>
    <w:rsid w:val="3AAE6DBC"/>
    <w:rsid w:val="3ACC1461"/>
    <w:rsid w:val="3AF234FB"/>
    <w:rsid w:val="3B156174"/>
    <w:rsid w:val="3B4A1A3E"/>
    <w:rsid w:val="3B4A29FE"/>
    <w:rsid w:val="3B511126"/>
    <w:rsid w:val="3B655FBE"/>
    <w:rsid w:val="3BC37566"/>
    <w:rsid w:val="3BDF2028"/>
    <w:rsid w:val="3C2A157C"/>
    <w:rsid w:val="3C607674"/>
    <w:rsid w:val="3C796F68"/>
    <w:rsid w:val="3C932AE9"/>
    <w:rsid w:val="3C997BB8"/>
    <w:rsid w:val="3CB921E0"/>
    <w:rsid w:val="3CBA7A8C"/>
    <w:rsid w:val="3CBB592C"/>
    <w:rsid w:val="3CBF5346"/>
    <w:rsid w:val="3CDB15CF"/>
    <w:rsid w:val="3CF17875"/>
    <w:rsid w:val="3CFC0B7B"/>
    <w:rsid w:val="3CFD70F5"/>
    <w:rsid w:val="3D0E511E"/>
    <w:rsid w:val="3D14125C"/>
    <w:rsid w:val="3D1F06AD"/>
    <w:rsid w:val="3D523307"/>
    <w:rsid w:val="3D5E6D7A"/>
    <w:rsid w:val="3D8728B8"/>
    <w:rsid w:val="3DA336B6"/>
    <w:rsid w:val="3DBE042D"/>
    <w:rsid w:val="3DF16BF9"/>
    <w:rsid w:val="3E360AF0"/>
    <w:rsid w:val="3E3C384D"/>
    <w:rsid w:val="3E543D71"/>
    <w:rsid w:val="3E6C5024"/>
    <w:rsid w:val="3E833AE5"/>
    <w:rsid w:val="3E9B6D98"/>
    <w:rsid w:val="3EE02302"/>
    <w:rsid w:val="3EE40EEC"/>
    <w:rsid w:val="3EE42355"/>
    <w:rsid w:val="3FAA090B"/>
    <w:rsid w:val="3FDF1A6B"/>
    <w:rsid w:val="3FE25F20"/>
    <w:rsid w:val="3FF37F4F"/>
    <w:rsid w:val="401B65C6"/>
    <w:rsid w:val="40251C04"/>
    <w:rsid w:val="403527CC"/>
    <w:rsid w:val="40723A94"/>
    <w:rsid w:val="40741142"/>
    <w:rsid w:val="4074437E"/>
    <w:rsid w:val="4078096E"/>
    <w:rsid w:val="409C1E13"/>
    <w:rsid w:val="40A36FCC"/>
    <w:rsid w:val="40AB69E9"/>
    <w:rsid w:val="40B133AB"/>
    <w:rsid w:val="40E34A44"/>
    <w:rsid w:val="41192FC0"/>
    <w:rsid w:val="41344C53"/>
    <w:rsid w:val="41793629"/>
    <w:rsid w:val="419F2719"/>
    <w:rsid w:val="41C54703"/>
    <w:rsid w:val="4208676F"/>
    <w:rsid w:val="423579D1"/>
    <w:rsid w:val="424343F7"/>
    <w:rsid w:val="42654155"/>
    <w:rsid w:val="427C4CBB"/>
    <w:rsid w:val="429C55C3"/>
    <w:rsid w:val="42AA790E"/>
    <w:rsid w:val="42BB7A43"/>
    <w:rsid w:val="42F223AD"/>
    <w:rsid w:val="42F47904"/>
    <w:rsid w:val="43426EF0"/>
    <w:rsid w:val="43667828"/>
    <w:rsid w:val="436A5D68"/>
    <w:rsid w:val="437B4D47"/>
    <w:rsid w:val="4381172B"/>
    <w:rsid w:val="443D7CDF"/>
    <w:rsid w:val="44652587"/>
    <w:rsid w:val="447529CB"/>
    <w:rsid w:val="44B33216"/>
    <w:rsid w:val="44BA3517"/>
    <w:rsid w:val="44D61905"/>
    <w:rsid w:val="44F606BC"/>
    <w:rsid w:val="45324937"/>
    <w:rsid w:val="45551317"/>
    <w:rsid w:val="45833790"/>
    <w:rsid w:val="45C2324B"/>
    <w:rsid w:val="46103DBF"/>
    <w:rsid w:val="46162FCB"/>
    <w:rsid w:val="4627121C"/>
    <w:rsid w:val="46314844"/>
    <w:rsid w:val="468E77D6"/>
    <w:rsid w:val="46F17D02"/>
    <w:rsid w:val="46F6371E"/>
    <w:rsid w:val="4702443D"/>
    <w:rsid w:val="47182ABE"/>
    <w:rsid w:val="479B1F7B"/>
    <w:rsid w:val="47A1656C"/>
    <w:rsid w:val="47A16E34"/>
    <w:rsid w:val="47C73AAB"/>
    <w:rsid w:val="47D46525"/>
    <w:rsid w:val="47DB18CA"/>
    <w:rsid w:val="47DF074B"/>
    <w:rsid w:val="482D011C"/>
    <w:rsid w:val="484D3B9A"/>
    <w:rsid w:val="485575AB"/>
    <w:rsid w:val="486D24D6"/>
    <w:rsid w:val="49150CCE"/>
    <w:rsid w:val="49264982"/>
    <w:rsid w:val="493846DA"/>
    <w:rsid w:val="495F7F55"/>
    <w:rsid w:val="49773D81"/>
    <w:rsid w:val="499C61E7"/>
    <w:rsid w:val="49B275D7"/>
    <w:rsid w:val="49E15727"/>
    <w:rsid w:val="4A6B7109"/>
    <w:rsid w:val="4A6D2B1B"/>
    <w:rsid w:val="4A821A6C"/>
    <w:rsid w:val="4A8660AA"/>
    <w:rsid w:val="4AC60F4C"/>
    <w:rsid w:val="4B0E15F0"/>
    <w:rsid w:val="4B180E1F"/>
    <w:rsid w:val="4B4166D3"/>
    <w:rsid w:val="4B4755C6"/>
    <w:rsid w:val="4B865F03"/>
    <w:rsid w:val="4B934D9D"/>
    <w:rsid w:val="4BDF7906"/>
    <w:rsid w:val="4BF929FE"/>
    <w:rsid w:val="4C1F525F"/>
    <w:rsid w:val="4C333C43"/>
    <w:rsid w:val="4CA82465"/>
    <w:rsid w:val="4CD04FF7"/>
    <w:rsid w:val="4CD1799D"/>
    <w:rsid w:val="4CDC6076"/>
    <w:rsid w:val="4D4B6FE7"/>
    <w:rsid w:val="4DCE3209"/>
    <w:rsid w:val="4DED539D"/>
    <w:rsid w:val="4E305009"/>
    <w:rsid w:val="4E307EB2"/>
    <w:rsid w:val="4E3C4E59"/>
    <w:rsid w:val="4E696E36"/>
    <w:rsid w:val="4E9342BB"/>
    <w:rsid w:val="4E994025"/>
    <w:rsid w:val="4F3F4BCC"/>
    <w:rsid w:val="4FAB3AB9"/>
    <w:rsid w:val="4FBD5B92"/>
    <w:rsid w:val="4FC77524"/>
    <w:rsid w:val="50207F24"/>
    <w:rsid w:val="504601DC"/>
    <w:rsid w:val="504776FA"/>
    <w:rsid w:val="50EE105E"/>
    <w:rsid w:val="50FC7299"/>
    <w:rsid w:val="51090712"/>
    <w:rsid w:val="51443DB3"/>
    <w:rsid w:val="51561A17"/>
    <w:rsid w:val="51B63E74"/>
    <w:rsid w:val="51BE51EC"/>
    <w:rsid w:val="51E541F9"/>
    <w:rsid w:val="51EC7AEB"/>
    <w:rsid w:val="51FB43B8"/>
    <w:rsid w:val="52043710"/>
    <w:rsid w:val="52A631B4"/>
    <w:rsid w:val="52D8553F"/>
    <w:rsid w:val="52FB4353"/>
    <w:rsid w:val="534C7892"/>
    <w:rsid w:val="53566988"/>
    <w:rsid w:val="53584873"/>
    <w:rsid w:val="53A75428"/>
    <w:rsid w:val="53F22E6E"/>
    <w:rsid w:val="53FD1767"/>
    <w:rsid w:val="54396291"/>
    <w:rsid w:val="544818EA"/>
    <w:rsid w:val="544B67BA"/>
    <w:rsid w:val="54875601"/>
    <w:rsid w:val="55313C82"/>
    <w:rsid w:val="55321953"/>
    <w:rsid w:val="553C5568"/>
    <w:rsid w:val="55517327"/>
    <w:rsid w:val="55702059"/>
    <w:rsid w:val="558305F6"/>
    <w:rsid w:val="55833E84"/>
    <w:rsid w:val="55AD5E19"/>
    <w:rsid w:val="55C960B5"/>
    <w:rsid w:val="56003601"/>
    <w:rsid w:val="560A57B1"/>
    <w:rsid w:val="562B067F"/>
    <w:rsid w:val="565D0F1A"/>
    <w:rsid w:val="56D819DB"/>
    <w:rsid w:val="57453238"/>
    <w:rsid w:val="57744744"/>
    <w:rsid w:val="5787709F"/>
    <w:rsid w:val="57BD5228"/>
    <w:rsid w:val="57C41773"/>
    <w:rsid w:val="57CC0550"/>
    <w:rsid w:val="57CD7A1B"/>
    <w:rsid w:val="57DC054F"/>
    <w:rsid w:val="58042DAB"/>
    <w:rsid w:val="582157B7"/>
    <w:rsid w:val="582452E7"/>
    <w:rsid w:val="583662B9"/>
    <w:rsid w:val="5864507A"/>
    <w:rsid w:val="58785CFB"/>
    <w:rsid w:val="588B3298"/>
    <w:rsid w:val="58991ADF"/>
    <w:rsid w:val="58BF1585"/>
    <w:rsid w:val="590769F6"/>
    <w:rsid w:val="59080B3C"/>
    <w:rsid w:val="591D705C"/>
    <w:rsid w:val="59B11016"/>
    <w:rsid w:val="5A1D74BF"/>
    <w:rsid w:val="5A1F6100"/>
    <w:rsid w:val="5A3A116C"/>
    <w:rsid w:val="5A4931B5"/>
    <w:rsid w:val="5A6E2219"/>
    <w:rsid w:val="5A897A1B"/>
    <w:rsid w:val="5A971C91"/>
    <w:rsid w:val="5AA71596"/>
    <w:rsid w:val="5AC16CE6"/>
    <w:rsid w:val="5ACE793E"/>
    <w:rsid w:val="5ACE7FEC"/>
    <w:rsid w:val="5AE33BCC"/>
    <w:rsid w:val="5B40165B"/>
    <w:rsid w:val="5B7735CF"/>
    <w:rsid w:val="5BC562C3"/>
    <w:rsid w:val="5BFB1FF7"/>
    <w:rsid w:val="5C1A6B8A"/>
    <w:rsid w:val="5C3024A4"/>
    <w:rsid w:val="5C324DFF"/>
    <w:rsid w:val="5C426117"/>
    <w:rsid w:val="5C440E29"/>
    <w:rsid w:val="5C457D46"/>
    <w:rsid w:val="5C4B5480"/>
    <w:rsid w:val="5C5B3D65"/>
    <w:rsid w:val="5C7E3621"/>
    <w:rsid w:val="5C8072A7"/>
    <w:rsid w:val="5D242428"/>
    <w:rsid w:val="5D3550AB"/>
    <w:rsid w:val="5D3C15D1"/>
    <w:rsid w:val="5D423AD9"/>
    <w:rsid w:val="5D765DBA"/>
    <w:rsid w:val="5D835E13"/>
    <w:rsid w:val="5D8E5D2E"/>
    <w:rsid w:val="5DA05CCA"/>
    <w:rsid w:val="5E1A7778"/>
    <w:rsid w:val="5E40021E"/>
    <w:rsid w:val="5E465C5B"/>
    <w:rsid w:val="5EB901AD"/>
    <w:rsid w:val="5F4E49B7"/>
    <w:rsid w:val="5F556AC1"/>
    <w:rsid w:val="5F875C0D"/>
    <w:rsid w:val="5F9422B9"/>
    <w:rsid w:val="5FBFB66B"/>
    <w:rsid w:val="5FE377F5"/>
    <w:rsid w:val="5FF60448"/>
    <w:rsid w:val="60184F52"/>
    <w:rsid w:val="604F57F0"/>
    <w:rsid w:val="60600E46"/>
    <w:rsid w:val="609A0DFE"/>
    <w:rsid w:val="61076E4F"/>
    <w:rsid w:val="6115043D"/>
    <w:rsid w:val="61162C20"/>
    <w:rsid w:val="611A0FF5"/>
    <w:rsid w:val="611D1FCC"/>
    <w:rsid w:val="61540081"/>
    <w:rsid w:val="617A6DD7"/>
    <w:rsid w:val="617E401C"/>
    <w:rsid w:val="620677CB"/>
    <w:rsid w:val="620B1A41"/>
    <w:rsid w:val="620D31BD"/>
    <w:rsid w:val="624C462A"/>
    <w:rsid w:val="62542F83"/>
    <w:rsid w:val="625E0610"/>
    <w:rsid w:val="62697495"/>
    <w:rsid w:val="62B76DBB"/>
    <w:rsid w:val="62C1746C"/>
    <w:rsid w:val="62CE0975"/>
    <w:rsid w:val="62FB0319"/>
    <w:rsid w:val="62FC737D"/>
    <w:rsid w:val="63011FC8"/>
    <w:rsid w:val="630E6F1E"/>
    <w:rsid w:val="63361F48"/>
    <w:rsid w:val="639B6E5B"/>
    <w:rsid w:val="63FB0514"/>
    <w:rsid w:val="63FE769E"/>
    <w:rsid w:val="640D5690"/>
    <w:rsid w:val="64183577"/>
    <w:rsid w:val="64E86A69"/>
    <w:rsid w:val="64F701BA"/>
    <w:rsid w:val="650C4160"/>
    <w:rsid w:val="650D75C5"/>
    <w:rsid w:val="652E36C8"/>
    <w:rsid w:val="658C6D75"/>
    <w:rsid w:val="659316AD"/>
    <w:rsid w:val="66077C4D"/>
    <w:rsid w:val="66232367"/>
    <w:rsid w:val="66302EB2"/>
    <w:rsid w:val="66350190"/>
    <w:rsid w:val="6635307D"/>
    <w:rsid w:val="6660157E"/>
    <w:rsid w:val="66691C0A"/>
    <w:rsid w:val="668D4017"/>
    <w:rsid w:val="669228BC"/>
    <w:rsid w:val="66980D1A"/>
    <w:rsid w:val="66A3135F"/>
    <w:rsid w:val="66D73D29"/>
    <w:rsid w:val="66F73B4F"/>
    <w:rsid w:val="66FF4245"/>
    <w:rsid w:val="670B24B1"/>
    <w:rsid w:val="67124CC9"/>
    <w:rsid w:val="67493769"/>
    <w:rsid w:val="674E00BA"/>
    <w:rsid w:val="674E110B"/>
    <w:rsid w:val="67A466D7"/>
    <w:rsid w:val="67DD1B12"/>
    <w:rsid w:val="67F262C2"/>
    <w:rsid w:val="67F27FB8"/>
    <w:rsid w:val="6841314B"/>
    <w:rsid w:val="68C70AA5"/>
    <w:rsid w:val="68F82760"/>
    <w:rsid w:val="694138E4"/>
    <w:rsid w:val="694E42F2"/>
    <w:rsid w:val="697A1B99"/>
    <w:rsid w:val="69A1092F"/>
    <w:rsid w:val="69A9513C"/>
    <w:rsid w:val="69F00C4D"/>
    <w:rsid w:val="69F4186F"/>
    <w:rsid w:val="6A06389B"/>
    <w:rsid w:val="6A07721C"/>
    <w:rsid w:val="6A535F41"/>
    <w:rsid w:val="6A567D3A"/>
    <w:rsid w:val="6A59128D"/>
    <w:rsid w:val="6A5E2EEC"/>
    <w:rsid w:val="6A6210A8"/>
    <w:rsid w:val="6A69638B"/>
    <w:rsid w:val="6A977A5F"/>
    <w:rsid w:val="6ACB3360"/>
    <w:rsid w:val="6AE67800"/>
    <w:rsid w:val="6B39183C"/>
    <w:rsid w:val="6B3B52F0"/>
    <w:rsid w:val="6B3B614C"/>
    <w:rsid w:val="6B79120D"/>
    <w:rsid w:val="6B961D3E"/>
    <w:rsid w:val="6BA44BC1"/>
    <w:rsid w:val="6C10737C"/>
    <w:rsid w:val="6C2C3503"/>
    <w:rsid w:val="6C347CF4"/>
    <w:rsid w:val="6C3A43FB"/>
    <w:rsid w:val="6C3D4540"/>
    <w:rsid w:val="6C451752"/>
    <w:rsid w:val="6C750599"/>
    <w:rsid w:val="6C79406F"/>
    <w:rsid w:val="6C9B132C"/>
    <w:rsid w:val="6CA253FA"/>
    <w:rsid w:val="6CCF654A"/>
    <w:rsid w:val="6D164A3C"/>
    <w:rsid w:val="6D2A6A7F"/>
    <w:rsid w:val="6D342067"/>
    <w:rsid w:val="6D5D3E30"/>
    <w:rsid w:val="6DA22A9E"/>
    <w:rsid w:val="6DCB6A5E"/>
    <w:rsid w:val="6DEE4CEB"/>
    <w:rsid w:val="6E1B3154"/>
    <w:rsid w:val="6E206CBB"/>
    <w:rsid w:val="6E2630A2"/>
    <w:rsid w:val="6E476587"/>
    <w:rsid w:val="6EC477F1"/>
    <w:rsid w:val="6ED732B4"/>
    <w:rsid w:val="6F014F52"/>
    <w:rsid w:val="6FA21BCE"/>
    <w:rsid w:val="6FAB613E"/>
    <w:rsid w:val="6FD135B8"/>
    <w:rsid w:val="70136957"/>
    <w:rsid w:val="70343755"/>
    <w:rsid w:val="704E6689"/>
    <w:rsid w:val="70756F68"/>
    <w:rsid w:val="70772170"/>
    <w:rsid w:val="70782528"/>
    <w:rsid w:val="70F61E55"/>
    <w:rsid w:val="70FA7093"/>
    <w:rsid w:val="711348A9"/>
    <w:rsid w:val="71757A4D"/>
    <w:rsid w:val="71AB6EA6"/>
    <w:rsid w:val="721E2B1B"/>
    <w:rsid w:val="723877B8"/>
    <w:rsid w:val="72433424"/>
    <w:rsid w:val="72473CD9"/>
    <w:rsid w:val="726A5150"/>
    <w:rsid w:val="727D63E6"/>
    <w:rsid w:val="728D79E5"/>
    <w:rsid w:val="72A03CB2"/>
    <w:rsid w:val="72B06CB1"/>
    <w:rsid w:val="72CD4767"/>
    <w:rsid w:val="72DF26F8"/>
    <w:rsid w:val="732C12FE"/>
    <w:rsid w:val="733865EF"/>
    <w:rsid w:val="74207643"/>
    <w:rsid w:val="7431692A"/>
    <w:rsid w:val="74432255"/>
    <w:rsid w:val="74611A15"/>
    <w:rsid w:val="747C3CCA"/>
    <w:rsid w:val="749F1450"/>
    <w:rsid w:val="74BA0582"/>
    <w:rsid w:val="74CE6052"/>
    <w:rsid w:val="74D97004"/>
    <w:rsid w:val="74F22817"/>
    <w:rsid w:val="750B54FF"/>
    <w:rsid w:val="75616FD4"/>
    <w:rsid w:val="75722E44"/>
    <w:rsid w:val="75834EB5"/>
    <w:rsid w:val="759251A6"/>
    <w:rsid w:val="75BE712D"/>
    <w:rsid w:val="75CA57FD"/>
    <w:rsid w:val="75E05AC1"/>
    <w:rsid w:val="76200A04"/>
    <w:rsid w:val="764A4A9E"/>
    <w:rsid w:val="768E52D6"/>
    <w:rsid w:val="76AF6918"/>
    <w:rsid w:val="76D56C55"/>
    <w:rsid w:val="76E24D54"/>
    <w:rsid w:val="76E6271F"/>
    <w:rsid w:val="77044C4F"/>
    <w:rsid w:val="77104C31"/>
    <w:rsid w:val="77212C85"/>
    <w:rsid w:val="77592E0B"/>
    <w:rsid w:val="777031A6"/>
    <w:rsid w:val="77707B20"/>
    <w:rsid w:val="77A72073"/>
    <w:rsid w:val="77B06E9D"/>
    <w:rsid w:val="77CE06C5"/>
    <w:rsid w:val="77E37F3B"/>
    <w:rsid w:val="780D1EDE"/>
    <w:rsid w:val="78194F72"/>
    <w:rsid w:val="781D7A0E"/>
    <w:rsid w:val="781E6F48"/>
    <w:rsid w:val="78394C08"/>
    <w:rsid w:val="783E271A"/>
    <w:rsid w:val="785139C4"/>
    <w:rsid w:val="78B6564F"/>
    <w:rsid w:val="78B673FD"/>
    <w:rsid w:val="78E102A8"/>
    <w:rsid w:val="79081EBE"/>
    <w:rsid w:val="793A2AD7"/>
    <w:rsid w:val="793D0887"/>
    <w:rsid w:val="79741296"/>
    <w:rsid w:val="79AD54C1"/>
    <w:rsid w:val="79F521A7"/>
    <w:rsid w:val="7A066BE5"/>
    <w:rsid w:val="7A944FF3"/>
    <w:rsid w:val="7AC85425"/>
    <w:rsid w:val="7ACE4ED2"/>
    <w:rsid w:val="7AD26045"/>
    <w:rsid w:val="7AD56E26"/>
    <w:rsid w:val="7AE90865"/>
    <w:rsid w:val="7B100061"/>
    <w:rsid w:val="7B103CC3"/>
    <w:rsid w:val="7B1D12F9"/>
    <w:rsid w:val="7B607E50"/>
    <w:rsid w:val="7B7E4E8E"/>
    <w:rsid w:val="7B9B01B1"/>
    <w:rsid w:val="7B9C0ECD"/>
    <w:rsid w:val="7BBB7A53"/>
    <w:rsid w:val="7BC240F9"/>
    <w:rsid w:val="7BE3039A"/>
    <w:rsid w:val="7BE477B8"/>
    <w:rsid w:val="7C005242"/>
    <w:rsid w:val="7C0A249C"/>
    <w:rsid w:val="7C2C41CB"/>
    <w:rsid w:val="7C407F42"/>
    <w:rsid w:val="7C4569E4"/>
    <w:rsid w:val="7C535AC6"/>
    <w:rsid w:val="7C54350E"/>
    <w:rsid w:val="7C7760C6"/>
    <w:rsid w:val="7CC43247"/>
    <w:rsid w:val="7CE32CDB"/>
    <w:rsid w:val="7D061436"/>
    <w:rsid w:val="7D3B4EBE"/>
    <w:rsid w:val="7D7C43E1"/>
    <w:rsid w:val="7DCF27D2"/>
    <w:rsid w:val="7E0635EE"/>
    <w:rsid w:val="7E0A1514"/>
    <w:rsid w:val="7E160DD1"/>
    <w:rsid w:val="7E1D5ADF"/>
    <w:rsid w:val="7E374B3D"/>
    <w:rsid w:val="7E976965"/>
    <w:rsid w:val="7EC34622"/>
    <w:rsid w:val="7EC6194C"/>
    <w:rsid w:val="7EEA2A78"/>
    <w:rsid w:val="7EFA72F6"/>
    <w:rsid w:val="7EFD317B"/>
    <w:rsid w:val="7F64707C"/>
    <w:rsid w:val="7FC56178"/>
    <w:rsid w:val="7FCE1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3"/>
    <w:next w:val="1"/>
    <w:link w:val="30"/>
    <w:qFormat/>
    <w:uiPriority w:val="0"/>
    <w:pPr>
      <w:keepNext/>
      <w:keepLines/>
      <w:spacing w:before="340" w:after="330" w:line="576"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before="260" w:after="260" w:line="413" w:lineRule="auto"/>
      <w:outlineLvl w:val="2"/>
    </w:pPr>
    <w:rPr>
      <w:b/>
      <w:sz w:val="32"/>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unhideWhenUsed/>
    <w:qFormat/>
    <w:uiPriority w:val="99"/>
    <w:pPr>
      <w:spacing w:after="120"/>
    </w:pPr>
    <w:rPr>
      <w:sz w:val="21"/>
    </w:rPr>
  </w:style>
  <w:style w:type="paragraph" w:styleId="4">
    <w:name w:val="Title"/>
    <w:basedOn w:val="1"/>
    <w:next w:val="1"/>
    <w:qFormat/>
    <w:uiPriority w:val="10"/>
    <w:pPr>
      <w:spacing w:before="240" w:after="60" w:line="560" w:lineRule="exact"/>
      <w:jc w:val="center"/>
      <w:outlineLvl w:val="0"/>
    </w:pPr>
    <w:rPr>
      <w:rFonts w:ascii="Arial" w:hAnsi="Arial" w:eastAsia="华文中宋" w:cs="Arial"/>
      <w:b/>
      <w:bCs/>
      <w:color w:val="FF0000"/>
      <w:sz w:val="84"/>
      <w:szCs w:val="32"/>
    </w:rPr>
  </w:style>
  <w:style w:type="paragraph" w:styleId="8">
    <w:name w:val="Normal Indent"/>
    <w:basedOn w:val="1"/>
    <w:qFormat/>
    <w:uiPriority w:val="0"/>
    <w:pPr>
      <w:ind w:firstLine="420"/>
    </w:pPr>
    <w:rPr>
      <w:szCs w:val="20"/>
    </w:rPr>
  </w:style>
  <w:style w:type="paragraph" w:styleId="9">
    <w:name w:val="annotation text"/>
    <w:basedOn w:val="1"/>
    <w:link w:val="91"/>
    <w:unhideWhenUsed/>
    <w:qFormat/>
    <w:uiPriority w:val="99"/>
    <w:pPr>
      <w:jc w:val="left"/>
    </w:pPr>
  </w:style>
  <w:style w:type="paragraph" w:styleId="10">
    <w:name w:val="Body Text Indent"/>
    <w:basedOn w:val="1"/>
    <w:link w:val="59"/>
    <w:unhideWhenUsed/>
    <w:qFormat/>
    <w:uiPriority w:val="0"/>
    <w:pPr>
      <w:spacing w:after="120"/>
      <w:ind w:left="420" w:leftChars="200"/>
    </w:pPr>
  </w:style>
  <w:style w:type="paragraph" w:styleId="11">
    <w:name w:val="toc 3"/>
    <w:basedOn w:val="1"/>
    <w:next w:val="1"/>
    <w:unhideWhenUsed/>
    <w:qFormat/>
    <w:uiPriority w:val="39"/>
    <w:pPr>
      <w:ind w:left="840" w:leftChars="400"/>
    </w:pPr>
  </w:style>
  <w:style w:type="paragraph" w:styleId="12">
    <w:name w:val="Body Text Indent 2"/>
    <w:basedOn w:val="1"/>
    <w:unhideWhenUsed/>
    <w:qFormat/>
    <w:uiPriority w:val="99"/>
    <w:pPr>
      <w:spacing w:after="120" w:line="480" w:lineRule="auto"/>
      <w:ind w:left="420"/>
    </w:pPr>
  </w:style>
  <w:style w:type="paragraph" w:styleId="13">
    <w:name w:val="Balloon Text"/>
    <w:basedOn w:val="1"/>
    <w:link w:val="37"/>
    <w:unhideWhenUsed/>
    <w:qFormat/>
    <w:uiPriority w:val="0"/>
    <w:rPr>
      <w:sz w:val="18"/>
      <w:szCs w:val="18"/>
    </w:rPr>
  </w:style>
  <w:style w:type="paragraph" w:styleId="14">
    <w:name w:val="footer"/>
    <w:basedOn w:val="1"/>
    <w:link w:val="33"/>
    <w:unhideWhenUsed/>
    <w:qFormat/>
    <w:uiPriority w:val="99"/>
    <w:pPr>
      <w:tabs>
        <w:tab w:val="center" w:pos="4153"/>
        <w:tab w:val="right" w:pos="8306"/>
      </w:tabs>
      <w:snapToGrid w:val="0"/>
      <w:jc w:val="left"/>
    </w:pPr>
    <w:rPr>
      <w:sz w:val="18"/>
      <w:szCs w:val="18"/>
    </w:rPr>
  </w:style>
  <w:style w:type="paragraph" w:styleId="15">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toc 2"/>
    <w:basedOn w:val="1"/>
    <w:next w:val="1"/>
    <w:unhideWhenUsed/>
    <w:qFormat/>
    <w:uiPriority w:val="39"/>
    <w:pPr>
      <w:ind w:left="420" w:leftChars="200"/>
    </w:pPr>
  </w:style>
  <w:style w:type="paragraph" w:styleId="18">
    <w:name w:val="Normal (Web)"/>
    <w:basedOn w:val="1"/>
    <w:qFormat/>
    <w:uiPriority w:val="0"/>
    <w:pPr>
      <w:widowControl/>
      <w:spacing w:before="100" w:beforeAutospacing="1" w:after="100" w:afterAutospacing="1"/>
      <w:jc w:val="left"/>
    </w:pPr>
    <w:rPr>
      <w:rFonts w:ascii="宋体" w:hAnsi="宋体" w:cs="宋体"/>
      <w:kern w:val="0"/>
    </w:rPr>
  </w:style>
  <w:style w:type="paragraph" w:styleId="19">
    <w:name w:val="index 1"/>
    <w:basedOn w:val="1"/>
    <w:next w:val="1"/>
    <w:unhideWhenUsed/>
    <w:qFormat/>
    <w:uiPriority w:val="99"/>
    <w:pPr>
      <w:tabs>
        <w:tab w:val="left" w:pos="0"/>
      </w:tabs>
    </w:pPr>
    <w:rPr>
      <w:szCs w:val="20"/>
    </w:rPr>
  </w:style>
  <w:style w:type="paragraph" w:styleId="20">
    <w:name w:val="annotation subject"/>
    <w:basedOn w:val="9"/>
    <w:next w:val="9"/>
    <w:link w:val="92"/>
    <w:unhideWhenUsed/>
    <w:qFormat/>
    <w:uiPriority w:val="99"/>
    <w:rPr>
      <w:b/>
      <w:bCs/>
    </w:rPr>
  </w:style>
  <w:style w:type="paragraph" w:styleId="21">
    <w:name w:val="Body Text First Indent"/>
    <w:basedOn w:val="3"/>
    <w:unhideWhenUsed/>
    <w:qFormat/>
    <w:uiPriority w:val="99"/>
    <w:pPr>
      <w:widowControl/>
      <w:overflowPunct w:val="0"/>
      <w:autoSpaceDE w:val="0"/>
      <w:autoSpaceDN w:val="0"/>
      <w:adjustRightInd w:val="0"/>
      <w:ind w:firstLine="420"/>
      <w:jc w:val="left"/>
      <w:textAlignment w:val="baseline"/>
    </w:p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rPr>
  </w:style>
  <w:style w:type="character" w:styleId="26">
    <w:name w:val="FollowedHyperlink"/>
    <w:basedOn w:val="24"/>
    <w:unhideWhenUsed/>
    <w:qFormat/>
    <w:uiPriority w:val="99"/>
    <w:rPr>
      <w:color w:val="800080"/>
      <w:u w:val="single"/>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basedOn w:val="24"/>
    <w:unhideWhenUsed/>
    <w:qFormat/>
    <w:uiPriority w:val="99"/>
    <w:rPr>
      <w:sz w:val="21"/>
      <w:szCs w:val="21"/>
    </w:rPr>
  </w:style>
  <w:style w:type="character" w:styleId="29">
    <w:name w:val="HTML Cite"/>
    <w:qFormat/>
    <w:uiPriority w:val="0"/>
    <w:rPr>
      <w:i/>
      <w:iCs/>
    </w:rPr>
  </w:style>
  <w:style w:type="character" w:customStyle="1" w:styleId="30">
    <w:name w:val="标题 1 字符"/>
    <w:basedOn w:val="24"/>
    <w:link w:val="2"/>
    <w:qFormat/>
    <w:uiPriority w:val="0"/>
    <w:rPr>
      <w:rFonts w:ascii="Times New Roman" w:hAnsi="Times New Roman" w:eastAsia="宋体" w:cs="Times New Roman"/>
      <w:b/>
      <w:bCs/>
      <w:kern w:val="44"/>
      <w:sz w:val="44"/>
      <w:szCs w:val="44"/>
    </w:rPr>
  </w:style>
  <w:style w:type="character" w:customStyle="1" w:styleId="31">
    <w:name w:val="标题 2 字符"/>
    <w:basedOn w:val="24"/>
    <w:link w:val="5"/>
    <w:semiHidden/>
    <w:qFormat/>
    <w:uiPriority w:val="9"/>
    <w:rPr>
      <w:rFonts w:asciiTheme="majorHAnsi" w:hAnsiTheme="majorHAnsi" w:eastAsiaTheme="majorEastAsia" w:cstheme="majorBidi"/>
      <w:b/>
      <w:bCs/>
      <w:sz w:val="32"/>
      <w:szCs w:val="32"/>
    </w:rPr>
  </w:style>
  <w:style w:type="character" w:customStyle="1" w:styleId="32">
    <w:name w:val="页眉 字符"/>
    <w:basedOn w:val="24"/>
    <w:link w:val="15"/>
    <w:qFormat/>
    <w:uiPriority w:val="0"/>
    <w:rPr>
      <w:sz w:val="18"/>
      <w:szCs w:val="18"/>
    </w:rPr>
  </w:style>
  <w:style w:type="character" w:customStyle="1" w:styleId="33">
    <w:name w:val="页脚 字符"/>
    <w:basedOn w:val="24"/>
    <w:link w:val="14"/>
    <w:qFormat/>
    <w:uiPriority w:val="99"/>
    <w:rPr>
      <w:sz w:val="18"/>
      <w:szCs w:val="18"/>
    </w:rPr>
  </w:style>
  <w:style w:type="paragraph" w:customStyle="1" w:styleId="3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5">
    <w:name w:val="列出段落1"/>
    <w:basedOn w:val="1"/>
    <w:link w:val="61"/>
    <w:qFormat/>
    <w:uiPriority w:val="34"/>
    <w:pPr>
      <w:ind w:firstLine="420" w:firstLineChars="200"/>
    </w:pPr>
  </w:style>
  <w:style w:type="paragraph" w:customStyle="1" w:styleId="3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37">
    <w:name w:val="批注框文本 字符"/>
    <w:basedOn w:val="24"/>
    <w:link w:val="13"/>
    <w:semiHidden/>
    <w:qFormat/>
    <w:uiPriority w:val="0"/>
    <w:rPr>
      <w:rFonts w:ascii="Times New Roman" w:hAnsi="Times New Roman" w:eastAsia="宋体" w:cs="Times New Roman"/>
      <w:sz w:val="18"/>
      <w:szCs w:val="18"/>
    </w:rPr>
  </w:style>
  <w:style w:type="paragraph" w:customStyle="1" w:styleId="38">
    <w:name w:val="五级无标题条"/>
    <w:basedOn w:val="1"/>
    <w:qFormat/>
    <w:uiPriority w:val="0"/>
    <w:rPr>
      <w:rFonts w:ascii="黑体" w:eastAsia="黑体"/>
      <w:b/>
    </w:rPr>
  </w:style>
  <w:style w:type="paragraph" w:customStyle="1" w:styleId="39">
    <w:name w:val="一级无标题条"/>
    <w:basedOn w:val="1"/>
    <w:qFormat/>
    <w:uiPriority w:val="0"/>
    <w:pPr>
      <w:tabs>
        <w:tab w:val="left" w:pos="420"/>
      </w:tabs>
    </w:pPr>
    <w:rPr>
      <w:b/>
    </w:rPr>
  </w:style>
  <w:style w:type="paragraph" w:customStyle="1" w:styleId="40">
    <w:name w:val="三级无标题条"/>
    <w:basedOn w:val="1"/>
    <w:qFormat/>
    <w:uiPriority w:val="0"/>
    <w:rPr>
      <w:b/>
    </w:rPr>
  </w:style>
  <w:style w:type="paragraph" w:customStyle="1" w:styleId="41">
    <w:name w:val="列表文字"/>
    <w:basedOn w:val="1"/>
    <w:qFormat/>
    <w:uiPriority w:val="0"/>
  </w:style>
  <w:style w:type="paragraph" w:customStyle="1" w:styleId="42">
    <w:name w:val="四级无标题条"/>
    <w:basedOn w:val="1"/>
    <w:qFormat/>
    <w:uiPriority w:val="0"/>
    <w:rPr>
      <w:rFonts w:eastAsia="黑体"/>
      <w:b/>
    </w:rPr>
  </w:style>
  <w:style w:type="paragraph" w:customStyle="1" w:styleId="43">
    <w:name w:val="二级无标题条"/>
    <w:basedOn w:val="1"/>
    <w:qFormat/>
    <w:uiPriority w:val="0"/>
    <w:rPr>
      <w:b/>
    </w:rPr>
  </w:style>
  <w:style w:type="paragraph" w:customStyle="1" w:styleId="44">
    <w:name w:val="附录四级条标题"/>
    <w:basedOn w:val="45"/>
    <w:next w:val="1"/>
    <w:qFormat/>
    <w:uiPriority w:val="0"/>
    <w:pPr>
      <w:outlineLvl w:val="5"/>
    </w:pPr>
  </w:style>
  <w:style w:type="paragraph" w:customStyle="1" w:styleId="45">
    <w:name w:val="附录三级条标题"/>
    <w:basedOn w:val="46"/>
    <w:next w:val="1"/>
    <w:qFormat/>
    <w:uiPriority w:val="0"/>
    <w:pPr>
      <w:ind w:left="0"/>
      <w:outlineLvl w:val="4"/>
    </w:pPr>
  </w:style>
  <w:style w:type="paragraph" w:customStyle="1" w:styleId="46">
    <w:name w:val="附录二级条标题"/>
    <w:basedOn w:val="47"/>
    <w:next w:val="1"/>
    <w:qFormat/>
    <w:uiPriority w:val="0"/>
    <w:pPr>
      <w:ind w:left="142"/>
      <w:outlineLvl w:val="3"/>
    </w:pPr>
  </w:style>
  <w:style w:type="paragraph" w:customStyle="1" w:styleId="47">
    <w:name w:val="附录一级条标题"/>
    <w:basedOn w:val="48"/>
    <w:next w:val="1"/>
    <w:qFormat/>
    <w:uiPriority w:val="0"/>
    <w:pPr>
      <w:autoSpaceDN w:val="0"/>
      <w:ind w:left="426"/>
      <w:outlineLvl w:val="2"/>
    </w:pPr>
    <w:rPr>
      <w:rFonts w:ascii="宋体" w:hAnsi="宋体" w:eastAsia="宋体"/>
      <w:b w:val="0"/>
      <w:kern w:val="0"/>
    </w:rPr>
  </w:style>
  <w:style w:type="paragraph" w:customStyle="1" w:styleId="48">
    <w:name w:val="附录章标题"/>
    <w:next w:val="1"/>
    <w:qFormat/>
    <w:uiPriority w:val="0"/>
    <w:pPr>
      <w:overflowPunct w:val="0"/>
      <w:autoSpaceDE w:val="0"/>
      <w:spacing w:line="360" w:lineRule="auto"/>
      <w:jc w:val="both"/>
      <w:textAlignment w:val="baseline"/>
      <w:outlineLvl w:val="1"/>
    </w:pPr>
    <w:rPr>
      <w:rFonts w:ascii="黑体" w:hAnsi="Times New Roman" w:eastAsia="黑体" w:cs="Times New Roman"/>
      <w:b/>
      <w:kern w:val="21"/>
      <w:sz w:val="21"/>
      <w:lang w:val="en-US" w:eastAsia="zh-CN" w:bidi="ar-SA"/>
    </w:rPr>
  </w:style>
  <w:style w:type="paragraph" w:customStyle="1" w:styleId="49">
    <w:name w:val="附录五级条标题"/>
    <w:basedOn w:val="44"/>
    <w:next w:val="1"/>
    <w:qFormat/>
    <w:uiPriority w:val="0"/>
    <w:pPr>
      <w:outlineLvl w:val="6"/>
    </w:pPr>
  </w:style>
  <w:style w:type="paragraph" w:customStyle="1" w:styleId="50">
    <w:name w:val="数字编号列项（二级）"/>
    <w:qFormat/>
    <w:uiPriority w:val="0"/>
    <w:pPr>
      <w:numPr>
        <w:ilvl w:val="2"/>
        <w:numId w:val="1"/>
      </w:numPr>
      <w:ind w:left="400" w:leftChars="400" w:hanging="200" w:hangingChars="200"/>
      <w:jc w:val="both"/>
    </w:pPr>
    <w:rPr>
      <w:rFonts w:ascii="宋体" w:hAnsi="Times New Roman" w:eastAsia="宋体" w:cs="Times New Roman"/>
      <w:sz w:val="21"/>
      <w:lang w:val="en-US" w:eastAsia="zh-CN" w:bidi="ar-SA"/>
    </w:rPr>
  </w:style>
  <w:style w:type="paragraph" w:customStyle="1" w:styleId="51">
    <w:name w:val="字母编号列项（一级）"/>
    <w:qFormat/>
    <w:uiPriority w:val="0"/>
    <w:pPr>
      <w:numPr>
        <w:ilvl w:val="1"/>
        <w:numId w:val="1"/>
      </w:numPr>
      <w:ind w:left="200" w:leftChars="200" w:hanging="200" w:hangingChars="200"/>
      <w:jc w:val="both"/>
    </w:pPr>
    <w:rPr>
      <w:rFonts w:ascii="宋体" w:hAnsi="Times New Roman" w:eastAsia="宋体" w:cs="Times New Roman"/>
      <w:sz w:val="21"/>
      <w:lang w:val="en-US" w:eastAsia="zh-CN" w:bidi="ar-SA"/>
    </w:rPr>
  </w:style>
  <w:style w:type="paragraph" w:customStyle="1" w:styleId="52">
    <w:name w:val="一级条标题"/>
    <w:basedOn w:val="53"/>
    <w:next w:val="1"/>
    <w:qFormat/>
    <w:uiPriority w:val="0"/>
    <w:pPr>
      <w:numPr>
        <w:ilvl w:val="2"/>
      </w:numPr>
      <w:tabs>
        <w:tab w:val="left" w:pos="360"/>
        <w:tab w:val="left" w:pos="420"/>
        <w:tab w:val="left" w:pos="567"/>
      </w:tabs>
      <w:spacing w:before="0" w:beforeLines="0" w:after="312" w:afterLines="100"/>
      <w:outlineLvl w:val="2"/>
    </w:pPr>
    <w:rPr>
      <w:rFonts w:ascii="宋体" w:hAnsi="宋体" w:eastAsia="宋体"/>
    </w:rPr>
  </w:style>
  <w:style w:type="paragraph" w:customStyle="1" w:styleId="53">
    <w:name w:val="章标题"/>
    <w:next w:val="1"/>
    <w:qFormat/>
    <w:uiPriority w:val="0"/>
    <w:pPr>
      <w:numPr>
        <w:ilvl w:val="1"/>
        <w:numId w:val="2"/>
      </w:numPr>
      <w:tabs>
        <w:tab w:val="left" w:pos="42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54">
    <w:name w:val="四级条标题"/>
    <w:basedOn w:val="55"/>
    <w:next w:val="1"/>
    <w:qFormat/>
    <w:uiPriority w:val="0"/>
    <w:pPr>
      <w:numPr>
        <w:ilvl w:val="5"/>
      </w:numPr>
      <w:tabs>
        <w:tab w:val="left" w:pos="360"/>
        <w:tab w:val="left" w:pos="420"/>
        <w:tab w:val="left" w:pos="945"/>
        <w:tab w:val="left" w:pos="1155"/>
      </w:tabs>
      <w:outlineLvl w:val="5"/>
    </w:pPr>
  </w:style>
  <w:style w:type="paragraph" w:customStyle="1" w:styleId="55">
    <w:name w:val="三级条标题"/>
    <w:basedOn w:val="56"/>
    <w:next w:val="1"/>
    <w:qFormat/>
    <w:uiPriority w:val="0"/>
    <w:pPr>
      <w:numPr>
        <w:ilvl w:val="4"/>
      </w:numPr>
      <w:tabs>
        <w:tab w:val="left" w:pos="360"/>
        <w:tab w:val="left" w:pos="420"/>
        <w:tab w:val="left" w:pos="945"/>
      </w:tabs>
      <w:outlineLvl w:val="4"/>
    </w:pPr>
  </w:style>
  <w:style w:type="paragraph" w:customStyle="1" w:styleId="56">
    <w:name w:val="二级条标题"/>
    <w:basedOn w:val="52"/>
    <w:next w:val="1"/>
    <w:qFormat/>
    <w:uiPriority w:val="0"/>
    <w:pPr>
      <w:numPr>
        <w:ilvl w:val="3"/>
      </w:numPr>
      <w:tabs>
        <w:tab w:val="clear" w:pos="567"/>
      </w:tabs>
      <w:outlineLvl w:val="3"/>
    </w:pPr>
  </w:style>
  <w:style w:type="paragraph" w:customStyle="1" w:styleId="57">
    <w:name w:val="五级条标题"/>
    <w:basedOn w:val="54"/>
    <w:next w:val="1"/>
    <w:qFormat/>
    <w:uiPriority w:val="0"/>
    <w:pPr>
      <w:numPr>
        <w:ilvl w:val="6"/>
      </w:numPr>
      <w:tabs>
        <w:tab w:val="left" w:pos="1407"/>
        <w:tab w:val="clear" w:pos="1155"/>
      </w:tabs>
      <w:outlineLvl w:val="6"/>
    </w:pPr>
  </w:style>
  <w:style w:type="character" w:customStyle="1" w:styleId="58">
    <w:name w:val="正文文本缩进 Char"/>
    <w:basedOn w:val="24"/>
    <w:semiHidden/>
    <w:qFormat/>
    <w:uiPriority w:val="99"/>
    <w:rPr>
      <w:rFonts w:ascii="Times New Roman" w:hAnsi="Times New Roman" w:eastAsia="宋体" w:cs="Times New Roman"/>
      <w:szCs w:val="24"/>
    </w:rPr>
  </w:style>
  <w:style w:type="character" w:customStyle="1" w:styleId="59">
    <w:name w:val="正文文本缩进 字符"/>
    <w:basedOn w:val="24"/>
    <w:link w:val="10"/>
    <w:qFormat/>
    <w:uiPriority w:val="99"/>
    <w:rPr>
      <w:rFonts w:ascii="Times New Roman" w:hAnsi="Times New Roman" w:eastAsia="宋体" w:cs="Times New Roman"/>
      <w:szCs w:val="24"/>
    </w:rPr>
  </w:style>
  <w:style w:type="character" w:customStyle="1" w:styleId="60">
    <w:name w:val="发布"/>
    <w:qFormat/>
    <w:uiPriority w:val="0"/>
    <w:rPr>
      <w:rFonts w:ascii="黑体" w:eastAsia="黑体"/>
      <w:spacing w:val="22"/>
      <w:w w:val="100"/>
      <w:position w:val="3"/>
      <w:sz w:val="28"/>
    </w:rPr>
  </w:style>
  <w:style w:type="character" w:customStyle="1" w:styleId="61">
    <w:name w:val="列出段落 Char"/>
    <w:link w:val="35"/>
    <w:qFormat/>
    <w:uiPriority w:val="34"/>
    <w:rPr>
      <w:rFonts w:ascii="Times New Roman" w:hAnsi="Times New Roman" w:eastAsia="宋体" w:cs="Times New Roman"/>
      <w:kern w:val="2"/>
      <w:sz w:val="24"/>
      <w:szCs w:val="24"/>
    </w:rPr>
  </w:style>
  <w:style w:type="paragraph" w:customStyle="1" w:styleId="62">
    <w:name w:val="列出段落2"/>
    <w:basedOn w:val="1"/>
    <w:qFormat/>
    <w:uiPriority w:val="34"/>
    <w:pPr>
      <w:ind w:firstLine="420" w:firstLineChars="200"/>
    </w:pPr>
  </w:style>
  <w:style w:type="paragraph" w:customStyle="1" w:styleId="63">
    <w:name w:val="列出段落21"/>
    <w:basedOn w:val="1"/>
    <w:qFormat/>
    <w:uiPriority w:val="99"/>
    <w:pPr>
      <w:spacing w:line="240" w:lineRule="auto"/>
      <w:ind w:firstLine="420" w:firstLineChars="200"/>
    </w:pPr>
    <w:rPr>
      <w:rFonts w:ascii="Calibri" w:hAnsi="Calibri"/>
      <w:sz w:val="21"/>
      <w:szCs w:val="22"/>
    </w:rPr>
  </w:style>
  <w:style w:type="character" w:customStyle="1" w:styleId="64">
    <w:name w:val="apple-tab-span"/>
    <w:basedOn w:val="24"/>
    <w:qFormat/>
    <w:uiPriority w:val="0"/>
  </w:style>
  <w:style w:type="paragraph" w:customStyle="1" w:styleId="65">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6">
    <w:name w:val="xl63"/>
    <w:basedOn w:val="1"/>
    <w:qFormat/>
    <w:uiPriority w:val="0"/>
    <w:pPr>
      <w:widowControl/>
      <w:pBdr>
        <w:top w:val="single" w:color="auto" w:sz="8" w:space="0"/>
        <w:left w:val="single" w:color="auto" w:sz="8"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67">
    <w:name w:val="xl64"/>
    <w:basedOn w:val="1"/>
    <w:qFormat/>
    <w:uiPriority w:val="0"/>
    <w:pPr>
      <w:widowControl/>
      <w:pBdr>
        <w:top w:val="single" w:color="auto" w:sz="8"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68">
    <w:name w:val="xl65"/>
    <w:basedOn w:val="1"/>
    <w:qFormat/>
    <w:uiPriority w:val="0"/>
    <w:pPr>
      <w:widowControl/>
      <w:pBdr>
        <w:top w:val="single" w:color="auto" w:sz="8" w:space="0"/>
        <w:right w:val="single" w:color="auto" w:sz="8"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6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7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color w:val="000000"/>
      <w:kern w:val="0"/>
      <w:sz w:val="20"/>
      <w:szCs w:val="20"/>
    </w:rPr>
  </w:style>
  <w:style w:type="paragraph" w:customStyle="1" w:styleId="71">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textAlignment w:val="center"/>
    </w:pPr>
    <w:rPr>
      <w:rFonts w:ascii="宋体" w:hAnsi="宋体" w:cs="宋体"/>
      <w:color w:val="000000"/>
      <w:kern w:val="0"/>
      <w:sz w:val="18"/>
      <w:szCs w:val="18"/>
    </w:rPr>
  </w:style>
  <w:style w:type="paragraph" w:customStyle="1" w:styleId="72">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color w:val="000000"/>
      <w:kern w:val="0"/>
      <w:sz w:val="18"/>
      <w:szCs w:val="18"/>
    </w:rPr>
  </w:style>
  <w:style w:type="paragraph" w:customStyle="1" w:styleId="7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rPr>
  </w:style>
  <w:style w:type="paragraph" w:customStyle="1" w:styleId="7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color w:val="000000"/>
      <w:kern w:val="0"/>
    </w:rPr>
  </w:style>
  <w:style w:type="paragraph" w:customStyle="1" w:styleId="75">
    <w:name w:val="msonormal"/>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76">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b/>
      <w:bCs/>
      <w:color w:val="000000"/>
      <w:kern w:val="0"/>
      <w:sz w:val="18"/>
      <w:szCs w:val="18"/>
    </w:rPr>
  </w:style>
  <w:style w:type="paragraph" w:customStyle="1" w:styleId="7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7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color w:val="000000"/>
      <w:kern w:val="0"/>
      <w:sz w:val="20"/>
      <w:szCs w:val="20"/>
    </w:rPr>
  </w:style>
  <w:style w:type="character" w:customStyle="1" w:styleId="79">
    <w:name w:val="font31"/>
    <w:basedOn w:val="24"/>
    <w:qFormat/>
    <w:uiPriority w:val="0"/>
    <w:rPr>
      <w:rFonts w:hint="eastAsia" w:ascii="宋体" w:hAnsi="宋体" w:eastAsia="宋体" w:cs="宋体"/>
      <w:color w:val="000000"/>
      <w:sz w:val="18"/>
      <w:szCs w:val="18"/>
      <w:u w:val="none"/>
    </w:rPr>
  </w:style>
  <w:style w:type="character" w:customStyle="1" w:styleId="80">
    <w:name w:val="font21"/>
    <w:basedOn w:val="24"/>
    <w:qFormat/>
    <w:uiPriority w:val="0"/>
    <w:rPr>
      <w:rFonts w:hint="eastAsia" w:ascii="宋体" w:hAnsi="宋体" w:eastAsia="宋体" w:cs="宋体"/>
      <w:color w:val="000000"/>
      <w:sz w:val="21"/>
      <w:szCs w:val="21"/>
      <w:u w:val="none"/>
    </w:rPr>
  </w:style>
  <w:style w:type="character" w:customStyle="1" w:styleId="81">
    <w:name w:val="font11"/>
    <w:basedOn w:val="24"/>
    <w:qFormat/>
    <w:uiPriority w:val="0"/>
    <w:rPr>
      <w:rFonts w:hint="default" w:ascii="Times New Roman" w:hAnsi="Times New Roman" w:cs="Times New Roman"/>
      <w:color w:val="000000"/>
      <w:sz w:val="21"/>
      <w:szCs w:val="21"/>
      <w:u w:val="none"/>
    </w:rPr>
  </w:style>
  <w:style w:type="paragraph" w:customStyle="1" w:styleId="82">
    <w:name w:val="列出段落3"/>
    <w:basedOn w:val="1"/>
    <w:qFormat/>
    <w:uiPriority w:val="0"/>
    <w:pPr>
      <w:ind w:firstLine="420" w:firstLineChars="200"/>
    </w:pPr>
  </w:style>
  <w:style w:type="character" w:customStyle="1" w:styleId="83">
    <w:name w:val="font01"/>
    <w:basedOn w:val="24"/>
    <w:qFormat/>
    <w:uiPriority w:val="0"/>
    <w:rPr>
      <w:rFonts w:hint="default" w:ascii="Times New Roman" w:hAnsi="Times New Roman" w:cs="Times New Roman"/>
      <w:color w:val="000000"/>
      <w:sz w:val="20"/>
      <w:szCs w:val="20"/>
      <w:u w:val="none"/>
    </w:rPr>
  </w:style>
  <w:style w:type="character" w:customStyle="1" w:styleId="84">
    <w:name w:val="font41"/>
    <w:basedOn w:val="24"/>
    <w:qFormat/>
    <w:uiPriority w:val="0"/>
    <w:rPr>
      <w:rFonts w:hint="eastAsia" w:ascii="宋体" w:hAnsi="宋体" w:eastAsia="宋体" w:cs="宋体"/>
      <w:color w:val="FF0000"/>
      <w:sz w:val="20"/>
      <w:szCs w:val="20"/>
      <w:u w:val="none"/>
    </w:rPr>
  </w:style>
  <w:style w:type="character" w:customStyle="1" w:styleId="85">
    <w:name w:val="font51"/>
    <w:basedOn w:val="24"/>
    <w:qFormat/>
    <w:uiPriority w:val="0"/>
    <w:rPr>
      <w:rFonts w:hint="eastAsia" w:ascii="宋体" w:hAnsi="宋体" w:eastAsia="宋体" w:cs="宋体"/>
      <w:color w:val="000000"/>
      <w:sz w:val="20"/>
      <w:szCs w:val="20"/>
      <w:u w:val="none"/>
    </w:rPr>
  </w:style>
  <w:style w:type="character" w:customStyle="1" w:styleId="86">
    <w:name w:val="font71"/>
    <w:basedOn w:val="24"/>
    <w:qFormat/>
    <w:uiPriority w:val="0"/>
    <w:rPr>
      <w:rFonts w:hint="eastAsia" w:ascii="宋体" w:hAnsi="宋体" w:eastAsia="宋体" w:cs="宋体"/>
      <w:color w:val="FF0000"/>
      <w:sz w:val="24"/>
      <w:szCs w:val="24"/>
      <w:u w:val="none"/>
    </w:rPr>
  </w:style>
  <w:style w:type="paragraph" w:customStyle="1" w:styleId="87">
    <w:name w:val="列出段落4"/>
    <w:basedOn w:val="1"/>
    <w:qFormat/>
    <w:uiPriority w:val="0"/>
    <w:pPr>
      <w:ind w:firstLine="420" w:firstLineChars="200"/>
    </w:pPr>
  </w:style>
  <w:style w:type="paragraph" w:customStyle="1" w:styleId="88">
    <w:name w:val="列表段落2"/>
    <w:basedOn w:val="1"/>
    <w:qFormat/>
    <w:uiPriority w:val="0"/>
    <w:pPr>
      <w:spacing w:line="240" w:lineRule="auto"/>
      <w:ind w:firstLine="420" w:firstLineChars="200"/>
    </w:pPr>
    <w:rPr>
      <w:sz w:val="21"/>
    </w:rPr>
  </w:style>
  <w:style w:type="paragraph" w:customStyle="1" w:styleId="89">
    <w:name w:val="正文1"/>
    <w:basedOn w:val="10"/>
    <w:qFormat/>
    <w:uiPriority w:val="0"/>
    <w:pPr>
      <w:tabs>
        <w:tab w:val="left" w:pos="0"/>
      </w:tabs>
      <w:ind w:firstLine="200" w:firstLineChars="200"/>
    </w:pPr>
  </w:style>
  <w:style w:type="paragraph" w:customStyle="1" w:styleId="90">
    <w:name w:val="列出段落11"/>
    <w:basedOn w:val="1"/>
    <w:qFormat/>
    <w:uiPriority w:val="0"/>
    <w:pPr>
      <w:spacing w:line="240" w:lineRule="auto"/>
      <w:ind w:firstLine="420" w:firstLineChars="200"/>
    </w:pPr>
    <w:rPr>
      <w:rFonts w:ascii="Calibri" w:hAnsi="Calibri"/>
      <w:szCs w:val="22"/>
    </w:rPr>
  </w:style>
  <w:style w:type="character" w:customStyle="1" w:styleId="91">
    <w:name w:val="批注文字 字符"/>
    <w:basedOn w:val="24"/>
    <w:link w:val="9"/>
    <w:qFormat/>
    <w:uiPriority w:val="99"/>
    <w:rPr>
      <w:kern w:val="2"/>
      <w:sz w:val="24"/>
      <w:szCs w:val="24"/>
    </w:rPr>
  </w:style>
  <w:style w:type="character" w:customStyle="1" w:styleId="92">
    <w:name w:val="批注主题 字符"/>
    <w:basedOn w:val="91"/>
    <w:link w:val="20"/>
    <w:semiHidden/>
    <w:qFormat/>
    <w:uiPriority w:val="99"/>
    <w:rPr>
      <w:b/>
      <w:bCs/>
      <w:kern w:val="2"/>
      <w:sz w:val="24"/>
      <w:szCs w:val="24"/>
    </w:rPr>
  </w:style>
  <w:style w:type="paragraph" w:styleId="93">
    <w:name w:val="List Paragraph"/>
    <w:basedOn w:val="1"/>
    <w:qFormat/>
    <w:uiPriority w:val="99"/>
    <w:pPr>
      <w:ind w:firstLine="420" w:firstLineChars="200"/>
    </w:pPr>
    <w:rPr>
      <w:rFonts w:ascii="Calibri" w:hAnsi="Calibri"/>
      <w:szCs w:val="22"/>
    </w:rPr>
  </w:style>
  <w:style w:type="paragraph" w:customStyle="1" w:styleId="94">
    <w:name w:val="p0"/>
    <w:basedOn w:val="1"/>
    <w:qFormat/>
    <w:uiPriority w:val="0"/>
    <w:pPr>
      <w:widowControl/>
    </w:pPr>
    <w:rPr>
      <w:kern w:val="0"/>
      <w:szCs w:val="21"/>
    </w:rPr>
  </w:style>
  <w:style w:type="character" w:customStyle="1" w:styleId="95">
    <w:name w:val="不明显强调1"/>
    <w:qFormat/>
    <w:uiPriority w:val="0"/>
    <w:rPr>
      <w:rFonts w:eastAsia="黑体"/>
      <w:iCs/>
      <w:color w:val="auto"/>
      <w:sz w:val="21"/>
    </w:rPr>
  </w:style>
  <w:style w:type="paragraph" w:customStyle="1" w:styleId="9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97">
    <w:name w:val="GEDI一级项目编号"/>
    <w:basedOn w:val="98"/>
    <w:qFormat/>
    <w:uiPriority w:val="0"/>
    <w:pPr>
      <w:numPr>
        <w:numId w:val="0"/>
      </w:numPr>
      <w:tabs>
        <w:tab w:val="left" w:pos="839"/>
      </w:tabs>
      <w:adjustRightInd w:val="0"/>
      <w:snapToGrid w:val="0"/>
      <w:spacing w:line="480" w:lineRule="atLeast"/>
    </w:pPr>
  </w:style>
  <w:style w:type="paragraph" w:customStyle="1" w:styleId="98">
    <w:name w:val="1级列项"/>
    <w:basedOn w:val="99"/>
    <w:qFormat/>
    <w:uiPriority w:val="0"/>
    <w:pPr>
      <w:numPr>
        <w:ilvl w:val="0"/>
        <w:numId w:val="3"/>
      </w:numPr>
      <w:ind w:firstLine="0"/>
    </w:pPr>
  </w:style>
  <w:style w:type="paragraph" w:customStyle="1" w:styleId="99">
    <w:name w:val="正文文字样式"/>
    <w:basedOn w:val="1"/>
    <w:qFormat/>
    <w:uiPriority w:val="0"/>
    <w:pPr>
      <w:ind w:firstLine="480"/>
    </w:p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1714</Words>
  <Characters>1839</Characters>
  <Lines>78</Lines>
  <Paragraphs>69</Paragraphs>
  <TotalTime>1</TotalTime>
  <ScaleCrop>false</ScaleCrop>
  <LinksUpToDate>false</LinksUpToDate>
  <CharactersWithSpaces>1874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2019-09-16T09:06:00Z</dcterms:created>
  <dc:creator>lys</dc:creator>
  <cp:lastModifiedBy>彭秋武</cp:lastModifiedBy>
  <dcterms:modified xsi:type="dcterms:W3CDTF">2025-07-17T07:20:53Z</dcterms:modified>
  <cp:revision>267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f2455fb8_mFV0yz85Iik2PcpOlHv+rbQsVE8=_8QYrryMlQkddIYkR/Bqg/X35GM3VFtT7ENJPNbSOOFkaEoWMQthqZox8nexg/17OuuhsPeLwYFnhw6c=_b1f00102</vt:lpwstr>
  </property>
  <property fmtid="{D5CDD505-2E9C-101B-9397-08002B2CF9AE}" pid="3" name="KSOProductBuildVer">
    <vt:lpwstr>2052-11.8.2.12085</vt:lpwstr>
  </property>
  <property fmtid="{D5CDD505-2E9C-101B-9397-08002B2CF9AE}" pid="4" name="ICV">
    <vt:lpwstr>6FCCE58D07B14493B8307DD03E21F190_13</vt:lpwstr>
  </property>
  <property fmtid="{D5CDD505-2E9C-101B-9397-08002B2CF9AE}" pid="5" name="KSOTemplateDocerSaveRecord">
    <vt:lpwstr>eyJoZGlkIjoiMjg1N2MxYWNlNTNhMjcxYjU2MTgzODRhOTVjY2M1OTUiLCJ1c2VySWQiOiI1Njg1MDE5ODMifQ==</vt:lpwstr>
  </property>
</Properties>
</file>