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r>
        <w:drawing>
          <wp:anchor distT="0" distB="0" distL="114300" distR="114300" simplePos="0" relativeHeight="251659264" behindDoc="0" locked="0" layoutInCell="1" allowOverlap="1">
            <wp:simplePos x="0" y="0"/>
            <wp:positionH relativeFrom="page">
              <wp:posOffset>-1905</wp:posOffset>
            </wp:positionH>
            <wp:positionV relativeFrom="page">
              <wp:posOffset>-5715</wp:posOffset>
            </wp:positionV>
            <wp:extent cx="7919720" cy="6276975"/>
            <wp:effectExtent l="0" t="0" r="5080" b="1905"/>
            <wp:wrapNone/>
            <wp:docPr id="1" name="图片 2" descr="D02-L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D02-L [Converted]"/>
                    <pic:cNvPicPr>
                      <a:picLocks noChangeAspect="1"/>
                    </pic:cNvPicPr>
                  </pic:nvPicPr>
                  <pic:blipFill>
                    <a:blip r:embed="rId6"/>
                    <a:stretch>
                      <a:fillRect/>
                    </a:stretch>
                  </pic:blipFill>
                  <pic:spPr>
                    <a:xfrm>
                      <a:off x="0" y="0"/>
                      <a:ext cx="7919720" cy="6276975"/>
                    </a:xfrm>
                    <a:prstGeom prst="rect">
                      <a:avLst/>
                    </a:prstGeom>
                    <a:noFill/>
                    <a:ln>
                      <a:noFill/>
                    </a:ln>
                  </pic:spPr>
                </pic:pic>
              </a:graphicData>
            </a:graphic>
          </wp:anchor>
        </w:drawing>
      </w:r>
    </w:p>
    <w:p/>
    <w:p/>
    <w:p/>
    <w:p>
      <w:pPr>
        <w:bidi w:val="0"/>
        <w:rPr>
          <w:rFonts w:ascii="Times New Roman" w:hAnsi="Times New Roman" w:eastAsia="仿宋_GB2312" w:cstheme="minorBidi"/>
          <w:kern w:val="2"/>
          <w:sz w:val="32"/>
          <w:szCs w:val="24"/>
          <w:lang w:val="en-US" w:eastAsia="zh-CN" w:bidi="ar-SA"/>
        </w:rPr>
      </w:pPr>
      <w:r>
        <mc:AlternateContent>
          <mc:Choice Requires="wps">
            <w:drawing>
              <wp:anchor distT="0" distB="0" distL="114300" distR="114300" simplePos="0" relativeHeight="251660288" behindDoc="0" locked="0" layoutInCell="1" allowOverlap="1">
                <wp:simplePos x="0" y="0"/>
                <wp:positionH relativeFrom="column">
                  <wp:posOffset>-1131570</wp:posOffset>
                </wp:positionH>
                <wp:positionV relativeFrom="paragraph">
                  <wp:posOffset>276225</wp:posOffset>
                </wp:positionV>
                <wp:extent cx="7576185" cy="2974340"/>
                <wp:effectExtent l="0" t="0" r="13335" b="12700"/>
                <wp:wrapNone/>
                <wp:docPr id="5" name="文本框 5"/>
                <wp:cNvGraphicFramePr/>
                <a:graphic xmlns:a="http://schemas.openxmlformats.org/drawingml/2006/main">
                  <a:graphicData uri="http://schemas.microsoft.com/office/word/2010/wordprocessingShape">
                    <wps:wsp>
                      <wps:cNvSpPr txBox="1"/>
                      <wps:spPr>
                        <a:xfrm>
                          <a:off x="0" y="0"/>
                          <a:ext cx="7576185" cy="297434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bidi w:val="0"/>
                              <w:adjustRightInd/>
                              <w:snapToGrid/>
                              <w:spacing w:line="360" w:lineRule="auto"/>
                              <w:ind w:firstLine="0" w:firstLineChars="0"/>
                              <w:jc w:val="center"/>
                              <w:textAlignment w:val="auto"/>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南网产业发展集团2025年新格局下的战新产业管理能力现代化创新实践研究</w:t>
                            </w:r>
                          </w:p>
                          <w:p>
                            <w:pPr>
                              <w:keepNext w:val="0"/>
                              <w:keepLines w:val="0"/>
                              <w:pageBreakBefore w:val="0"/>
                              <w:widowControl w:val="0"/>
                              <w:kinsoku/>
                              <w:wordWrap/>
                              <w:overflowPunct/>
                              <w:topLinePunct w:val="0"/>
                              <w:bidi w:val="0"/>
                              <w:adjustRightInd/>
                              <w:snapToGrid/>
                              <w:ind w:firstLine="0" w:firstLineChars="0"/>
                              <w:jc w:val="center"/>
                              <w:textAlignment w:val="auto"/>
                              <w:rPr>
                                <w:rFonts w:hint="eastAsia" w:ascii="方正小标宋_GBK" w:hAnsi="方正小标宋_GBK" w:eastAsia="方正小标宋_GBK" w:cs="方正小标宋_GBK"/>
                                <w:sz w:val="52"/>
                                <w:szCs w:val="52"/>
                              </w:rPr>
                            </w:pPr>
                          </w:p>
                          <w:p>
                            <w:pPr>
                              <w:keepNext w:val="0"/>
                              <w:keepLines w:val="0"/>
                              <w:pageBreakBefore w:val="0"/>
                              <w:widowControl w:val="0"/>
                              <w:kinsoku/>
                              <w:wordWrap/>
                              <w:overflowPunct/>
                              <w:topLinePunct w:val="0"/>
                              <w:bidi w:val="0"/>
                              <w:adjustRightInd/>
                              <w:snapToGrid/>
                              <w:ind w:firstLine="0" w:firstLineChars="0"/>
                              <w:jc w:val="center"/>
                              <w:textAlignment w:val="auto"/>
                              <w:rPr>
                                <w:rFonts w:hint="eastAsia" w:ascii="方正小标宋_GBK" w:hAnsi="方正小标宋_GBK" w:eastAsia="方正小标宋_GBK" w:cs="方正小标宋_GBK"/>
                                <w:sz w:val="52"/>
                                <w:szCs w:val="52"/>
                                <w:lang w:val="en-US" w:eastAsia="zh-CN"/>
                              </w:rPr>
                            </w:pPr>
                            <w:r>
                              <w:rPr>
                                <w:rFonts w:hint="eastAsia" w:ascii="方正小标宋_GBK" w:hAnsi="方正小标宋_GBK" w:eastAsia="方正小标宋_GBK" w:cs="方正小标宋_GBK"/>
                                <w:sz w:val="52"/>
                                <w:szCs w:val="52"/>
                                <w:lang w:val="en-US" w:eastAsia="zh-CN"/>
                              </w:rPr>
                              <w:t>技术规范书</w:t>
                            </w:r>
                          </w:p>
                          <w:p>
                            <w:pPr>
                              <w:jc w:val="center"/>
                              <w:rPr>
                                <w:rFonts w:hint="eastAsia" w:ascii="方正小标宋_GBK" w:hAnsi="方正小标宋_GBK" w:eastAsia="方正小标宋_GBK" w:cs="方正小标宋_GBK"/>
                                <w:sz w:val="52"/>
                                <w:szCs w:val="52"/>
                              </w:rPr>
                            </w:pPr>
                          </w:p>
                        </w:txbxContent>
                      </wps:txbx>
                      <wps:bodyPr rot="0" spcFirstLastPara="0" vertOverflow="overflow" horzOverflow="overflow" vert="horz" wrap="square" numCol="1" spcCol="0" rtlCol="0" fromWordArt="0" anchor="ctr" anchorCtr="0" forceAA="0" compatLnSpc="1"/>
                    </wps:wsp>
                  </a:graphicData>
                </a:graphic>
              </wp:anchor>
            </w:drawing>
          </mc:Choice>
          <mc:Fallback>
            <w:pict>
              <v:shape id="_x0000_s1026" o:spid="_x0000_s1026" o:spt="202" type="#_x0000_t202" style="position:absolute;left:0pt;margin-left:-89.1pt;margin-top:21.75pt;height:234.2pt;width:596.55pt;z-index:251660288;v-text-anchor:middle;mso-width-relative:page;mso-height-relative:page;" fillcolor="#FFFFFF [3201]" filled="t" stroked="f" coordsize="21600,21600" o:gfxdata="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IuM4LdkAAAAMAQAADwAAAAAAAAABACAAAAAiAAAAZHJzL2Rvd25yZXYueG1s&#10;UEsBAhQAFAAAAAgAh07iQP3hxvEwAgAARAQAAA4AAAAAAAAAAQAgAAAAKAEAAGRycy9lMm9Eb2Mu&#10;eG1sUEsFBgAAAAAGAAYAWQEAAMoFAAAAAA==&#10;">
                <v:fill on="t" focussize="0,0"/>
                <v:stroke on="f" weight="0.5pt"/>
                <v:imagedata o:title=""/>
                <o:lock v:ext="edit" aspectratio="f"/>
                <v:textbox>
                  <w:txbxContent>
                    <w:p>
                      <w:pPr>
                        <w:keepNext w:val="0"/>
                        <w:keepLines w:val="0"/>
                        <w:pageBreakBefore w:val="0"/>
                        <w:widowControl w:val="0"/>
                        <w:kinsoku/>
                        <w:wordWrap/>
                        <w:overflowPunct/>
                        <w:topLinePunct w:val="0"/>
                        <w:bidi w:val="0"/>
                        <w:adjustRightInd/>
                        <w:snapToGrid/>
                        <w:spacing w:line="360" w:lineRule="auto"/>
                        <w:ind w:firstLine="0" w:firstLineChars="0"/>
                        <w:jc w:val="center"/>
                        <w:textAlignment w:val="auto"/>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南网产业发展集团2025年新格局下的战新产业管理能力现代化创新实践研究</w:t>
                      </w:r>
                    </w:p>
                    <w:p>
                      <w:pPr>
                        <w:keepNext w:val="0"/>
                        <w:keepLines w:val="0"/>
                        <w:pageBreakBefore w:val="0"/>
                        <w:widowControl w:val="0"/>
                        <w:kinsoku/>
                        <w:wordWrap/>
                        <w:overflowPunct/>
                        <w:topLinePunct w:val="0"/>
                        <w:bidi w:val="0"/>
                        <w:adjustRightInd/>
                        <w:snapToGrid/>
                        <w:ind w:firstLine="0" w:firstLineChars="0"/>
                        <w:jc w:val="center"/>
                        <w:textAlignment w:val="auto"/>
                        <w:rPr>
                          <w:rFonts w:hint="eastAsia" w:ascii="方正小标宋_GBK" w:hAnsi="方正小标宋_GBK" w:eastAsia="方正小标宋_GBK" w:cs="方正小标宋_GBK"/>
                          <w:sz w:val="52"/>
                          <w:szCs w:val="52"/>
                        </w:rPr>
                      </w:pPr>
                    </w:p>
                    <w:p>
                      <w:pPr>
                        <w:keepNext w:val="0"/>
                        <w:keepLines w:val="0"/>
                        <w:pageBreakBefore w:val="0"/>
                        <w:widowControl w:val="0"/>
                        <w:kinsoku/>
                        <w:wordWrap/>
                        <w:overflowPunct/>
                        <w:topLinePunct w:val="0"/>
                        <w:bidi w:val="0"/>
                        <w:adjustRightInd/>
                        <w:snapToGrid/>
                        <w:ind w:firstLine="0" w:firstLineChars="0"/>
                        <w:jc w:val="center"/>
                        <w:textAlignment w:val="auto"/>
                        <w:rPr>
                          <w:rFonts w:hint="eastAsia" w:ascii="方正小标宋_GBK" w:hAnsi="方正小标宋_GBK" w:eastAsia="方正小标宋_GBK" w:cs="方正小标宋_GBK"/>
                          <w:sz w:val="52"/>
                          <w:szCs w:val="52"/>
                          <w:lang w:val="en-US" w:eastAsia="zh-CN"/>
                        </w:rPr>
                      </w:pPr>
                      <w:r>
                        <w:rPr>
                          <w:rFonts w:hint="eastAsia" w:ascii="方正小标宋_GBK" w:hAnsi="方正小标宋_GBK" w:eastAsia="方正小标宋_GBK" w:cs="方正小标宋_GBK"/>
                          <w:sz w:val="52"/>
                          <w:szCs w:val="52"/>
                          <w:lang w:val="en-US" w:eastAsia="zh-CN"/>
                        </w:rPr>
                        <w:t>技术规范书</w:t>
                      </w:r>
                    </w:p>
                    <w:p>
                      <w:pPr>
                        <w:jc w:val="center"/>
                        <w:rPr>
                          <w:rFonts w:hint="eastAsia" w:ascii="方正小标宋_GBK" w:hAnsi="方正小标宋_GBK" w:eastAsia="方正小标宋_GBK" w:cs="方正小标宋_GBK"/>
                          <w:sz w:val="52"/>
                          <w:szCs w:val="52"/>
                        </w:rPr>
                      </w:pPr>
                    </w:p>
                  </w:txbxContent>
                </v:textbox>
              </v:shape>
            </w:pict>
          </mc:Fallback>
        </mc:AlternateContent>
      </w: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left" w:pos="1400"/>
        </w:tabs>
        <w:bidi w:val="0"/>
        <w:jc w:val="left"/>
        <w:rPr>
          <w:lang w:val="en-US" w:eastAsia="zh-CN"/>
        </w:rPr>
        <w:sectPr>
          <w:pgSz w:w="11906" w:h="16838"/>
          <w:pgMar w:top="1440" w:right="1800" w:bottom="1440" w:left="1800" w:header="851" w:footer="992" w:gutter="0"/>
          <w:cols w:space="425" w:num="1"/>
          <w:docGrid w:type="lines" w:linePitch="312" w:charSpace="0"/>
        </w:sectPr>
      </w:pPr>
      <w:r>
        <w:rPr>
          <w:rFonts w:hint="eastAsia"/>
          <w:lang w:val="en-US" w:eastAsia="zh-CN"/>
        </w:rPr>
        <w:tab/>
      </w:r>
      <w:r>
        <mc:AlternateContent>
          <mc:Choice Requires="wps">
            <w:drawing>
              <wp:anchor distT="0" distB="0" distL="114300" distR="114300" simplePos="0" relativeHeight="251661312" behindDoc="0" locked="0" layoutInCell="1" allowOverlap="1">
                <wp:simplePos x="0" y="0"/>
                <wp:positionH relativeFrom="column">
                  <wp:posOffset>14605</wp:posOffset>
                </wp:positionH>
                <wp:positionV relativeFrom="paragraph">
                  <wp:posOffset>1369695</wp:posOffset>
                </wp:positionV>
                <wp:extent cx="5145405" cy="1480820"/>
                <wp:effectExtent l="0" t="0" r="5715" b="1270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5145405" cy="1480820"/>
                        </a:xfrm>
                        <a:prstGeom prst="rect">
                          <a:avLst/>
                        </a:prstGeom>
                        <a:solidFill>
                          <a:srgbClr val="FFFFFF"/>
                        </a:solidFill>
                        <a:ln>
                          <a:noFill/>
                        </a:ln>
                        <a:effectLst/>
                      </wps:spPr>
                      <wps:txbx>
                        <w:txbxContent>
                          <w:p>
                            <w:pPr>
                              <w:ind w:firstLine="0" w:firstLineChars="0"/>
                              <w:jc w:val="center"/>
                              <w:rPr>
                                <w:rFonts w:hint="eastAsia" w:ascii="黑体" w:hAnsi="黑体" w:eastAsia="黑体" w:cs="方正小标宋_GBK"/>
                              </w:rPr>
                            </w:pPr>
                            <w:r>
                              <w:rPr>
                                <w:rFonts w:hint="eastAsia" w:ascii="黑体" w:hAnsi="黑体" w:eastAsia="黑体" w:cs="方正小标宋_GBK"/>
                              </w:rPr>
                              <w:t>南方电网</w:t>
                            </w:r>
                            <w:r>
                              <w:rPr>
                                <w:rFonts w:hint="eastAsia" w:ascii="黑体" w:hAnsi="黑体" w:eastAsia="黑体" w:cs="方正小标宋_GBK"/>
                                <w:lang w:eastAsia="zh-CN"/>
                              </w:rPr>
                              <w:t>产业</w:t>
                            </w:r>
                            <w:r>
                              <w:rPr>
                                <w:rFonts w:hint="eastAsia" w:ascii="黑体" w:hAnsi="黑体" w:eastAsia="黑体" w:cs="方正小标宋_GBK"/>
                                <w:lang w:val="en-US" w:eastAsia="zh-CN"/>
                              </w:rPr>
                              <w:t>发展</w:t>
                            </w:r>
                            <w:r>
                              <w:rPr>
                                <w:rFonts w:hint="eastAsia" w:ascii="黑体" w:hAnsi="黑体" w:eastAsia="黑体" w:cs="方正小标宋_GBK"/>
                                <w:lang w:eastAsia="zh-CN"/>
                              </w:rPr>
                              <w:t>集团</w:t>
                            </w:r>
                            <w:r>
                              <w:rPr>
                                <w:rFonts w:hint="eastAsia" w:ascii="黑体" w:hAnsi="黑体" w:eastAsia="黑体" w:cs="方正小标宋_GBK"/>
                              </w:rPr>
                              <w:t>有限责任公司</w:t>
                            </w:r>
                          </w:p>
                          <w:p>
                            <w:pPr>
                              <w:ind w:firstLine="0" w:firstLineChars="0"/>
                              <w:jc w:val="center"/>
                              <w:rPr>
                                <w:rFonts w:hint="eastAsia" w:ascii="宋体" w:hAnsi="宋体"/>
                                <w:b/>
                                <w:sz w:val="44"/>
                                <w:szCs w:val="44"/>
                              </w:rPr>
                            </w:pPr>
                            <w:r>
                              <w:rPr>
                                <w:rFonts w:hint="eastAsia" w:ascii="黑体" w:hAnsi="黑体" w:eastAsia="黑体" w:cs="方正小标宋_GBK"/>
                              </w:rPr>
                              <w:t>二〇二五年</w:t>
                            </w:r>
                            <w:r>
                              <w:rPr>
                                <w:rFonts w:hint="eastAsia" w:ascii="黑体" w:hAnsi="黑体" w:eastAsia="黑体" w:cs="方正小标宋_GBK"/>
                                <w:lang w:val="en-US" w:eastAsia="zh-CN"/>
                              </w:rPr>
                              <w:t>七</w:t>
                            </w:r>
                            <w:r>
                              <w:rPr>
                                <w:rFonts w:hint="eastAsia" w:ascii="黑体" w:hAnsi="黑体" w:eastAsia="黑体" w:cs="方正小标宋_GBK"/>
                              </w:rPr>
                              <w:t>月</w:t>
                            </w:r>
                          </w:p>
                        </w:txbxContent>
                      </wps:txbx>
                      <wps:bodyPr rot="0" vert="horz" wrap="square" lIns="0" tIns="0" rIns="91440" bIns="45720" anchor="t" anchorCtr="0" upright="1"/>
                    </wps:wsp>
                  </a:graphicData>
                </a:graphic>
              </wp:anchor>
            </w:drawing>
          </mc:Choice>
          <mc:Fallback>
            <w:pict>
              <v:shape id="_x0000_s1026" o:spid="_x0000_s1026" o:spt="202" type="#_x0000_t202" style="position:absolute;left:0pt;margin-left:1.15pt;margin-top:107.85pt;height:116.6pt;width:405.15pt;z-index:251661312;mso-width-relative:page;mso-height-relative:page;" fillcolor="#FFFFFF" filled="t" stroked="f" coordsize="21600,21600" o:gfxdata="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EqRTVdoAAAAJAQAADwAAAAAAAAABACAAAAAiAAAAZHJzL2Rvd25yZXYueG1sUEsBAhQAFAAAAAgA&#10;h07iQNS4OrwjAgAAKwQAAA4AAAAAAAAAAQAgAAAAKQEAAGRycy9lMm9Eb2MueG1sUEsFBgAAAAAG&#10;AAYAWQEAAL4FAAAAAA==&#10;">
                <v:fill on="t" focussize="0,0"/>
                <v:stroke on="f"/>
                <v:imagedata o:title=""/>
                <o:lock v:ext="edit" aspectratio="f"/>
                <v:textbox inset="0mm,0mm,2.54mm,1.27mm">
                  <w:txbxContent>
                    <w:p>
                      <w:pPr>
                        <w:ind w:firstLine="0" w:firstLineChars="0"/>
                        <w:jc w:val="center"/>
                        <w:rPr>
                          <w:rFonts w:hint="eastAsia" w:ascii="黑体" w:hAnsi="黑体" w:eastAsia="黑体" w:cs="方正小标宋_GBK"/>
                        </w:rPr>
                      </w:pPr>
                      <w:r>
                        <w:rPr>
                          <w:rFonts w:hint="eastAsia" w:ascii="黑体" w:hAnsi="黑体" w:eastAsia="黑体" w:cs="方正小标宋_GBK"/>
                        </w:rPr>
                        <w:t>南方电网</w:t>
                      </w:r>
                      <w:r>
                        <w:rPr>
                          <w:rFonts w:hint="eastAsia" w:ascii="黑体" w:hAnsi="黑体" w:eastAsia="黑体" w:cs="方正小标宋_GBK"/>
                          <w:lang w:eastAsia="zh-CN"/>
                        </w:rPr>
                        <w:t>产业</w:t>
                      </w:r>
                      <w:r>
                        <w:rPr>
                          <w:rFonts w:hint="eastAsia" w:ascii="黑体" w:hAnsi="黑体" w:eastAsia="黑体" w:cs="方正小标宋_GBK"/>
                          <w:lang w:val="en-US" w:eastAsia="zh-CN"/>
                        </w:rPr>
                        <w:t>发展</w:t>
                      </w:r>
                      <w:r>
                        <w:rPr>
                          <w:rFonts w:hint="eastAsia" w:ascii="黑体" w:hAnsi="黑体" w:eastAsia="黑体" w:cs="方正小标宋_GBK"/>
                          <w:lang w:eastAsia="zh-CN"/>
                        </w:rPr>
                        <w:t>集团</w:t>
                      </w:r>
                      <w:r>
                        <w:rPr>
                          <w:rFonts w:hint="eastAsia" w:ascii="黑体" w:hAnsi="黑体" w:eastAsia="黑体" w:cs="方正小标宋_GBK"/>
                        </w:rPr>
                        <w:t>有限责任公司</w:t>
                      </w:r>
                    </w:p>
                    <w:p>
                      <w:pPr>
                        <w:ind w:firstLine="0" w:firstLineChars="0"/>
                        <w:jc w:val="center"/>
                        <w:rPr>
                          <w:rFonts w:hint="eastAsia" w:ascii="宋体" w:hAnsi="宋体"/>
                          <w:b/>
                          <w:sz w:val="44"/>
                          <w:szCs w:val="44"/>
                        </w:rPr>
                      </w:pPr>
                      <w:r>
                        <w:rPr>
                          <w:rFonts w:hint="eastAsia" w:ascii="黑体" w:hAnsi="黑体" w:eastAsia="黑体" w:cs="方正小标宋_GBK"/>
                        </w:rPr>
                        <w:t>二〇二五年</w:t>
                      </w:r>
                      <w:r>
                        <w:rPr>
                          <w:rFonts w:hint="eastAsia" w:ascii="黑体" w:hAnsi="黑体" w:eastAsia="黑体" w:cs="方正小标宋_GBK"/>
                          <w:lang w:val="en-US" w:eastAsia="zh-CN"/>
                        </w:rPr>
                        <w:t>七</w:t>
                      </w:r>
                      <w:r>
                        <w:rPr>
                          <w:rFonts w:hint="eastAsia" w:ascii="黑体" w:hAnsi="黑体" w:eastAsia="黑体" w:cs="方正小标宋_GBK"/>
                        </w:rPr>
                        <w:t>月</w:t>
                      </w:r>
                    </w:p>
                  </w:txbxContent>
                </v:textbox>
              </v:shape>
            </w:pict>
          </mc:Fallback>
        </mc:AlternateConten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9"/>
        <w:rPr>
          <w:rFonts w:hint="eastAsia" w:ascii="方正小标宋简体" w:eastAsia="方正小标宋简体" w:hAnsiTheme="minorHAnsi" w:cstheme="minorBidi"/>
          <w:sz w:val="44"/>
          <w:szCs w:val="44"/>
        </w:rPr>
      </w:pPr>
      <w:r>
        <w:rPr>
          <w:rFonts w:hint="eastAsia" w:ascii="方正小标宋简体" w:eastAsia="方正小标宋简体" w:hAnsiTheme="minorHAnsi" w:cstheme="minorBidi"/>
          <w:sz w:val="44"/>
          <w:szCs w:val="44"/>
        </w:rPr>
        <w:t>南网产业发展集团2025年新格局下的战新产业管理能力现代化创新实践研究</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9"/>
        <w:rPr>
          <w:rFonts w:hint="eastAsia" w:ascii="方正小标宋简体" w:eastAsia="方正小标宋简体" w:hAnsiTheme="minorHAnsi" w:cstheme="minorBidi"/>
          <w:sz w:val="44"/>
          <w:szCs w:val="44"/>
          <w:lang w:val="en-US" w:eastAsia="zh-CN"/>
        </w:rPr>
      </w:pPr>
      <w:r>
        <w:rPr>
          <w:rFonts w:hint="eastAsia" w:ascii="方正小标宋简体" w:eastAsia="方正小标宋简体" w:hAnsiTheme="minorHAnsi" w:cstheme="minorBidi"/>
          <w:sz w:val="44"/>
          <w:szCs w:val="44"/>
          <w:lang w:val="en-US" w:eastAsia="zh-CN"/>
        </w:rPr>
        <w:t>技术规范书</w:t>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outlineLvl w:val="9"/>
      </w:pPr>
    </w:p>
    <w:p>
      <w:pPr>
        <w:pStyle w:val="2"/>
        <w:pageBreakBefore w:val="0"/>
        <w:widowControl w:val="0"/>
        <w:numPr>
          <w:ilvl w:val="0"/>
          <w:numId w:val="2"/>
        </w:numPr>
        <w:kinsoku/>
        <w:wordWrap/>
        <w:overflowPunct/>
        <w:topLinePunct w:val="0"/>
        <w:autoSpaceDE/>
        <w:autoSpaceDN/>
        <w:bidi w:val="0"/>
        <w:spacing w:line="560" w:lineRule="exact"/>
        <w:ind w:firstLine="640" w:firstLineChars="0"/>
        <w:textAlignment w:val="auto"/>
        <w:rPr>
          <w:rFonts w:hint="eastAsia"/>
          <w:lang w:val="en-US" w:eastAsia="zh-CN"/>
        </w:rPr>
      </w:pPr>
      <w:r>
        <w:rPr>
          <w:rFonts w:hint="eastAsia" w:ascii="Times New Roman" w:hAnsi="Times New Roman" w:cs="黑体"/>
          <w:lang w:val="en-US" w:eastAsia="zh-CN"/>
        </w:rPr>
        <w:t>项目背景</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szCs w:val="32"/>
        </w:rPr>
      </w:pPr>
      <w:r>
        <w:rPr>
          <w:rFonts w:hint="eastAsia" w:ascii="仿宋_GB2312" w:hAnsi="仿宋_GB2312" w:cs="仿宋_GB2312"/>
          <w:szCs w:val="32"/>
        </w:rPr>
        <w:t>党的二十届三中全会通过的《中共中央关于进一步全面深化改革、推进中国式现代化的决定》明确了“推动国有资本和国有企业做强做优做大，增强核心功能，提高核心竞争力”的目标。孟振平董事长在公司管理体系升级工作部署会中提出：要提升全要素生产率，提升发展的质量和效益，加快实现从粗放型增长向集约型增长转变，全面增强竞争力、创新力、控制力、影响力、抗风险能力，推动实现管理体系和管理能力现代化。南方电网公司为适应现代化管理要求，先后部署实施管理体系升级、企业架构建设、全面质量管理等工作，推动企业管理能力不断增强。</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szCs w:val="32"/>
        </w:rPr>
      </w:pPr>
      <w:r>
        <w:rPr>
          <w:rFonts w:hint="eastAsia" w:ascii="仿宋_GB2312" w:hAnsi="仿宋_GB2312" w:cs="仿宋_GB2312"/>
          <w:szCs w:val="32"/>
        </w:rPr>
        <w:t>南网产业</w:t>
      </w:r>
      <w:r>
        <w:rPr>
          <w:rFonts w:hint="eastAsia" w:ascii="仿宋_GB2312" w:hAnsi="仿宋_GB2312" w:cs="仿宋_GB2312"/>
          <w:szCs w:val="32"/>
          <w:lang w:val="en-US" w:eastAsia="zh-CN"/>
        </w:rPr>
        <w:t>发展</w:t>
      </w:r>
      <w:r>
        <w:rPr>
          <w:rFonts w:hint="eastAsia" w:ascii="仿宋_GB2312" w:hAnsi="仿宋_GB2312" w:cs="仿宋_GB2312"/>
          <w:szCs w:val="32"/>
        </w:rPr>
        <w:t>集团作为南方电网公司发展战略性新兴产业的重要实施平台，自2019年正式运营以来，先后形成新能源汽车服务、互联网平台服务、通用航空服务、电力设计咨询服务等业务板块，公司经营指标快速增长，并高质量谋划实施新一轮国企改革深化提升行动，不断提升公司现代化管理水平。但距离“2025年基本成为具有世界一流企业特征的战略性新兴产业集团”目标存在一定的差距，仍处于集团管控和适应市场化业务拓展相结合的管理优化阶段，基础管理比较薄弱，缺乏沉淀积累，集团化管控界面有待优化，在</w:t>
      </w:r>
      <w:r>
        <w:rPr>
          <w:rFonts w:hint="eastAsia" w:ascii="仿宋_GB2312" w:hAnsi="仿宋_GB2312" w:cs="仿宋_GB2312"/>
          <w:szCs w:val="32"/>
          <w:lang w:val="en-US" w:eastAsia="zh-CN"/>
        </w:rPr>
        <w:t>集团管控、软科学研究</w:t>
      </w:r>
      <w:r>
        <w:rPr>
          <w:rFonts w:hint="eastAsia" w:ascii="仿宋_GB2312" w:hAnsi="仿宋_GB2312" w:cs="仿宋_GB2312"/>
          <w:szCs w:val="32"/>
        </w:rPr>
        <w:t>、</w:t>
      </w:r>
      <w:r>
        <w:rPr>
          <w:rFonts w:hint="eastAsia" w:ascii="仿宋_GB2312" w:hAnsi="仿宋_GB2312" w:cs="仿宋_GB2312"/>
          <w:szCs w:val="32"/>
          <w:lang w:val="en-US" w:eastAsia="zh-CN"/>
        </w:rPr>
        <w:t>质量管理</w:t>
      </w:r>
      <w:r>
        <w:rPr>
          <w:rFonts w:hint="eastAsia" w:ascii="仿宋_GB2312" w:hAnsi="仿宋_GB2312" w:cs="仿宋_GB2312"/>
          <w:szCs w:val="32"/>
        </w:rPr>
        <w:t>等方面均存在诸多不足。</w:t>
      </w:r>
    </w:p>
    <w:p>
      <w:pPr>
        <w:pStyle w:val="2"/>
        <w:pageBreakBefore w:val="0"/>
        <w:widowControl w:val="0"/>
        <w:numPr>
          <w:ilvl w:val="0"/>
          <w:numId w:val="2"/>
        </w:numPr>
        <w:kinsoku/>
        <w:wordWrap/>
        <w:overflowPunct/>
        <w:topLinePunct w:val="0"/>
        <w:autoSpaceDE/>
        <w:autoSpaceDN/>
        <w:bidi w:val="0"/>
        <w:spacing w:line="560" w:lineRule="exact"/>
        <w:ind w:firstLine="640" w:firstLineChars="0"/>
        <w:textAlignment w:val="auto"/>
        <w:rPr>
          <w:rFonts w:hint="default" w:ascii="Times New Roman" w:hAnsi="Times New Roman" w:cs="黑体"/>
          <w:lang w:val="en-US" w:eastAsia="zh-CN"/>
        </w:rPr>
      </w:pPr>
      <w:r>
        <w:rPr>
          <w:rFonts w:hint="eastAsia"/>
          <w:lang w:val="en-US" w:eastAsia="zh-CN"/>
        </w:rPr>
        <w:t>项目总体目标</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szCs w:val="32"/>
        </w:rPr>
      </w:pPr>
      <w:r>
        <w:rPr>
          <w:rFonts w:hint="eastAsia" w:ascii="仿宋_GB2312" w:hAnsi="仿宋_GB2312" w:cs="仿宋_GB2312"/>
          <w:szCs w:val="32"/>
        </w:rPr>
        <w:t>为贯彻落实党中央、国务院关于建设现代化产业体系、推动战略性新兴产业融合集群发展和新一轮国企改革战略部署，全面落实南方电网公司党组决策，以管理能力现代化建设为导向，探索开展新格局下战新产业管理能力现代化研究，全面提升公司管理能力和管理水平，推动公司高质量发展，具体目标如下：</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szCs w:val="32"/>
        </w:rPr>
      </w:pPr>
      <w:r>
        <w:rPr>
          <w:rFonts w:hint="eastAsia" w:ascii="仿宋_GB2312" w:hAnsi="仿宋_GB2312" w:cs="仿宋_GB2312"/>
          <w:szCs w:val="32"/>
        </w:rPr>
        <w:t>（1）全面构建具有战新产业特色的集团化管控模式，实现战新产业管理能力现代化统筹管控。基于国家战略部署和行业发展新业态，以市场化视角系统研究战新产业集团化管控影响因素，构建集团化管控评价模型，系统化明确管控对象，结合各战新产业板块业务特点，构建管控成熟度评价模型，差异化明确管控主体，基于管控模式研究成果，进一步细化管理权责清单，针对性明确管控方式，推动管控模式与管理体系的深度融合，实现集团化管控的高效落地。</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rPr>
        <w:t>（2）创新打造战新产业</w:t>
      </w:r>
      <w:r>
        <w:rPr>
          <w:rFonts w:hint="eastAsia" w:ascii="仿宋_GB2312" w:hAnsi="仿宋_GB2312" w:cs="仿宋_GB2312"/>
          <w:szCs w:val="32"/>
          <w:lang w:val="en-US" w:eastAsia="zh-CN"/>
        </w:rPr>
        <w:t>软科学实验室</w:t>
      </w:r>
      <w:r>
        <w:rPr>
          <w:rFonts w:hint="eastAsia" w:ascii="仿宋_GB2312" w:hAnsi="仿宋_GB2312" w:cs="仿宋_GB2312"/>
          <w:szCs w:val="32"/>
        </w:rPr>
        <w:t>，提供战新产业现代化发展决策支撑。</w:t>
      </w:r>
      <w:r>
        <w:rPr>
          <w:rFonts w:hint="eastAsia" w:ascii="仿宋_GB2312" w:hAnsi="仿宋_GB2312" w:cs="仿宋_GB2312"/>
          <w:szCs w:val="32"/>
          <w:lang w:val="en-US" w:eastAsia="zh-CN"/>
        </w:rPr>
        <w:t>探索构建“1+N+M”的分层级软科学实验室，立足服务公司科学决策，明确软科学实验室的建设需求、建设路径及核心要素，</w:t>
      </w:r>
      <w:r>
        <w:rPr>
          <w:rFonts w:hint="eastAsia" w:ascii="仿宋_GB2312" w:hAnsi="仿宋_GB2312" w:cs="仿宋_GB2312"/>
          <w:szCs w:val="32"/>
        </w:rPr>
        <w:t>为集团战略性新兴产业发展提供高质量的决策参考。</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szCs w:val="32"/>
        </w:rPr>
      </w:pPr>
      <w:r>
        <w:rPr>
          <w:rFonts w:hint="eastAsia" w:ascii="仿宋_GB2312" w:hAnsi="仿宋_GB2312" w:cs="仿宋_GB2312"/>
          <w:szCs w:val="32"/>
        </w:rPr>
        <w:t>（</w:t>
      </w:r>
      <w:r>
        <w:rPr>
          <w:rFonts w:hint="eastAsia" w:ascii="仿宋_GB2312" w:hAnsi="仿宋_GB2312" w:cs="仿宋_GB2312"/>
          <w:szCs w:val="32"/>
          <w:lang w:val="en-US" w:eastAsia="zh-CN"/>
        </w:rPr>
        <w:t>3</w:t>
      </w:r>
      <w:r>
        <w:rPr>
          <w:rFonts w:hint="eastAsia" w:ascii="仿宋_GB2312" w:hAnsi="仿宋_GB2312" w:cs="仿宋_GB2312"/>
          <w:szCs w:val="32"/>
        </w:rPr>
        <w:t>）围绕公司产业链上下游生态企业开展质量协同路径研究，推动公司各产业板块质量协同的管理提升。依托质量特性分析，明确公司产品、服务图谱，分析公司所处产业链质量生态定位，明确产业链质量协同路径，持续提升公司各板块产业控制力。</w:t>
      </w:r>
    </w:p>
    <w:p>
      <w:pPr>
        <w:pStyle w:val="2"/>
        <w:pageBreakBefore w:val="0"/>
        <w:widowControl w:val="0"/>
        <w:numPr>
          <w:ilvl w:val="0"/>
          <w:numId w:val="2"/>
        </w:numPr>
        <w:kinsoku/>
        <w:wordWrap/>
        <w:overflowPunct/>
        <w:topLinePunct w:val="0"/>
        <w:autoSpaceDE/>
        <w:autoSpaceDN/>
        <w:bidi w:val="0"/>
        <w:spacing w:line="560" w:lineRule="exact"/>
        <w:ind w:firstLine="640" w:firstLineChars="0"/>
        <w:textAlignment w:val="auto"/>
        <w:rPr>
          <w:rFonts w:hint="eastAsia" w:ascii="Times New Roman" w:hAnsi="Times New Roman"/>
          <w:lang w:val="en-US" w:eastAsia="zh-CN"/>
        </w:rPr>
      </w:pPr>
      <w:r>
        <w:rPr>
          <w:rFonts w:hint="eastAsia" w:ascii="Times New Roman" w:hAnsi="Times New Roman"/>
          <w:lang w:val="en-US" w:eastAsia="zh-CN"/>
        </w:rPr>
        <w:t>工作成果要求</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default" w:ascii="仿宋_GB2312" w:hAnsi="仿宋_GB2312" w:cs="仿宋_GB2312"/>
          <w:b/>
          <w:bCs/>
          <w:szCs w:val="32"/>
          <w:lang w:val="en-US" w:eastAsia="zh-CN"/>
        </w:rPr>
        <w:t>1</w:t>
      </w:r>
      <w:r>
        <w:rPr>
          <w:rFonts w:hint="eastAsia" w:ascii="仿宋_GB2312" w:hAnsi="仿宋_GB2312" w:cs="仿宋_GB2312"/>
          <w:b/>
          <w:bCs/>
          <w:szCs w:val="32"/>
          <w:lang w:val="en-US" w:eastAsia="zh-CN"/>
        </w:rPr>
        <w:t>.</w:t>
      </w:r>
      <w:r>
        <w:rPr>
          <w:rFonts w:hint="default" w:ascii="仿宋_GB2312" w:hAnsi="仿宋_GB2312" w:cs="仿宋_GB2312"/>
          <w:b/>
          <w:bCs/>
          <w:szCs w:val="32"/>
          <w:lang w:val="en-US" w:eastAsia="zh-CN"/>
        </w:rPr>
        <w:t>集团化特色管控模式与管理体系融合研究</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default" w:ascii="仿宋_GB2312" w:hAnsi="仿宋_GB2312" w:cs="仿宋_GB2312"/>
          <w:szCs w:val="32"/>
          <w:lang w:val="en-US" w:eastAsia="zh-CN"/>
        </w:rPr>
        <w:t>一是战新产业集团化管控影响因素研究，针对国家及行业、南方电网公司、管控主体（南网产业发展集团）、管控客体（各所属单位）及管控业务五个层面维度开展战新产业集团化管控影响因素研究</w:t>
      </w:r>
      <w:r>
        <w:rPr>
          <w:rFonts w:hint="eastAsia" w:ascii="仿宋_GB2312" w:hAnsi="仿宋_GB2312" w:cs="仿宋_GB2312"/>
          <w:szCs w:val="32"/>
          <w:lang w:val="en-US" w:eastAsia="zh-CN"/>
        </w:rPr>
        <w:t>。</w:t>
      </w:r>
      <w:r>
        <w:rPr>
          <w:rFonts w:hint="default" w:ascii="仿宋_GB2312" w:hAnsi="仿宋_GB2312" w:cs="仿宋_GB2312"/>
          <w:szCs w:val="32"/>
          <w:lang w:val="en-US" w:eastAsia="zh-CN"/>
        </w:rPr>
        <w:t>二是战新产业集团化管控评价模型研究，基于集团化管控影响因素研究，合理应用模糊评价方法配置各要素权重，界定差异化管控边界范畴，通过对公司具体事项判别，逐层汇总建立业务事项管控清单，明确管控模式和管控边界。三是集团管控与公司管理体系升级融合研究，遵从管理体系“四化”建设路径，梳理集团化管控与公司管理体系的衔接逻辑，逐步将集团管控固化至公司管理体系升级中，持续优化公司管控体系，迭代完善公司级企业架构蓝图，推动管理体系承载战新产业集团化管控的落地实践。</w:t>
      </w:r>
      <w:r>
        <w:rPr>
          <w:rFonts w:hint="default" w:ascii="仿宋_GB2312" w:hAnsi="仿宋_GB2312" w:cs="仿宋_GB2312"/>
          <w:b/>
          <w:bCs/>
          <w:szCs w:val="32"/>
          <w:lang w:val="en-US" w:eastAsia="zh-CN"/>
        </w:rPr>
        <w:t>成果及交付标准：</w:t>
      </w:r>
      <w:r>
        <w:rPr>
          <w:rFonts w:hint="default" w:ascii="仿宋_GB2312" w:hAnsi="仿宋_GB2312" w:cs="仿宋_GB2312"/>
          <w:szCs w:val="32"/>
          <w:lang w:val="en-US" w:eastAsia="zh-CN"/>
        </w:rPr>
        <w:t>《集团化特色管控模式研究报告》《战新产业集团化管控评价模型》《公司集团化管控权责标准清单》《公司集团化管控全景图报告》《公司管理体系落地实践报告》《公司企业架构元素贯穿实践报告》</w:t>
      </w:r>
      <w:r>
        <w:rPr>
          <w:rFonts w:hint="eastAsia" w:ascii="仿宋_GB2312" w:hAnsi="仿宋_GB2312" w:cs="仿宋_GB2312"/>
          <w:szCs w:val="32"/>
          <w:lang w:val="en-US" w:eastAsia="zh-CN"/>
        </w:rPr>
        <w:t>，成果需响应上述研究内容，符合项目目标要求，满足招标人需求</w:t>
      </w:r>
      <w:r>
        <w:rPr>
          <w:rFonts w:hint="default" w:ascii="仿宋_GB2312" w:hAnsi="仿宋_GB2312" w:cs="仿宋_GB2312"/>
          <w:szCs w:val="32"/>
          <w:lang w:val="en-US" w:eastAsia="zh-CN"/>
        </w:rPr>
        <w:t>。</w:t>
      </w:r>
      <w:bookmarkStart w:id="0" w:name="_GoBack"/>
      <w:bookmarkEnd w:id="0"/>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default" w:ascii="仿宋_GB2312" w:hAnsi="仿宋_GB2312" w:cs="仿宋_GB2312"/>
          <w:b/>
          <w:bCs/>
          <w:szCs w:val="32"/>
          <w:lang w:val="en-US" w:eastAsia="zh-CN"/>
        </w:rPr>
        <w:t>2</w:t>
      </w:r>
      <w:r>
        <w:rPr>
          <w:rFonts w:hint="eastAsia" w:ascii="仿宋_GB2312" w:hAnsi="仿宋_GB2312" w:cs="仿宋_GB2312"/>
          <w:b/>
          <w:bCs/>
          <w:szCs w:val="32"/>
          <w:lang w:val="en-US" w:eastAsia="zh-CN"/>
        </w:rPr>
        <w:t>.</w:t>
      </w:r>
      <w:r>
        <w:rPr>
          <w:rFonts w:hint="default" w:ascii="仿宋_GB2312" w:hAnsi="仿宋_GB2312" w:cs="仿宋_GB2312"/>
          <w:b/>
          <w:bCs/>
          <w:szCs w:val="32"/>
          <w:lang w:val="en-US" w:eastAsia="zh-CN"/>
        </w:rPr>
        <w:t>战新产业软科学试验室建设研究</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default" w:ascii="仿宋_GB2312" w:hAnsi="仿宋_GB2312" w:cs="仿宋_GB2312"/>
          <w:szCs w:val="32"/>
          <w:lang w:val="en-US" w:eastAsia="zh-CN"/>
        </w:rPr>
        <w:t>一是分层分级软科学实验室建设需求分析，结合战新产业发展实际，围绕战新产业发展政策引导，探索适配战新产业高质量发展的“1+N+M”软科学实验室，明确各层级实验室的重点研究领域和主要研究方向。二是“1+N+M”软科学实验室建设路径研究，以各层级软科学实验室定位为核心，聚焦相关领域研究方向、特色特征与关键议题，研究设计配套的组织架构、资源保障机制，完善软科学实验室管理机制与评价体系，明确各级软科学实验室建设方式，确保研究成果的高质量输出与有效转化。三是各级软科学实验室核心要素研究，立足公司战略级、专业级、分子公司级实验室的建设重点和研究方向，面向政策全过程，研究明确各类实验室方法模型、数据信息、实验平台、研究团队、治理场景等核心要素的建设内容。</w:t>
      </w:r>
      <w:r>
        <w:rPr>
          <w:rFonts w:hint="default" w:ascii="仿宋_GB2312" w:hAnsi="仿宋_GB2312" w:cs="仿宋_GB2312"/>
          <w:b/>
          <w:bCs/>
          <w:szCs w:val="32"/>
          <w:lang w:val="en-US" w:eastAsia="zh-CN"/>
        </w:rPr>
        <w:t>成果及交付标准：</w:t>
      </w:r>
      <w:r>
        <w:rPr>
          <w:rFonts w:hint="default" w:ascii="仿宋_GB2312" w:hAnsi="仿宋_GB2312" w:cs="仿宋_GB2312"/>
          <w:szCs w:val="32"/>
          <w:lang w:val="en-US" w:eastAsia="zh-CN"/>
        </w:rPr>
        <w:t>《战新产业软科学实验室建设需求分析》《战新产业软科学实验室建设路径研究》《战新产业软科学实验室核心要素研究》</w:t>
      </w:r>
      <w:r>
        <w:rPr>
          <w:rFonts w:hint="eastAsia" w:ascii="仿宋_GB2312" w:hAnsi="仿宋_GB2312" w:cs="仿宋_GB2312"/>
          <w:szCs w:val="32"/>
          <w:lang w:val="en-US" w:eastAsia="zh-CN"/>
        </w:rPr>
        <w:t>，成果需响应上述研究内容，符合项目目标要求，满足招标人需求</w:t>
      </w:r>
      <w:r>
        <w:rPr>
          <w:rFonts w:hint="default" w:ascii="仿宋_GB2312" w:hAnsi="仿宋_GB2312" w:cs="仿宋_GB2312"/>
          <w:szCs w:val="32"/>
          <w:lang w:val="en-US" w:eastAsia="zh-CN"/>
        </w:rPr>
        <w:t>。</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eastAsia" w:ascii="仿宋_GB2312" w:hAnsi="仿宋_GB2312" w:cs="仿宋_GB2312"/>
          <w:b/>
          <w:bCs/>
          <w:szCs w:val="32"/>
          <w:lang w:val="en-US" w:eastAsia="zh-CN"/>
        </w:rPr>
        <w:t>3.</w:t>
      </w:r>
      <w:r>
        <w:rPr>
          <w:rFonts w:hint="default" w:ascii="仿宋_GB2312" w:hAnsi="仿宋_GB2312" w:cs="仿宋_GB2312"/>
          <w:b/>
          <w:bCs/>
          <w:szCs w:val="32"/>
          <w:lang w:val="en-US" w:eastAsia="zh-CN"/>
        </w:rPr>
        <w:t>面向质量强企建设的产业链质量生态与质量协同创新实践</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default" w:ascii="仿宋_GB2312" w:hAnsi="仿宋_GB2312" w:cs="仿宋_GB2312"/>
          <w:szCs w:val="32"/>
          <w:lang w:val="en-US" w:eastAsia="zh-CN"/>
        </w:rPr>
        <w:t>一是开展产业链质量协同、质量生态前沿理论与领先实践研究，围绕产业质量联系、企业布局、质量管理分工关系等内容，收集国内产业链质量协同优秀案例，对产业链质量协同的链条形态、运行规律等方面开展实践经验总结，并全面梳理国家有关新质生产力、战新产业等政策对产业链的发展要求，总结产业链质量协同领先经验，为南方电网公司产业链质量生态建设提供前沿实践案例。二是产业链上下游企业质量协同影响因素研究，通过明确范畴间的主次关系，挖掘主范畴与核心范畴之间的内在关系，依托核心类属对其他类属的“提纲挈领”作用，划分影响试点单位产业链质量协同的外部因素，包括政策环境、市场环境等；明确影响试点单位产业链质量协同的主体因素，包括生产端能力、主体协同意愿、用户质量评价等；提炼影响试点单位产业链质量协同的协同能力因素，包括物流服务协同能力、追溯服务协同能力、监管服务协同能力、信息服务协同能力等，对产业链质量协同影响能力进行整理总结，利用组合权重法等方法，寻找产业链质量协同关键影响因素，为打造产业链质量生态提供最优质量路径。 二是公司质量生态与质量协同创新实践研究，依托产业链质量协同影响路径，分析公司质量生态角色定位，识别并定义各类利益相关者（如供应商、客户、科研机构等）在质量生态中的角色，明确其对质量管理的贡献与影响，探索建立质量协同创新机制设计研究，设计以产业链质量协同为核心的创新机制，推动资源整合与信息共享；明确激励措施，鼓励内部员工和外部合作伙伴积极参与质量协同创新。</w:t>
      </w:r>
      <w:r>
        <w:rPr>
          <w:rFonts w:hint="default" w:ascii="仿宋_GB2312" w:hAnsi="仿宋_GB2312" w:cs="仿宋_GB2312"/>
          <w:b/>
          <w:bCs/>
          <w:szCs w:val="32"/>
          <w:lang w:val="en-US" w:eastAsia="zh-CN"/>
        </w:rPr>
        <w:t>成果及交付标准：</w:t>
      </w:r>
      <w:r>
        <w:rPr>
          <w:rFonts w:hint="default" w:ascii="仿宋_GB2312" w:hAnsi="仿宋_GB2312" w:cs="仿宋_GB2312"/>
          <w:szCs w:val="32"/>
          <w:lang w:val="en-US" w:eastAsia="zh-CN"/>
        </w:rPr>
        <w:t>《产业链质量协同优秀案例分析》《基于质量管理的公司产品图谱分析》《公司产业链质量生态定位分析报告》《公司质量生态与质量协同创新实践研究报告》</w:t>
      </w:r>
      <w:r>
        <w:rPr>
          <w:rFonts w:hint="eastAsia" w:ascii="仿宋_GB2312" w:hAnsi="仿宋_GB2312" w:cs="仿宋_GB2312"/>
          <w:szCs w:val="32"/>
          <w:lang w:val="en-US" w:eastAsia="zh-CN"/>
        </w:rPr>
        <w:t>，成果需响应上述研究内容，符合项目目标要求，满足招标人需求</w:t>
      </w:r>
      <w:r>
        <w:rPr>
          <w:rFonts w:hint="default" w:ascii="仿宋_GB2312" w:hAnsi="仿宋_GB2312" w:cs="仿宋_GB2312"/>
          <w:szCs w:val="32"/>
          <w:lang w:val="en-US" w:eastAsia="zh-CN"/>
        </w:rPr>
        <w:t>。</w:t>
      </w:r>
    </w:p>
    <w:p>
      <w:pPr>
        <w:pStyle w:val="2"/>
        <w:pageBreakBefore w:val="0"/>
        <w:widowControl w:val="0"/>
        <w:numPr>
          <w:ilvl w:val="0"/>
          <w:numId w:val="2"/>
        </w:numPr>
        <w:kinsoku/>
        <w:wordWrap/>
        <w:overflowPunct/>
        <w:topLinePunct w:val="0"/>
        <w:autoSpaceDE/>
        <w:autoSpaceDN/>
        <w:bidi w:val="0"/>
        <w:spacing w:line="560" w:lineRule="exact"/>
        <w:ind w:firstLine="640" w:firstLineChars="0"/>
        <w:textAlignment w:val="auto"/>
        <w:rPr>
          <w:rFonts w:hint="eastAsia" w:ascii="Times New Roman" w:hAnsi="Times New Roman"/>
          <w:lang w:val="en-US" w:eastAsia="zh-CN"/>
        </w:rPr>
      </w:pPr>
      <w:r>
        <w:rPr>
          <w:rFonts w:hint="eastAsia"/>
          <w:lang w:val="en-US" w:eastAsia="zh-CN"/>
        </w:rPr>
        <w:t>总体技术要求</w:t>
      </w:r>
    </w:p>
    <w:p>
      <w:pPr>
        <w:rPr>
          <w:rFonts w:hint="default" w:eastAsia="仿宋_GB2312"/>
          <w:lang w:val="en-US" w:eastAsia="zh-CN"/>
        </w:rPr>
      </w:pPr>
      <w:r>
        <w:rPr>
          <w:rFonts w:hint="eastAsia" w:ascii="仿宋_GB2312" w:hAnsi="仿宋_GB2312" w:cs="仿宋_GB2312"/>
          <w:szCs w:val="32"/>
        </w:rPr>
        <w:t>落实党中央、国务院关于建设现代化产业体系、推动战略性新兴产业融合集群发展和新一轮国企改革战略部署</w:t>
      </w:r>
      <w:r>
        <w:rPr>
          <w:rFonts w:hint="eastAsia" w:ascii="仿宋_GB2312" w:hAnsi="仿宋_GB2312" w:cs="仿宋_GB2312"/>
          <w:szCs w:val="32"/>
          <w:lang w:eastAsia="zh-CN"/>
        </w:rPr>
        <w:t>，</w:t>
      </w:r>
      <w:r>
        <w:rPr>
          <w:rFonts w:hint="eastAsia" w:ascii="仿宋_GB2312" w:hAnsi="仿宋_GB2312" w:cs="仿宋_GB2312"/>
          <w:szCs w:val="32"/>
          <w:lang w:val="en-US" w:eastAsia="zh-CN"/>
        </w:rPr>
        <w:t>深入对标借鉴国内领先企业，结合集团发展现状、各单位业务特点、管理成熟度等实际情况，优化集团管控模式，探索集团软科学实验室建设路径，分析集团产业链质量生态定位。夯实管理基础、提高管理水平，助力集团加快推进世界一流企业建设。</w:t>
      </w:r>
    </w:p>
    <w:p>
      <w:pPr>
        <w:pStyle w:val="2"/>
        <w:pageBreakBefore w:val="0"/>
        <w:widowControl w:val="0"/>
        <w:numPr>
          <w:ilvl w:val="0"/>
          <w:numId w:val="2"/>
        </w:numPr>
        <w:kinsoku/>
        <w:wordWrap/>
        <w:overflowPunct/>
        <w:topLinePunct w:val="0"/>
        <w:autoSpaceDE/>
        <w:autoSpaceDN/>
        <w:bidi w:val="0"/>
        <w:spacing w:line="560" w:lineRule="exact"/>
        <w:ind w:firstLine="640" w:firstLineChars="0"/>
        <w:textAlignment w:val="auto"/>
        <w:rPr>
          <w:rFonts w:hint="eastAsia" w:ascii="Times New Roman" w:hAnsi="Times New Roman"/>
          <w:lang w:val="en-US" w:eastAsia="zh-CN"/>
        </w:rPr>
      </w:pPr>
      <w:r>
        <w:rPr>
          <w:rFonts w:hint="eastAsia" w:ascii="Times New Roman" w:hAnsi="Times New Roman"/>
          <w:lang w:val="en-US" w:eastAsia="zh-CN"/>
        </w:rPr>
        <w:t>项目时间预算</w:t>
      </w:r>
    </w:p>
    <w:p>
      <w:pPr>
        <w:rPr>
          <w:rFonts w:hint="default"/>
          <w:lang w:val="en-US" w:eastAsia="zh-CN"/>
        </w:rPr>
      </w:pPr>
      <w:r>
        <w:rPr>
          <w:rFonts w:hint="eastAsia"/>
          <w:lang w:val="en-US" w:eastAsia="zh-CN"/>
        </w:rPr>
        <w:t>投标方应制定详细的工作计划，保障项目研究的顺利实施，时间进度要明确各阶段的主要工作、成果及时限。</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default" w:ascii="仿宋_GB2312" w:hAnsi="仿宋_GB2312" w:cs="仿宋_GB2312"/>
          <w:b/>
          <w:bCs/>
          <w:szCs w:val="32"/>
          <w:lang w:val="en-US" w:eastAsia="zh-CN"/>
        </w:rPr>
        <w:t>1</w:t>
      </w:r>
      <w:r>
        <w:rPr>
          <w:rFonts w:hint="eastAsia" w:ascii="仿宋_GB2312" w:hAnsi="仿宋_GB2312" w:cs="仿宋_GB2312"/>
          <w:b/>
          <w:bCs/>
          <w:szCs w:val="32"/>
          <w:lang w:val="en-US" w:eastAsia="zh-CN"/>
        </w:rPr>
        <w:t>.</w:t>
      </w:r>
      <w:r>
        <w:rPr>
          <w:rFonts w:hint="default" w:ascii="仿宋_GB2312" w:hAnsi="仿宋_GB2312" w:cs="仿宋_GB2312"/>
          <w:b/>
          <w:bCs/>
          <w:szCs w:val="32"/>
          <w:lang w:val="en-US" w:eastAsia="zh-CN"/>
        </w:rPr>
        <w:t>集团化特色管控模式与管理体系融合研究</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合同签订60日内，完成产业集团管控现状研究，总结现状存在的问题，分析适配战新产业科学管控方法，开展国内外先进企业管控方法研究。</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交付物：</w:t>
      </w:r>
      <w:r>
        <w:rPr>
          <w:rFonts w:hint="default" w:ascii="仿宋_GB2312" w:hAnsi="仿宋_GB2312" w:cs="仿宋_GB2312"/>
          <w:szCs w:val="32"/>
          <w:lang w:val="en-US" w:eastAsia="zh-CN"/>
        </w:rPr>
        <w:t>《集团化特色管控模式研究报告》</w:t>
      </w:r>
      <w:r>
        <w:rPr>
          <w:rFonts w:hint="eastAsia" w:ascii="仿宋_GB2312" w:hAnsi="仿宋_GB2312" w:cs="仿宋_GB2312"/>
          <w:szCs w:val="32"/>
          <w:lang w:val="en-US" w:eastAsia="zh-CN"/>
        </w:rPr>
        <w:t>1份；</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szCs w:val="32"/>
          <w:lang w:val="en-US" w:eastAsia="zh-CN"/>
        </w:rPr>
      </w:pPr>
      <w:r>
        <w:rPr>
          <w:rFonts w:hint="eastAsia" w:ascii="仿宋_GB2312" w:hAnsi="仿宋_GB2312" w:cs="仿宋_GB2312"/>
          <w:szCs w:val="32"/>
          <w:lang w:val="en-US" w:eastAsia="zh-CN"/>
        </w:rPr>
        <w:t>2025年11月前，完成集团化管控权责标准研究、全景图研究。</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交付物：</w:t>
      </w:r>
      <w:r>
        <w:rPr>
          <w:rFonts w:hint="default" w:ascii="仿宋_GB2312" w:hAnsi="仿宋_GB2312" w:cs="仿宋_GB2312"/>
          <w:szCs w:val="32"/>
          <w:lang w:val="en-US" w:eastAsia="zh-CN"/>
        </w:rPr>
        <w:t>《战新产业集团化管控评价模型》</w:t>
      </w:r>
      <w:r>
        <w:rPr>
          <w:rFonts w:hint="eastAsia" w:ascii="仿宋_GB2312" w:hAnsi="仿宋_GB2312" w:cs="仿宋_GB2312"/>
          <w:szCs w:val="32"/>
          <w:lang w:val="en-US" w:eastAsia="zh-CN"/>
        </w:rPr>
        <w:t>1份；</w:t>
      </w:r>
      <w:r>
        <w:rPr>
          <w:rFonts w:hint="default" w:ascii="仿宋_GB2312" w:hAnsi="仿宋_GB2312" w:cs="仿宋_GB2312"/>
          <w:szCs w:val="32"/>
          <w:lang w:val="en-US" w:eastAsia="zh-CN"/>
        </w:rPr>
        <w:t>《公司集团化管控权责标准清单》</w:t>
      </w:r>
      <w:r>
        <w:rPr>
          <w:rFonts w:hint="eastAsia" w:ascii="仿宋_GB2312" w:hAnsi="仿宋_GB2312" w:cs="仿宋_GB2312"/>
          <w:szCs w:val="32"/>
          <w:lang w:val="en-US" w:eastAsia="zh-CN"/>
        </w:rPr>
        <w:t>1份；</w:t>
      </w:r>
      <w:r>
        <w:rPr>
          <w:rFonts w:hint="default" w:ascii="仿宋_GB2312" w:hAnsi="仿宋_GB2312" w:cs="仿宋_GB2312"/>
          <w:szCs w:val="32"/>
          <w:lang w:val="en-US" w:eastAsia="zh-CN"/>
        </w:rPr>
        <w:t>《公司集团化管控全景图报告》</w:t>
      </w:r>
      <w:r>
        <w:rPr>
          <w:rFonts w:hint="eastAsia" w:ascii="仿宋_GB2312" w:hAnsi="仿宋_GB2312" w:cs="仿宋_GB2312"/>
          <w:szCs w:val="32"/>
          <w:lang w:val="en-US" w:eastAsia="zh-CN"/>
        </w:rPr>
        <w:t>1份。</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2026年2月前，完成公司管理体系升级研究，完成企业架构元素贯穿基层单位实践研究。</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交付物：</w:t>
      </w:r>
      <w:r>
        <w:rPr>
          <w:rFonts w:hint="default" w:ascii="仿宋_GB2312" w:hAnsi="仿宋_GB2312" w:cs="仿宋_GB2312"/>
          <w:szCs w:val="32"/>
          <w:lang w:val="en-US" w:eastAsia="zh-CN"/>
        </w:rPr>
        <w:t>《公司管理体系落地实践报告》</w:t>
      </w:r>
      <w:r>
        <w:rPr>
          <w:rFonts w:hint="eastAsia" w:ascii="仿宋_GB2312" w:hAnsi="仿宋_GB2312" w:cs="仿宋_GB2312"/>
          <w:szCs w:val="32"/>
          <w:lang w:val="en-US" w:eastAsia="zh-CN"/>
        </w:rPr>
        <w:t>1份；</w:t>
      </w:r>
      <w:r>
        <w:rPr>
          <w:rFonts w:hint="default" w:ascii="仿宋_GB2312" w:hAnsi="仿宋_GB2312" w:cs="仿宋_GB2312"/>
          <w:szCs w:val="32"/>
          <w:lang w:val="en-US" w:eastAsia="zh-CN"/>
        </w:rPr>
        <w:t>《公司企业架构元素贯穿实践报告》</w:t>
      </w:r>
      <w:r>
        <w:rPr>
          <w:rFonts w:hint="eastAsia" w:ascii="仿宋_GB2312" w:hAnsi="仿宋_GB2312" w:cs="仿宋_GB2312"/>
          <w:szCs w:val="32"/>
          <w:lang w:val="en-US" w:eastAsia="zh-CN"/>
        </w:rPr>
        <w:t>1份</w:t>
      </w:r>
      <w:r>
        <w:rPr>
          <w:rFonts w:hint="default" w:ascii="仿宋_GB2312" w:hAnsi="仿宋_GB2312" w:cs="仿宋_GB2312"/>
          <w:szCs w:val="32"/>
          <w:lang w:val="en-US" w:eastAsia="zh-CN"/>
        </w:rPr>
        <w:t>。</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default" w:ascii="仿宋_GB2312" w:hAnsi="仿宋_GB2312" w:cs="仿宋_GB2312"/>
          <w:b/>
          <w:bCs/>
          <w:szCs w:val="32"/>
          <w:lang w:val="en-US" w:eastAsia="zh-CN"/>
        </w:rPr>
        <w:t>2</w:t>
      </w:r>
      <w:r>
        <w:rPr>
          <w:rFonts w:hint="eastAsia" w:ascii="仿宋_GB2312" w:hAnsi="仿宋_GB2312" w:cs="仿宋_GB2312"/>
          <w:b/>
          <w:bCs/>
          <w:szCs w:val="32"/>
          <w:lang w:val="en-US" w:eastAsia="zh-CN"/>
        </w:rPr>
        <w:t>.</w:t>
      </w:r>
      <w:r>
        <w:rPr>
          <w:rFonts w:hint="default" w:ascii="仿宋_GB2312" w:hAnsi="仿宋_GB2312" w:cs="仿宋_GB2312"/>
          <w:b/>
          <w:bCs/>
          <w:szCs w:val="32"/>
          <w:lang w:val="en-US" w:eastAsia="zh-CN"/>
        </w:rPr>
        <w:t>战新产业软科学试验室建设研究</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b w:val="0"/>
          <w:bCs w:val="0"/>
          <w:szCs w:val="32"/>
          <w:lang w:val="en-US" w:eastAsia="zh-CN"/>
        </w:rPr>
      </w:pPr>
      <w:r>
        <w:rPr>
          <w:rFonts w:hint="eastAsia" w:ascii="仿宋_GB2312" w:hAnsi="仿宋_GB2312" w:cs="仿宋_GB2312"/>
          <w:b w:val="0"/>
          <w:bCs w:val="0"/>
          <w:szCs w:val="32"/>
          <w:lang w:val="en-US" w:eastAsia="zh-CN"/>
        </w:rPr>
        <w:t>合同签订30日内，完成公司软科学研究现状分析，调研分析软科学实验室建设需求。</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szCs w:val="32"/>
          <w:lang w:val="en-US" w:eastAsia="zh-CN"/>
        </w:rPr>
      </w:pPr>
      <w:r>
        <w:rPr>
          <w:rFonts w:hint="eastAsia" w:ascii="仿宋_GB2312" w:hAnsi="仿宋_GB2312" w:cs="仿宋_GB2312"/>
          <w:b w:val="0"/>
          <w:bCs w:val="0"/>
          <w:szCs w:val="32"/>
          <w:lang w:val="en-US" w:eastAsia="zh-CN"/>
        </w:rPr>
        <w:t>交付物：</w:t>
      </w:r>
      <w:r>
        <w:rPr>
          <w:rFonts w:hint="default" w:ascii="仿宋_GB2312" w:hAnsi="仿宋_GB2312" w:cs="仿宋_GB2312"/>
          <w:szCs w:val="32"/>
          <w:lang w:val="en-US" w:eastAsia="zh-CN"/>
        </w:rPr>
        <w:t>《战新产业软科学实验室建设需求分析》</w:t>
      </w:r>
      <w:r>
        <w:rPr>
          <w:rFonts w:hint="eastAsia" w:ascii="仿宋_GB2312" w:hAnsi="仿宋_GB2312" w:cs="仿宋_GB2312"/>
          <w:szCs w:val="32"/>
          <w:lang w:val="en-US" w:eastAsia="zh-CN"/>
        </w:rPr>
        <w:t>1份。</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szCs w:val="32"/>
          <w:lang w:val="en-US" w:eastAsia="zh-CN"/>
        </w:rPr>
      </w:pPr>
      <w:r>
        <w:rPr>
          <w:rFonts w:hint="eastAsia" w:ascii="仿宋_GB2312" w:hAnsi="仿宋_GB2312" w:cs="仿宋_GB2312"/>
          <w:szCs w:val="32"/>
          <w:lang w:val="en-US" w:eastAsia="zh-CN"/>
        </w:rPr>
        <w:t>2025年11月前，完成公司战新产业软科学实验室建设路径研究。</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交付物：</w:t>
      </w:r>
      <w:r>
        <w:rPr>
          <w:rFonts w:hint="default" w:ascii="仿宋_GB2312" w:hAnsi="仿宋_GB2312" w:cs="仿宋_GB2312"/>
          <w:szCs w:val="32"/>
          <w:lang w:val="en-US" w:eastAsia="zh-CN"/>
        </w:rPr>
        <w:t>《战新产业软科学实验室建设路径研究》</w:t>
      </w:r>
      <w:r>
        <w:rPr>
          <w:rFonts w:hint="eastAsia" w:ascii="仿宋_GB2312" w:hAnsi="仿宋_GB2312" w:cs="仿宋_GB2312"/>
          <w:szCs w:val="32"/>
          <w:lang w:val="en-US" w:eastAsia="zh-CN"/>
        </w:rPr>
        <w:t>1份。</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2026年3月前，完成公司软科学实验室核心要素研究，明确建设、运营模式。</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交付物：</w:t>
      </w:r>
      <w:r>
        <w:rPr>
          <w:rFonts w:hint="default" w:ascii="仿宋_GB2312" w:hAnsi="仿宋_GB2312" w:cs="仿宋_GB2312"/>
          <w:szCs w:val="32"/>
          <w:lang w:val="en-US" w:eastAsia="zh-CN"/>
        </w:rPr>
        <w:t>《战新产业软科学实验室核心要素研究》</w:t>
      </w:r>
      <w:r>
        <w:rPr>
          <w:rFonts w:hint="eastAsia" w:ascii="仿宋_GB2312" w:hAnsi="仿宋_GB2312" w:cs="仿宋_GB2312"/>
          <w:szCs w:val="32"/>
          <w:lang w:val="en-US" w:eastAsia="zh-CN"/>
        </w:rPr>
        <w:t>1份</w:t>
      </w:r>
      <w:r>
        <w:rPr>
          <w:rFonts w:hint="default" w:ascii="仿宋_GB2312" w:hAnsi="仿宋_GB2312" w:cs="仿宋_GB2312"/>
          <w:szCs w:val="32"/>
          <w:lang w:val="en-US" w:eastAsia="zh-CN"/>
        </w:rPr>
        <w:t>。</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eastAsia" w:ascii="仿宋_GB2312" w:hAnsi="仿宋_GB2312" w:cs="仿宋_GB2312"/>
          <w:b/>
          <w:bCs/>
          <w:szCs w:val="32"/>
          <w:lang w:val="en-US" w:eastAsia="zh-CN"/>
        </w:rPr>
        <w:t>3.</w:t>
      </w:r>
      <w:r>
        <w:rPr>
          <w:rFonts w:hint="default" w:ascii="仿宋_GB2312" w:hAnsi="仿宋_GB2312" w:cs="仿宋_GB2312"/>
          <w:b/>
          <w:bCs/>
          <w:szCs w:val="32"/>
          <w:lang w:val="en-US" w:eastAsia="zh-CN"/>
        </w:rPr>
        <w:t>面向质量强企建设的产业链质量生态与质量协同创新实践</w:t>
      </w:r>
    </w:p>
    <w:p>
      <w:pPr>
        <w:pageBreakBefore w:val="0"/>
        <w:widowControl w:val="0"/>
        <w:kinsoku/>
        <w:wordWrap/>
        <w:overflowPunct/>
        <w:topLinePunct w:val="0"/>
        <w:autoSpaceDE/>
        <w:autoSpaceDN/>
        <w:bidi w:val="0"/>
        <w:spacing w:line="560" w:lineRule="exact"/>
        <w:ind w:firstLine="640"/>
        <w:textAlignment w:val="auto"/>
        <w:rPr>
          <w:rFonts w:hint="eastAsia" w:ascii="仿宋_GB2312" w:hAnsi="仿宋_GB2312" w:cs="仿宋_GB2312"/>
          <w:b w:val="0"/>
          <w:bCs w:val="0"/>
          <w:szCs w:val="32"/>
          <w:lang w:val="en-US" w:eastAsia="zh-CN"/>
        </w:rPr>
      </w:pPr>
      <w:r>
        <w:rPr>
          <w:rFonts w:hint="eastAsia" w:ascii="仿宋_GB2312" w:hAnsi="仿宋_GB2312" w:cs="仿宋_GB2312"/>
          <w:b w:val="0"/>
          <w:bCs w:val="0"/>
          <w:szCs w:val="32"/>
          <w:lang w:val="en-US" w:eastAsia="zh-CN"/>
        </w:rPr>
        <w:t>合同签订30日内，依据公司产业发展现状，完成产业链质量先进案例研究。</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eastAsia" w:ascii="仿宋_GB2312" w:hAnsi="仿宋_GB2312" w:cs="仿宋_GB2312"/>
          <w:b w:val="0"/>
          <w:bCs w:val="0"/>
          <w:szCs w:val="32"/>
          <w:lang w:val="en-US" w:eastAsia="zh-CN"/>
        </w:rPr>
        <w:t>交付物：</w:t>
      </w:r>
      <w:r>
        <w:rPr>
          <w:rFonts w:hint="default" w:ascii="仿宋_GB2312" w:hAnsi="仿宋_GB2312" w:cs="仿宋_GB2312"/>
          <w:b w:val="0"/>
          <w:bCs w:val="0"/>
          <w:szCs w:val="32"/>
          <w:lang w:val="en-US" w:eastAsia="zh-CN"/>
        </w:rPr>
        <w:t>《</w:t>
      </w:r>
      <w:r>
        <w:rPr>
          <w:rFonts w:hint="default" w:ascii="仿宋_GB2312" w:hAnsi="仿宋_GB2312" w:cs="仿宋_GB2312"/>
          <w:szCs w:val="32"/>
          <w:lang w:val="en-US" w:eastAsia="zh-CN"/>
        </w:rPr>
        <w:t>产业链质量协同优秀案例分析》</w:t>
      </w:r>
      <w:r>
        <w:rPr>
          <w:rFonts w:hint="eastAsia" w:ascii="仿宋_GB2312" w:hAnsi="仿宋_GB2312" w:cs="仿宋_GB2312"/>
          <w:szCs w:val="32"/>
          <w:lang w:val="en-US" w:eastAsia="zh-CN"/>
        </w:rPr>
        <w:t>1份。</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val="0"/>
          <w:bCs w:val="0"/>
          <w:szCs w:val="32"/>
          <w:lang w:val="en-US" w:eastAsia="zh-CN"/>
        </w:rPr>
      </w:pPr>
      <w:r>
        <w:rPr>
          <w:rFonts w:hint="eastAsia" w:ascii="仿宋_GB2312" w:hAnsi="仿宋_GB2312" w:cs="仿宋_GB2312"/>
          <w:b w:val="0"/>
          <w:bCs w:val="0"/>
          <w:szCs w:val="32"/>
          <w:lang w:val="en-US" w:eastAsia="zh-CN"/>
        </w:rPr>
        <w:t>2025年10月前，围绕产业链上下游，分析公司产品发展现状，描绘产品图谱。</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eastAsia" w:ascii="仿宋_GB2312" w:hAnsi="仿宋_GB2312" w:cs="仿宋_GB2312"/>
          <w:b w:val="0"/>
          <w:bCs w:val="0"/>
          <w:szCs w:val="32"/>
          <w:lang w:val="en-US" w:eastAsia="zh-CN"/>
        </w:rPr>
        <w:t>交付物：</w:t>
      </w:r>
      <w:r>
        <w:rPr>
          <w:rFonts w:hint="default" w:ascii="仿宋_GB2312" w:hAnsi="仿宋_GB2312" w:cs="仿宋_GB2312"/>
          <w:szCs w:val="32"/>
          <w:lang w:val="en-US" w:eastAsia="zh-CN"/>
        </w:rPr>
        <w:t>《基于质量管理的公司产品图谱分析》</w:t>
      </w:r>
      <w:r>
        <w:rPr>
          <w:rFonts w:hint="eastAsia" w:ascii="仿宋_GB2312" w:hAnsi="仿宋_GB2312" w:cs="仿宋_GB2312"/>
          <w:szCs w:val="32"/>
          <w:lang w:val="en-US" w:eastAsia="zh-CN"/>
        </w:rPr>
        <w:t>1份。</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b/>
          <w:bCs/>
          <w:szCs w:val="32"/>
          <w:lang w:val="en-US" w:eastAsia="zh-CN"/>
        </w:rPr>
      </w:pPr>
      <w:r>
        <w:rPr>
          <w:rFonts w:hint="eastAsia" w:ascii="仿宋_GB2312" w:hAnsi="仿宋_GB2312" w:cs="仿宋_GB2312"/>
          <w:b w:val="0"/>
          <w:bCs w:val="0"/>
          <w:szCs w:val="32"/>
          <w:lang w:val="en-US" w:eastAsia="zh-CN"/>
        </w:rPr>
        <w:t>2026年3月前，完成产业链质量生态分析，研究前沿理论，明确质量生态定位、质量协同创新方法等。</w:t>
      </w: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r>
        <w:rPr>
          <w:rFonts w:hint="eastAsia" w:ascii="仿宋_GB2312" w:hAnsi="仿宋_GB2312" w:cs="仿宋_GB2312"/>
          <w:szCs w:val="32"/>
          <w:lang w:val="en-US" w:eastAsia="zh-CN"/>
        </w:rPr>
        <w:t>交付物：</w:t>
      </w:r>
      <w:r>
        <w:rPr>
          <w:rFonts w:hint="default" w:ascii="仿宋_GB2312" w:hAnsi="仿宋_GB2312" w:cs="仿宋_GB2312"/>
          <w:szCs w:val="32"/>
          <w:lang w:val="en-US" w:eastAsia="zh-CN"/>
        </w:rPr>
        <w:t>《公司产业链质量生态定位分析报告》</w:t>
      </w:r>
      <w:r>
        <w:rPr>
          <w:rFonts w:hint="eastAsia" w:ascii="仿宋_GB2312" w:hAnsi="仿宋_GB2312" w:cs="仿宋_GB2312"/>
          <w:szCs w:val="32"/>
          <w:lang w:val="en-US" w:eastAsia="zh-CN"/>
        </w:rPr>
        <w:t>1份；</w:t>
      </w:r>
      <w:r>
        <w:rPr>
          <w:rFonts w:hint="default" w:ascii="仿宋_GB2312" w:hAnsi="仿宋_GB2312" w:cs="仿宋_GB2312"/>
          <w:szCs w:val="32"/>
          <w:lang w:val="en-US" w:eastAsia="zh-CN"/>
        </w:rPr>
        <w:t>《公司质量生态与质量协同创新实践研究报告》</w:t>
      </w:r>
      <w:r>
        <w:rPr>
          <w:rFonts w:hint="eastAsia" w:ascii="仿宋_GB2312" w:hAnsi="仿宋_GB2312" w:cs="仿宋_GB2312"/>
          <w:szCs w:val="32"/>
          <w:lang w:val="en-US" w:eastAsia="zh-CN"/>
        </w:rPr>
        <w:t>1份</w:t>
      </w:r>
      <w:r>
        <w:rPr>
          <w:rFonts w:hint="default" w:ascii="仿宋_GB2312" w:hAnsi="仿宋_GB2312" w:cs="仿宋_GB2312"/>
          <w:szCs w:val="32"/>
          <w:lang w:val="en-US" w:eastAsia="zh-CN"/>
        </w:rPr>
        <w:t>。</w:t>
      </w:r>
    </w:p>
    <w:p>
      <w:pPr>
        <w:pStyle w:val="2"/>
        <w:pageBreakBefore w:val="0"/>
        <w:widowControl w:val="0"/>
        <w:numPr>
          <w:ilvl w:val="0"/>
          <w:numId w:val="2"/>
        </w:numPr>
        <w:kinsoku/>
        <w:wordWrap/>
        <w:overflowPunct/>
        <w:topLinePunct w:val="0"/>
        <w:autoSpaceDE/>
        <w:autoSpaceDN/>
        <w:bidi w:val="0"/>
        <w:spacing w:line="560" w:lineRule="exact"/>
        <w:ind w:firstLine="640" w:firstLineChars="0"/>
        <w:textAlignment w:val="auto"/>
        <w:rPr>
          <w:rFonts w:hint="eastAsia" w:ascii="Times New Roman" w:hAnsi="Times New Roman"/>
          <w:lang w:val="en-US" w:eastAsia="zh-CN"/>
        </w:rPr>
      </w:pPr>
      <w:r>
        <w:rPr>
          <w:rFonts w:hint="eastAsia" w:ascii="Times New Roman" w:hAnsi="Times New Roman"/>
          <w:lang w:val="en-US" w:eastAsia="zh-CN"/>
        </w:rPr>
        <w:t>项目质量控制</w:t>
      </w:r>
    </w:p>
    <w:p>
      <w:pPr>
        <w:rPr>
          <w:rFonts w:hint="eastAsia"/>
          <w:lang w:val="en-US" w:eastAsia="zh-CN"/>
        </w:rPr>
      </w:pPr>
      <w:r>
        <w:rPr>
          <w:rFonts w:hint="eastAsia"/>
          <w:lang w:val="en-US" w:eastAsia="zh-CN"/>
        </w:rPr>
        <w:t>为保证项目质量，各阶段的工作成果必须通过南网产业集团的验收。对项目工作成果的评价，主要包括以下方面：</w:t>
      </w:r>
    </w:p>
    <w:p>
      <w:pPr>
        <w:rPr>
          <w:rFonts w:hint="eastAsia"/>
          <w:lang w:val="en-US" w:eastAsia="zh-CN"/>
        </w:rPr>
      </w:pPr>
      <w:r>
        <w:rPr>
          <w:rFonts w:hint="eastAsia"/>
          <w:lang w:val="en-US" w:eastAsia="zh-CN"/>
        </w:rPr>
        <w:t>（1）项目目标的达成情况，主要指项目招标需求，以</w:t>
      </w:r>
    </w:p>
    <w:p>
      <w:pPr>
        <w:ind w:left="0" w:leftChars="0" w:firstLine="0" w:firstLineChars="0"/>
        <w:rPr>
          <w:rFonts w:hint="eastAsia"/>
          <w:lang w:val="en-US" w:eastAsia="zh-CN"/>
        </w:rPr>
      </w:pPr>
      <w:r>
        <w:rPr>
          <w:rFonts w:hint="eastAsia"/>
          <w:lang w:val="en-US" w:eastAsia="zh-CN"/>
        </w:rPr>
        <w:t>及咨询公司在项目实施方案中约定的项目目标达成情况。</w:t>
      </w:r>
    </w:p>
    <w:p>
      <w:pPr>
        <w:rPr>
          <w:rFonts w:hint="eastAsia"/>
          <w:lang w:val="en-US" w:eastAsia="zh-CN"/>
        </w:rPr>
      </w:pPr>
      <w:r>
        <w:rPr>
          <w:rFonts w:hint="eastAsia"/>
          <w:lang w:val="en-US" w:eastAsia="zh-CN"/>
        </w:rPr>
        <w:t>（2）项目提交成果的质量，主要从项目成果的完整与</w:t>
      </w:r>
    </w:p>
    <w:p>
      <w:pPr>
        <w:ind w:left="0" w:leftChars="0" w:firstLine="0" w:firstLineChars="0"/>
        <w:rPr>
          <w:rFonts w:hint="eastAsia"/>
          <w:lang w:val="en-US" w:eastAsia="zh-CN"/>
        </w:rPr>
      </w:pPr>
      <w:r>
        <w:rPr>
          <w:rFonts w:hint="eastAsia"/>
          <w:lang w:val="en-US" w:eastAsia="zh-CN"/>
        </w:rPr>
        <w:t>系统性、成果落地可执行性、设计质量、知识转移成果情况四个方面进行评价。</w:t>
      </w:r>
    </w:p>
    <w:p>
      <w:pPr>
        <w:ind w:left="0" w:leftChars="0" w:firstLine="0" w:firstLineChars="0"/>
        <w:rPr>
          <w:rFonts w:hint="eastAsia"/>
          <w:lang w:val="en-US" w:eastAsia="zh-CN"/>
        </w:rPr>
      </w:pPr>
    </w:p>
    <w:p>
      <w:pPr>
        <w:pageBreakBefore w:val="0"/>
        <w:widowControl w:val="0"/>
        <w:kinsoku/>
        <w:wordWrap/>
        <w:overflowPunct/>
        <w:topLinePunct w:val="0"/>
        <w:autoSpaceDE/>
        <w:autoSpaceDN/>
        <w:bidi w:val="0"/>
        <w:spacing w:line="560" w:lineRule="exact"/>
        <w:ind w:firstLine="640"/>
        <w:textAlignment w:val="auto"/>
        <w:rPr>
          <w:rFonts w:hint="default" w:ascii="仿宋_GB2312" w:hAnsi="仿宋_GB2312" w:cs="仿宋_GB2312"/>
          <w:szCs w:val="32"/>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CCFCACD-C928-4EAA-A3A8-CE0459723C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2" w:fontKey="{9357CACE-9C2A-4F71-90BE-A3047A543D93}"/>
  </w:font>
  <w:font w:name="仿宋_GB2312">
    <w:panose1 w:val="02010609030101010101"/>
    <w:charset w:val="86"/>
    <w:family w:val="auto"/>
    <w:pitch w:val="default"/>
    <w:sig w:usb0="00000001" w:usb1="080E0000" w:usb2="00000000" w:usb3="00000000" w:csb0="00040000" w:csb1="00000000"/>
    <w:embedRegular r:id="rId3" w:fontKey="{097DE71C-E529-44EE-A7A3-7197A1DD7CD7}"/>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embedRegular r:id="rId4" w:fontKey="{FA0D281F-89F5-4534-B9B5-40951FA10FEE}"/>
  </w:font>
  <w:font w:name="方正小标宋简体">
    <w:panose1 w:val="03000509000000000000"/>
    <w:charset w:val="86"/>
    <w:family w:val="script"/>
    <w:pitch w:val="default"/>
    <w:sig w:usb0="00000001" w:usb1="080E0000" w:usb2="00000000" w:usb3="00000000" w:csb0="00040000" w:csb1="00000000"/>
    <w:embedRegular r:id="rId5" w:fontKey="{4A23666A-C885-4381-9016-2451A2674FB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2FD457"/>
    <w:multiLevelType w:val="multilevel"/>
    <w:tmpl w:val="D22FD457"/>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1">
    <w:nsid w:val="494B878D"/>
    <w:multiLevelType w:val="multilevel"/>
    <w:tmpl w:val="494B878D"/>
    <w:lvl w:ilvl="0" w:tentative="0">
      <w:start w:val="1"/>
      <w:numFmt w:val="decimal"/>
      <w:pStyle w:val="2"/>
      <w:lvlText w:val="%1"/>
      <w:lvlJc w:val="left"/>
      <w:pPr>
        <w:tabs>
          <w:tab w:val="left" w:pos="0"/>
        </w:tabs>
        <w:ind w:left="0" w:firstLine="0"/>
      </w:pPr>
      <w:rPr>
        <w:rFonts w:hint="default" w:eastAsia="黑体"/>
        <w:sz w:val="32"/>
      </w:rPr>
    </w:lvl>
    <w:lvl w:ilvl="1" w:tentative="0">
      <w:start w:val="1"/>
      <w:numFmt w:val="decimal"/>
      <w:pStyle w:val="20"/>
      <w:suff w:val="space"/>
      <w:lvlText w:val="%1.%2"/>
      <w:lvlJc w:val="left"/>
      <w:pPr>
        <w:tabs>
          <w:tab w:val="left" w:pos="0"/>
        </w:tabs>
        <w:ind w:left="0" w:firstLine="0"/>
      </w:pPr>
      <w:rPr>
        <w:rFonts w:hint="default" w:eastAsia="楷体_GB2312"/>
        <w:sz w:val="28"/>
      </w:rPr>
    </w:lvl>
    <w:lvl w:ilvl="2" w:tentative="0">
      <w:start w:val="1"/>
      <w:numFmt w:val="decimal"/>
      <w:pStyle w:val="21"/>
      <w:suff w:val="space"/>
      <w:lvlText w:val="%1.%2.%3"/>
      <w:lvlJc w:val="left"/>
      <w:pPr>
        <w:tabs>
          <w:tab w:val="left" w:pos="0"/>
        </w:tabs>
        <w:ind w:left="0" w:firstLine="0"/>
      </w:pPr>
      <w:rPr>
        <w:rFonts w:hint="default" w:eastAsia="楷体_GB2312"/>
        <w:sz w:val="28"/>
      </w:rPr>
    </w:lvl>
    <w:lvl w:ilvl="3" w:tentative="0">
      <w:start w:val="1"/>
      <w:numFmt w:val="decimal"/>
      <w:pStyle w:val="5"/>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57972"/>
    <w:rsid w:val="04FF2613"/>
    <w:rsid w:val="05234E03"/>
    <w:rsid w:val="0540404A"/>
    <w:rsid w:val="05557305"/>
    <w:rsid w:val="068F7633"/>
    <w:rsid w:val="06E06E4C"/>
    <w:rsid w:val="06E41FBA"/>
    <w:rsid w:val="08AF0E7E"/>
    <w:rsid w:val="0C3E46FA"/>
    <w:rsid w:val="0D9773A6"/>
    <w:rsid w:val="107A7300"/>
    <w:rsid w:val="11D70743"/>
    <w:rsid w:val="15B24576"/>
    <w:rsid w:val="15F16E6F"/>
    <w:rsid w:val="16D27BE2"/>
    <w:rsid w:val="17901A4A"/>
    <w:rsid w:val="184D34B6"/>
    <w:rsid w:val="18BC5F12"/>
    <w:rsid w:val="19F03933"/>
    <w:rsid w:val="1D3C739F"/>
    <w:rsid w:val="1F2A6DE7"/>
    <w:rsid w:val="20867123"/>
    <w:rsid w:val="23C733EB"/>
    <w:rsid w:val="2420068E"/>
    <w:rsid w:val="24A574FD"/>
    <w:rsid w:val="24FA5F28"/>
    <w:rsid w:val="25441769"/>
    <w:rsid w:val="274B47D8"/>
    <w:rsid w:val="27D12C97"/>
    <w:rsid w:val="28D449CC"/>
    <w:rsid w:val="28FB2D11"/>
    <w:rsid w:val="298505A2"/>
    <w:rsid w:val="29C63095"/>
    <w:rsid w:val="2C3B195D"/>
    <w:rsid w:val="31493F2C"/>
    <w:rsid w:val="3627310D"/>
    <w:rsid w:val="36F33482"/>
    <w:rsid w:val="38926838"/>
    <w:rsid w:val="3BF803A6"/>
    <w:rsid w:val="3C6D2C0A"/>
    <w:rsid w:val="3C8A61A4"/>
    <w:rsid w:val="3D1B66CA"/>
    <w:rsid w:val="3D77729D"/>
    <w:rsid w:val="3E5974F3"/>
    <w:rsid w:val="3F642778"/>
    <w:rsid w:val="43CA7067"/>
    <w:rsid w:val="459019B0"/>
    <w:rsid w:val="473806E5"/>
    <w:rsid w:val="474D482F"/>
    <w:rsid w:val="476178F3"/>
    <w:rsid w:val="4A73718C"/>
    <w:rsid w:val="4AF845E3"/>
    <w:rsid w:val="500739FD"/>
    <w:rsid w:val="508F1C31"/>
    <w:rsid w:val="510A1139"/>
    <w:rsid w:val="526712BE"/>
    <w:rsid w:val="53066ECE"/>
    <w:rsid w:val="5311365E"/>
    <w:rsid w:val="532F228B"/>
    <w:rsid w:val="56195139"/>
    <w:rsid w:val="583F08F6"/>
    <w:rsid w:val="58D97E3F"/>
    <w:rsid w:val="599C6ABE"/>
    <w:rsid w:val="5A6D25F6"/>
    <w:rsid w:val="5AED7BD2"/>
    <w:rsid w:val="5B45095D"/>
    <w:rsid w:val="5B4D6AD9"/>
    <w:rsid w:val="5D810AA5"/>
    <w:rsid w:val="5DA30A1C"/>
    <w:rsid w:val="5ECC0304"/>
    <w:rsid w:val="5ED40783"/>
    <w:rsid w:val="5FFA2F65"/>
    <w:rsid w:val="606B5051"/>
    <w:rsid w:val="62AA341A"/>
    <w:rsid w:val="632D5FEE"/>
    <w:rsid w:val="63416268"/>
    <w:rsid w:val="65F47F97"/>
    <w:rsid w:val="684113DC"/>
    <w:rsid w:val="69653029"/>
    <w:rsid w:val="699072AE"/>
    <w:rsid w:val="6B5024D1"/>
    <w:rsid w:val="6B870141"/>
    <w:rsid w:val="6C5673EA"/>
    <w:rsid w:val="6EDA6F7E"/>
    <w:rsid w:val="6F954614"/>
    <w:rsid w:val="702138DA"/>
    <w:rsid w:val="708752DE"/>
    <w:rsid w:val="711731AC"/>
    <w:rsid w:val="716E0241"/>
    <w:rsid w:val="745B7543"/>
    <w:rsid w:val="7487209A"/>
    <w:rsid w:val="757944DF"/>
    <w:rsid w:val="76265DAE"/>
    <w:rsid w:val="76B22DF7"/>
    <w:rsid w:val="77477601"/>
    <w:rsid w:val="77933457"/>
    <w:rsid w:val="79A8783A"/>
    <w:rsid w:val="7B826513"/>
    <w:rsid w:val="7C094E1F"/>
    <w:rsid w:val="7CF009E1"/>
    <w:rsid w:val="7F0960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7"/>
    <w:qFormat/>
    <w:uiPriority w:val="0"/>
    <w:pPr>
      <w:widowControl w:val="0"/>
      <w:spacing w:line="560" w:lineRule="exact"/>
      <w:ind w:firstLine="880" w:firstLineChars="200"/>
      <w:jc w:val="both"/>
    </w:pPr>
    <w:rPr>
      <w:rFonts w:ascii="Times New Roman" w:hAnsi="Times New Roman" w:eastAsia="仿宋_GB2312" w:cstheme="minorBidi"/>
      <w:kern w:val="2"/>
      <w:sz w:val="32"/>
      <w:szCs w:val="24"/>
      <w:lang w:val="en-US" w:eastAsia="zh-CN" w:bidi="ar-SA"/>
    </w:rPr>
  </w:style>
  <w:style w:type="paragraph" w:styleId="2">
    <w:name w:val="heading 1"/>
    <w:basedOn w:val="1"/>
    <w:next w:val="1"/>
    <w:link w:val="19"/>
    <w:qFormat/>
    <w:uiPriority w:val="0"/>
    <w:pPr>
      <w:keepNext/>
      <w:keepLines/>
      <w:numPr>
        <w:ilvl w:val="0"/>
        <w:numId w:val="1"/>
      </w:numPr>
      <w:adjustRightInd w:val="0"/>
      <w:snapToGrid w:val="0"/>
      <w:ind w:firstLine="640" w:firstLineChars="200"/>
      <w:contextualSpacing/>
      <w:jc w:val="left"/>
      <w:outlineLvl w:val="0"/>
    </w:pPr>
    <w:rPr>
      <w:rFonts w:ascii="Times New Roman" w:hAnsi="Times New Roman" w:eastAsia="黑体"/>
      <w:color w:val="000000" w:themeColor="text1"/>
      <w:kern w:val="44"/>
      <w:szCs w:val="44"/>
      <w:lang w:bidi="zh-CN"/>
      <w14:textFill>
        <w14:solidFill>
          <w14:schemeClr w14:val="tx1"/>
        </w14:solidFill>
      </w14:textFill>
    </w:rPr>
  </w:style>
  <w:style w:type="paragraph" w:styleId="3">
    <w:name w:val="heading 2"/>
    <w:basedOn w:val="1"/>
    <w:next w:val="1"/>
    <w:link w:val="16"/>
    <w:semiHidden/>
    <w:unhideWhenUsed/>
    <w:qFormat/>
    <w:uiPriority w:val="0"/>
    <w:pPr>
      <w:keepNext/>
      <w:keepLines/>
      <w:spacing w:line="360" w:lineRule="auto"/>
      <w:ind w:firstLine="482"/>
      <w:outlineLvl w:val="1"/>
    </w:pPr>
    <w:rPr>
      <w:rFonts w:ascii="宋体" w:hAnsi="宋体" w:eastAsia="楷体_GB2312"/>
      <w:b/>
      <w:bCs/>
    </w:rPr>
  </w:style>
  <w:style w:type="paragraph" w:styleId="4">
    <w:name w:val="heading 3"/>
    <w:basedOn w:val="1"/>
    <w:next w:val="1"/>
    <w:semiHidden/>
    <w:unhideWhenUsed/>
    <w:qFormat/>
    <w:uiPriority w:val="0"/>
    <w:pPr>
      <w:keepNext/>
      <w:keepLines/>
      <w:adjustRightInd w:val="0"/>
      <w:snapToGrid w:val="0"/>
      <w:spacing w:before="100" w:after="100" w:line="360" w:lineRule="auto"/>
      <w:jc w:val="left"/>
      <w:outlineLvl w:val="2"/>
    </w:pPr>
    <w:rPr>
      <w:rFonts w:ascii="Times New Roman" w:hAnsi="Times New Roman" w:eastAsia="宋体" w:cs="Times New Roman"/>
      <w:b/>
      <w:bCs/>
      <w:sz w:val="28"/>
      <w:szCs w:val="32"/>
    </w:rPr>
  </w:style>
  <w:style w:type="paragraph" w:styleId="5">
    <w:name w:val="heading 4"/>
    <w:basedOn w:val="1"/>
    <w:next w:val="1"/>
    <w:semiHidden/>
    <w:unhideWhenUsed/>
    <w:qFormat/>
    <w:uiPriority w:val="0"/>
    <w:pPr>
      <w:keepNext/>
      <w:keepLines/>
      <w:numPr>
        <w:ilvl w:val="3"/>
        <w:numId w:val="1"/>
      </w:numPr>
      <w:spacing w:line="360" w:lineRule="auto"/>
      <w:ind w:left="864" w:hanging="864" w:firstLineChars="0"/>
      <w:outlineLvl w:val="3"/>
    </w:pPr>
    <w:rPr>
      <w:rFonts w:ascii="Times New Roman" w:hAnsi="Times New Roman" w:eastAsia="宋体" w:cs="Times New Roman"/>
      <w:b/>
      <w:sz w:val="28"/>
    </w:rPr>
  </w:style>
  <w:style w:type="paragraph" w:styleId="6">
    <w:name w:val="heading 5"/>
    <w:basedOn w:val="1"/>
    <w:next w:val="1"/>
    <w:link w:val="18"/>
    <w:semiHidden/>
    <w:unhideWhenUsed/>
    <w:qFormat/>
    <w:uiPriority w:val="0"/>
    <w:pPr>
      <w:keepNext/>
      <w:keepLines/>
      <w:spacing w:beforeLines="0" w:beforeAutospacing="0" w:afterLines="0" w:afterAutospacing="0" w:line="560" w:lineRule="exact"/>
      <w:ind w:firstLine="880" w:firstLineChars="200"/>
      <w:outlineLvl w:val="4"/>
    </w:pPr>
    <w:rPr>
      <w:rFonts w:ascii="Times New Roman" w:hAnsi="Times New Roman" w:cstheme="minorBidi"/>
      <w:kern w:val="2"/>
      <w:sz w:val="32"/>
      <w:szCs w:val="24"/>
      <w:lang w:eastAsia="zh-CN"/>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firstLineChars="0"/>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firstLineChars="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firstLineChars="0"/>
      <w:outlineLvl w:val="8"/>
    </w:pPr>
    <w:rPr>
      <w:rFonts w:ascii="Arial" w:hAnsi="Arial" w:eastAsia="黑体"/>
      <w:sz w:val="21"/>
    </w:rPr>
  </w:style>
  <w:style w:type="character" w:default="1" w:styleId="15">
    <w:name w:val="Default Paragraph Font"/>
    <w:semiHidden/>
    <w:unhideWhenUsed/>
    <w:qFormat/>
    <w:uiPriority w:val="1"/>
  </w:style>
  <w:style w:type="table" w:default="1" w:styleId="14">
    <w:name w:val="Normal Table"/>
    <w:semiHidden/>
    <w:qFormat/>
    <w:uiPriority w:val="0"/>
    <w:tblPr>
      <w:tblCellMar>
        <w:top w:w="0" w:type="dxa"/>
        <w:left w:w="108" w:type="dxa"/>
        <w:bottom w:w="0" w:type="dxa"/>
        <w:right w:w="108" w:type="dxa"/>
      </w:tblCellMar>
    </w:tblPr>
  </w:style>
  <w:style w:type="paragraph" w:styleId="11">
    <w:name w:val="Normal Indent"/>
    <w:basedOn w:val="1"/>
    <w:qFormat/>
    <w:uiPriority w:val="0"/>
    <w:pPr>
      <w:ind w:firstLine="420" w:firstLineChars="200"/>
    </w:pPr>
  </w:style>
  <w:style w:type="paragraph" w:styleId="12">
    <w:name w:val="Body Text Indent"/>
    <w:basedOn w:val="1"/>
    <w:qFormat/>
    <w:uiPriority w:val="0"/>
    <w:pPr>
      <w:spacing w:after="120" w:afterLines="0" w:afterAutospacing="0"/>
      <w:ind w:left="420" w:leftChars="200"/>
    </w:pPr>
  </w:style>
  <w:style w:type="paragraph" w:styleId="13">
    <w:name w:val="Body Text First Indent 2"/>
    <w:basedOn w:val="12"/>
    <w:qFormat/>
    <w:uiPriority w:val="0"/>
    <w:pPr>
      <w:ind w:firstLine="420" w:firstLineChars="200"/>
    </w:pPr>
  </w:style>
  <w:style w:type="character" w:customStyle="1" w:styleId="16">
    <w:name w:val="标题 2 Char"/>
    <w:link w:val="3"/>
    <w:qFormat/>
    <w:uiPriority w:val="9"/>
    <w:rPr>
      <w:rFonts w:ascii="宋体" w:hAnsi="宋体" w:eastAsia="楷体_GB2312" w:cs="宋体"/>
      <w:b/>
      <w:bCs/>
      <w:sz w:val="28"/>
      <w:szCs w:val="32"/>
    </w:rPr>
  </w:style>
  <w:style w:type="character" w:customStyle="1" w:styleId="17">
    <w:name w:val="默认段落字体1"/>
    <w:link w:val="1"/>
    <w:qFormat/>
    <w:uiPriority w:val="0"/>
    <w:rPr>
      <w:rFonts w:ascii="Times New Roman" w:hAnsi="Times New Roman" w:eastAsia="仿宋_GB2312" w:cs="仿宋_GB2312"/>
      <w:color w:val="auto"/>
      <w:kern w:val="2"/>
      <w:sz w:val="32"/>
      <w:szCs w:val="32"/>
      <w:highlight w:val="none"/>
      <w:lang w:val="en-US" w:eastAsia="zh-CN" w:bidi="ar-SA"/>
    </w:rPr>
  </w:style>
  <w:style w:type="character" w:customStyle="1" w:styleId="18">
    <w:name w:val="标题 5 字符"/>
    <w:link w:val="6"/>
    <w:qFormat/>
    <w:uiPriority w:val="0"/>
    <w:rPr>
      <w:rFonts w:ascii="Times New Roman" w:hAnsi="Times New Roman" w:eastAsia="宋体" w:cstheme="minorBidi"/>
      <w:b/>
      <w:kern w:val="2"/>
      <w:sz w:val="24"/>
      <w:szCs w:val="24"/>
      <w:lang w:val="en-US" w:eastAsia="zh-CN" w:bidi="ar-SA"/>
    </w:rPr>
  </w:style>
  <w:style w:type="character" w:customStyle="1" w:styleId="19">
    <w:name w:val="标题 1 字符"/>
    <w:link w:val="2"/>
    <w:qFormat/>
    <w:uiPriority w:val="0"/>
    <w:rPr>
      <w:rFonts w:ascii="Times New Roman" w:hAnsi="Times New Roman" w:eastAsia="黑体" w:cstheme="minorBidi"/>
      <w:color w:val="000000" w:themeColor="text1"/>
      <w:kern w:val="44"/>
      <w:sz w:val="32"/>
      <w:szCs w:val="44"/>
      <w:lang w:val="en-US" w:eastAsia="zh-CN" w:bidi="zh-CN"/>
      <w14:textFill>
        <w14:solidFill>
          <w14:schemeClr w14:val="tx1"/>
        </w14:solidFill>
      </w14:textFill>
    </w:rPr>
  </w:style>
  <w:style w:type="paragraph" w:customStyle="1" w:styleId="20">
    <w:name w:val="Q标题2"/>
    <w:basedOn w:val="1"/>
    <w:link w:val="22"/>
    <w:qFormat/>
    <w:uiPriority w:val="0"/>
    <w:pPr>
      <w:numPr>
        <w:ilvl w:val="1"/>
        <w:numId w:val="1"/>
      </w:numPr>
      <w:tabs>
        <w:tab w:val="left" w:pos="420"/>
      </w:tabs>
      <w:wordWrap w:val="0"/>
      <w:ind w:firstLine="0" w:firstLineChars="0"/>
      <w:outlineLvl w:val="1"/>
    </w:pPr>
    <w:rPr>
      <w:rFonts w:ascii="Times New Roman" w:hAnsi="Times New Roman" w:eastAsia="楷体_GB2312" w:cs="黑体"/>
      <w:color w:val="000000" w:themeColor="text1"/>
      <w:kern w:val="2"/>
      <w:szCs w:val="52"/>
      <w:lang w:eastAsia="zh-CN"/>
      <w14:textFill>
        <w14:solidFill>
          <w14:schemeClr w14:val="tx1"/>
        </w14:solidFill>
      </w14:textFill>
    </w:rPr>
  </w:style>
  <w:style w:type="paragraph" w:customStyle="1" w:styleId="21">
    <w:name w:val="Q标题3"/>
    <w:basedOn w:val="1"/>
    <w:qFormat/>
    <w:uiPriority w:val="0"/>
    <w:pPr>
      <w:numPr>
        <w:ilvl w:val="2"/>
        <w:numId w:val="1"/>
      </w:numPr>
      <w:ind w:firstLine="0" w:firstLineChars="0"/>
    </w:pPr>
    <w:rPr>
      <w:rFonts w:ascii="Times New Roman" w:hAnsi="Times New Roman" w:eastAsia="楷体_GB2312" w:cs="黑体"/>
      <w:color w:val="000000" w:themeColor="text1"/>
      <w:kern w:val="2"/>
      <w:szCs w:val="52"/>
      <w:lang w:eastAsia="zh-CN"/>
      <w14:textFill>
        <w14:solidFill>
          <w14:schemeClr w14:val="tx1"/>
        </w14:solidFill>
      </w14:textFill>
    </w:rPr>
  </w:style>
  <w:style w:type="character" w:customStyle="1" w:styleId="22">
    <w:name w:val="Q标题2 字符"/>
    <w:basedOn w:val="15"/>
    <w:link w:val="20"/>
    <w:qFormat/>
    <w:uiPriority w:val="0"/>
    <w:rPr>
      <w:rFonts w:ascii="Times New Roman" w:hAnsi="Times New Roman" w:eastAsia="楷体_GB2312" w:cs="黑体"/>
      <w:color w:val="000000" w:themeColor="text1"/>
      <w:kern w:val="2"/>
      <w:sz w:val="32"/>
      <w:szCs w:val="52"/>
      <w:lang w:eastAsia="zh-CN"/>
      <w14:textFill>
        <w14:solidFill>
          <w14:schemeClr w14:val="tx1"/>
        </w14:solidFill>
      </w14:textFill>
    </w:rPr>
  </w:style>
  <w:style w:type="paragraph" w:customStyle="1" w:styleId="23">
    <w:name w:val="图表目录1"/>
    <w:basedOn w:val="24"/>
    <w:next w:val="1"/>
    <w:qFormat/>
    <w:uiPriority w:val="0"/>
    <w:pPr>
      <w:ind w:left="840" w:leftChars="200" w:hanging="420" w:hangingChars="200"/>
      <w:jc w:val="center"/>
    </w:pPr>
  </w:style>
  <w:style w:type="paragraph" w:customStyle="1" w:styleId="24">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
    <w:name w:val="宋体小四正文"/>
    <w:basedOn w:val="1"/>
    <w:qFormat/>
    <w:uiPriority w:val="0"/>
    <w:pPr>
      <w:snapToGrid w:val="0"/>
      <w:spacing w:line="360" w:lineRule="auto"/>
      <w:ind w:firstLine="480" w:firstLineChars="200"/>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2023-05-17T12:24:00Z</dcterms:created>
  <dc:creator>cc159</dc:creator>
  <cp:lastModifiedBy>王鹏飞</cp:lastModifiedBy>
  <dcterms:modified xsi:type="dcterms:W3CDTF">2025-07-22T01:47:03Z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8BC5B0B31F6442AA9D81F32EE87D6837_12</vt:lpwstr>
  </property>
  <property fmtid="{D5CDD505-2E9C-101B-9397-08002B2CF9AE}" pid="4" name="KSOTemplateDocerSaveRecord">
    <vt:lpwstr>eyJoZGlkIjoiOWI3YTQ4YjM1Y2ViNmNiMTBlYzU0NzcyZmZkN2RiY2EiLCJ1c2VySWQiOiI0OTc4MDY4NTUifQ==</vt:lpwstr>
  </property>
</Properties>
</file>