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8C079">
      <w:pPr>
        <w:pStyle w:val="11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  <w:lang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  <w:t>附件A.项目信息清单（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  <w:lang w:val="en-US" w:eastAsia="zh-CN"/>
        </w:rPr>
        <w:t>标的1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  <w:t>标包1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  <w:lang w:val="en-US" w:eastAsia="zh-CN"/>
        </w:rPr>
        <w:t>.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  <w:t>变电站建筑立面与景观环境协调研究）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  <w:lang w:eastAsia="zh-CN"/>
        </w:rPr>
        <w:t>）</w:t>
      </w:r>
    </w:p>
    <w:bookmarkEnd w:id="0"/>
    <w:p w14:paraId="11689431">
      <w:pPr>
        <w:pStyle w:val="11"/>
        <w:numPr>
          <w:ilvl w:val="0"/>
          <w:numId w:val="1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  <w:t>项目信息</w:t>
      </w:r>
    </w:p>
    <w:p w14:paraId="73583684">
      <w:pPr>
        <w:pStyle w:val="11"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napToGrid w:val="0"/>
          <w:sz w:val="24"/>
          <w:szCs w:val="24"/>
          <w:highlight w:val="none"/>
        </w:rPr>
        <w:t>招标前期资料</w:t>
      </w: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41"/>
        <w:gridCol w:w="5332"/>
      </w:tblGrid>
      <w:tr w14:paraId="1443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396" w:type="pct"/>
          </w:tcPr>
          <w:p w14:paraId="48884556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28" w:type="pct"/>
          </w:tcPr>
          <w:p w14:paraId="45AAAD66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2676" w:type="pct"/>
          </w:tcPr>
          <w:p w14:paraId="1AA56FDA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文件文号</w:t>
            </w:r>
          </w:p>
        </w:tc>
      </w:tr>
      <w:tr w14:paraId="4823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396" w:type="pct"/>
            <w:vAlign w:val="center"/>
          </w:tcPr>
          <w:p w14:paraId="6212CAE2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28" w:type="pct"/>
            <w:vAlign w:val="center"/>
          </w:tcPr>
          <w:p w14:paraId="35AEA0CA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项目立项(可研批复)文号</w:t>
            </w:r>
          </w:p>
        </w:tc>
        <w:tc>
          <w:tcPr>
            <w:tcW w:w="2676" w:type="pct"/>
            <w:vAlign w:val="center"/>
          </w:tcPr>
          <w:p w14:paraId="55090448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南方电网规划〔2025〕13号</w:t>
            </w:r>
          </w:p>
        </w:tc>
      </w:tr>
      <w:tr w14:paraId="1AC2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396" w:type="pct"/>
            <w:vAlign w:val="center"/>
          </w:tcPr>
          <w:p w14:paraId="1E212810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28" w:type="pct"/>
            <w:vAlign w:val="center"/>
          </w:tcPr>
          <w:p w14:paraId="7FE3A58D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资金落实情况</w:t>
            </w:r>
          </w:p>
        </w:tc>
        <w:tc>
          <w:tcPr>
            <w:tcW w:w="2676" w:type="pct"/>
            <w:vAlign w:val="center"/>
          </w:tcPr>
          <w:p w14:paraId="0FA8E27E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广电规〔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2025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〕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85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号</w:t>
            </w:r>
          </w:p>
        </w:tc>
      </w:tr>
      <w:tr w14:paraId="395D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6" w:type="pct"/>
            <w:vAlign w:val="center"/>
          </w:tcPr>
          <w:p w14:paraId="4B5F305F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28" w:type="pct"/>
            <w:vAlign w:val="center"/>
          </w:tcPr>
          <w:p w14:paraId="0CEF4EF6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项目建设单位</w:t>
            </w:r>
          </w:p>
        </w:tc>
        <w:tc>
          <w:tcPr>
            <w:tcW w:w="2676" w:type="pct"/>
            <w:vAlign w:val="center"/>
          </w:tcPr>
          <w:p w14:paraId="3FF5013B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广东电网有限责任公司广州供电局</w:t>
            </w:r>
          </w:p>
        </w:tc>
      </w:tr>
      <w:tr w14:paraId="35A1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6" w:type="pct"/>
            <w:vAlign w:val="center"/>
          </w:tcPr>
          <w:p w14:paraId="4453C772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28" w:type="pct"/>
            <w:vAlign w:val="center"/>
          </w:tcPr>
          <w:p w14:paraId="13EA746F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项目建设地点</w:t>
            </w:r>
          </w:p>
        </w:tc>
        <w:tc>
          <w:tcPr>
            <w:tcW w:w="2676" w:type="pct"/>
            <w:vAlign w:val="center"/>
          </w:tcPr>
          <w:p w14:paraId="648F8F30">
            <w:pPr>
              <w:pStyle w:val="11"/>
              <w:spacing w:line="48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广州市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海珠区、番禺区</w:t>
            </w:r>
          </w:p>
        </w:tc>
      </w:tr>
      <w:tr w14:paraId="05688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  <w:jc w:val="center"/>
        </w:trPr>
        <w:tc>
          <w:tcPr>
            <w:tcW w:w="396" w:type="pct"/>
            <w:vAlign w:val="center"/>
          </w:tcPr>
          <w:p w14:paraId="3AB0AFD5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28" w:type="pct"/>
            <w:vAlign w:val="center"/>
          </w:tcPr>
          <w:p w14:paraId="05DF775C">
            <w:pPr>
              <w:pStyle w:val="11"/>
              <w:snapToGrid w:val="0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2676" w:type="pct"/>
            <w:vAlign w:val="center"/>
          </w:tcPr>
          <w:p w14:paraId="6F973309">
            <w:pPr>
              <w:pStyle w:val="11"/>
              <w:snapToGrid w:val="0"/>
              <w:jc w:val="center"/>
              <w:rPr>
                <w:rFonts w:hAnsi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合同签订之日起至</w:t>
            </w:r>
            <w:r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2028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月</w:t>
            </w:r>
            <w:r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31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。</w:t>
            </w:r>
          </w:p>
        </w:tc>
      </w:tr>
    </w:tbl>
    <w:p w14:paraId="39D15F81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一、项目概况</w:t>
      </w:r>
    </w:p>
    <w:p w14:paraId="15534B3D"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hAnsi="宋体" w:cs="宋体"/>
          <w:b w:val="0"/>
          <w:bCs/>
          <w:sz w:val="24"/>
          <w:szCs w:val="24"/>
          <w:highlight w:val="none"/>
        </w:rPr>
        <w:t>本期建设500千伏海珠变电站及对侧扩建工程，新建1000兆伏安主变压器2组，500千伏出线4回；新建海珠～广南500千伏线路工程，新建电缆线路长度2×15.12千米；新建海珠～楚庭500千伏线路工程，新建电缆线路长度2×22.14千米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。</w:t>
      </w:r>
    </w:p>
    <w:p w14:paraId="48683854">
      <w:pPr>
        <w:pStyle w:val="11"/>
        <w:adjustRightInd w:val="0"/>
        <w:snapToGrid w:val="0"/>
        <w:ind w:firstLine="480" w:firstLineChars="200"/>
        <w:rPr>
          <w:rFonts w:hint="eastAsia" w:hAnsi="宋体" w:cs="宋体"/>
          <w:bCs/>
          <w:sz w:val="24"/>
          <w:szCs w:val="24"/>
          <w:highlight w:val="none"/>
        </w:rPr>
      </w:pPr>
    </w:p>
    <w:p w14:paraId="27F5A804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i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二、采购范围</w:t>
      </w:r>
    </w:p>
    <w:p w14:paraId="1CC4C297">
      <w:pPr>
        <w:spacing w:before="156" w:beforeLines="50" w:after="156" w:afterLines="50" w:line="480" w:lineRule="auto"/>
        <w:ind w:firstLine="480" w:firstLineChars="200"/>
        <w:rPr>
          <w:rFonts w:hint="eastAsia" w:ascii="宋体" w:hAnsi="Times New Roman"/>
          <w:color w:val="000000" w:themeColor="text1"/>
          <w:kern w:val="0"/>
          <w:position w:val="-3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</w:rPr>
        <w:t>标的1.500千伏海珠输变电工程专题研究服务项目（标包1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</w:rPr>
        <w:t>变电站建筑立面与景观环境协调研究）：500千伏海珠输变电工程建筑外立面设计，含外立面方案和施工图。</w:t>
      </w:r>
    </w:p>
    <w:p w14:paraId="118F39DA">
      <w:pPr>
        <w:pStyle w:val="11"/>
        <w:spacing w:line="360" w:lineRule="auto"/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hAnsi="Times New Roman"/>
          <w:b/>
          <w:bCs/>
          <w:kern w:val="0"/>
          <w:position w:val="-3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专项咨询</w:t>
      </w:r>
      <w:r>
        <w:rPr>
          <w:rFonts w:hint="eastAsia" w:hAnsi="Times New Roman" w:cs="Times New Roman"/>
          <w:kern w:val="0"/>
          <w:sz w:val="24"/>
          <w:szCs w:val="22"/>
          <w:highlight w:val="none"/>
          <w:lang w:val="en-US" w:eastAsia="zh-CN" w:bidi="ar-SA"/>
        </w:rPr>
        <w:t>服务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包含但不限于以下</w:t>
      </w:r>
      <w:r>
        <w:rPr>
          <w:rFonts w:hint="eastAsia" w:hAnsi="Times New Roman" w:cs="Times New Roman"/>
          <w:kern w:val="0"/>
          <w:sz w:val="24"/>
          <w:szCs w:val="22"/>
          <w:highlight w:val="none"/>
          <w:lang w:val="en-US" w:eastAsia="zh-CN" w:bidi="ar-SA"/>
        </w:rPr>
        <w:t>内容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：</w:t>
      </w:r>
    </w:p>
    <w:p w14:paraId="2BD2A7D7">
      <w:pPr>
        <w:pStyle w:val="11"/>
        <w:ind w:firstLine="480" w:firstLineChars="200"/>
        <w:rPr>
          <w:rFonts w:hint="default" w:hAnsi="Times New Roman"/>
          <w:b/>
          <w:bCs/>
          <w:kern w:val="0"/>
          <w:position w:val="-3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方案设计、施工图纸制作、报建配合、消防审查配合、图纸答疑、施工和实施过程配合、施工和实施过程检查、专业深化图纸审核、规划、消防验收相关专业技术配合等。</w:t>
      </w:r>
    </w:p>
    <w:p w14:paraId="43B0A727">
      <w:pPr>
        <w:pStyle w:val="11"/>
        <w:ind w:firstLine="420" w:firstLineChars="0"/>
        <w:rPr>
          <w:rFonts w:hint="default"/>
          <w:sz w:val="24"/>
          <w:szCs w:val="32"/>
          <w:highlight w:val="none"/>
          <w:lang w:val="en-US" w:eastAsia="zh-CN"/>
        </w:rPr>
      </w:pPr>
    </w:p>
    <w:p w14:paraId="09246ED2">
      <w:pPr>
        <w:pStyle w:val="28"/>
        <w:autoSpaceDE w:val="0"/>
        <w:autoSpaceDN w:val="0"/>
        <w:adjustRightInd w:val="0"/>
        <w:spacing w:line="360" w:lineRule="auto"/>
        <w:ind w:left="840" w:right="-20" w:firstLine="0" w:firstLineChars="0"/>
        <w:jc w:val="center"/>
        <w:rPr>
          <w:rFonts w:ascii="宋体" w:hAnsi="Times New Roman"/>
          <w:b/>
          <w:bCs/>
          <w:kern w:val="0"/>
          <w:position w:val="-3"/>
          <w:sz w:val="30"/>
          <w:szCs w:val="30"/>
          <w:highlight w:val="none"/>
        </w:rPr>
      </w:pPr>
      <w:r>
        <w:rPr>
          <w:rFonts w:hint="eastAsia"/>
          <w:b/>
          <w:bCs/>
          <w:sz w:val="30"/>
          <w:szCs w:val="30"/>
          <w:highlight w:val="none"/>
          <w:lang w:eastAsia="zh-CN"/>
        </w:rPr>
        <w:t>专项技术</w:t>
      </w:r>
      <w:r>
        <w:rPr>
          <w:rFonts w:hint="eastAsia"/>
          <w:b/>
          <w:bCs/>
          <w:sz w:val="30"/>
          <w:szCs w:val="30"/>
          <w:highlight w:val="none"/>
        </w:rPr>
        <w:t>咨询交付物</w:t>
      </w:r>
      <w:r>
        <w:rPr>
          <w:b/>
          <w:bCs/>
          <w:sz w:val="30"/>
          <w:szCs w:val="30"/>
          <w:highlight w:val="none"/>
        </w:rPr>
        <w:t>清单</w:t>
      </w:r>
    </w:p>
    <w:p w14:paraId="31081247">
      <w:pPr>
        <w:pStyle w:val="11"/>
        <w:ind w:firstLine="480" w:firstLineChars="200"/>
        <w:rPr>
          <w:rFonts w:hint="eastAsia" w:hAnsi="宋体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sz w:val="24"/>
          <w:szCs w:val="24"/>
          <w:highlight w:val="none"/>
          <w:lang w:val="en-US" w:eastAsia="zh-CN"/>
        </w:rPr>
        <w:t>详见技术规范书。</w:t>
      </w:r>
    </w:p>
    <w:p w14:paraId="5059CEBD">
      <w:pPr>
        <w:pStyle w:val="11"/>
        <w:ind w:firstLine="480" w:firstLineChars="200"/>
        <w:rPr>
          <w:rFonts w:hint="default" w:hAnsi="宋体"/>
          <w:sz w:val="24"/>
          <w:szCs w:val="24"/>
          <w:highlight w:val="none"/>
          <w:lang w:val="en-US" w:eastAsia="zh-CN"/>
        </w:rPr>
      </w:pPr>
    </w:p>
    <w:p w14:paraId="02A8C218">
      <w:pPr>
        <w:pStyle w:val="3"/>
        <w:numPr>
          <w:ilvl w:val="0"/>
          <w:numId w:val="2"/>
        </w:numPr>
        <w:spacing w:line="360" w:lineRule="auto"/>
        <w:rPr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  <w:t>报价表及报价要求</w:t>
      </w:r>
    </w:p>
    <w:tbl>
      <w:tblPr>
        <w:tblStyle w:val="17"/>
        <w:tblpPr w:leftFromText="180" w:rightFromText="180" w:vertAnchor="text" w:horzAnchor="page" w:tblpXSpec="center" w:tblpY="93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3057"/>
        <w:gridCol w:w="1816"/>
        <w:gridCol w:w="1462"/>
        <w:gridCol w:w="1638"/>
        <w:gridCol w:w="1358"/>
      </w:tblGrid>
      <w:tr w14:paraId="32CCD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0" w:type="dxa"/>
            <w:tcBorders>
              <w:bottom w:val="single" w:color="auto" w:sz="4" w:space="0"/>
            </w:tcBorders>
            <w:vAlign w:val="center"/>
          </w:tcPr>
          <w:p w14:paraId="75CEB239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3057" w:type="dxa"/>
            <w:tcBorders>
              <w:bottom w:val="single" w:color="auto" w:sz="4" w:space="0"/>
            </w:tcBorders>
            <w:vAlign w:val="center"/>
          </w:tcPr>
          <w:p w14:paraId="597EB3F2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费用名称</w:t>
            </w:r>
          </w:p>
        </w:tc>
        <w:tc>
          <w:tcPr>
            <w:tcW w:w="1816" w:type="dxa"/>
          </w:tcPr>
          <w:p w14:paraId="1A29DBB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最高投标限价</w:t>
            </w:r>
          </w:p>
          <w:p w14:paraId="3D359EDB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(万元)</w:t>
            </w:r>
          </w:p>
        </w:tc>
        <w:tc>
          <w:tcPr>
            <w:tcW w:w="1462" w:type="dxa"/>
            <w:tcBorders>
              <w:bottom w:val="single" w:color="auto" w:sz="4" w:space="0"/>
            </w:tcBorders>
            <w:vAlign w:val="center"/>
          </w:tcPr>
          <w:p w14:paraId="0044C04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投标下浮率</w:t>
            </w:r>
          </w:p>
        </w:tc>
        <w:tc>
          <w:tcPr>
            <w:tcW w:w="1638" w:type="dxa"/>
            <w:tcBorders>
              <w:bottom w:val="single" w:color="auto" w:sz="4" w:space="0"/>
            </w:tcBorders>
          </w:tcPr>
          <w:p w14:paraId="5AB1FBBE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(元)</w:t>
            </w:r>
          </w:p>
        </w:tc>
        <w:tc>
          <w:tcPr>
            <w:tcW w:w="1358" w:type="dxa"/>
            <w:tcBorders>
              <w:bottom w:val="single" w:color="auto" w:sz="4" w:space="0"/>
            </w:tcBorders>
            <w:vAlign w:val="center"/>
          </w:tcPr>
          <w:p w14:paraId="451C4B79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E27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6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03AF2">
            <w:pPr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181FB7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专项技术咨询</w:t>
            </w:r>
          </w:p>
        </w:tc>
        <w:tc>
          <w:tcPr>
            <w:tcW w:w="1816" w:type="dxa"/>
            <w:vAlign w:val="center"/>
          </w:tcPr>
          <w:p w14:paraId="2A2BB1A9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200.00</w:t>
            </w:r>
          </w:p>
        </w:tc>
        <w:tc>
          <w:tcPr>
            <w:tcW w:w="1462" w:type="dxa"/>
            <w:vMerge w:val="restart"/>
            <w:tcBorders>
              <w:top w:val="single" w:color="auto" w:sz="4" w:space="0"/>
            </w:tcBorders>
            <w:vAlign w:val="center"/>
          </w:tcPr>
          <w:p w14:paraId="3FF5BCE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%</w:t>
            </w:r>
          </w:p>
        </w:tc>
        <w:tc>
          <w:tcPr>
            <w:tcW w:w="16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4CE4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2DE98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56A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6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13974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CEFC78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合计（小写）：</w:t>
            </w:r>
          </w:p>
        </w:tc>
        <w:tc>
          <w:tcPr>
            <w:tcW w:w="1816" w:type="dxa"/>
            <w:vAlign w:val="center"/>
          </w:tcPr>
          <w:p w14:paraId="17AC163E">
            <w:pPr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200.00</w:t>
            </w:r>
          </w:p>
        </w:tc>
        <w:tc>
          <w:tcPr>
            <w:tcW w:w="1462" w:type="dxa"/>
            <w:vMerge w:val="continue"/>
            <w:vAlign w:val="center"/>
          </w:tcPr>
          <w:p w14:paraId="1B39D66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  <w:u w:val="single"/>
              </w:rPr>
            </w:pPr>
          </w:p>
        </w:tc>
        <w:tc>
          <w:tcPr>
            <w:tcW w:w="1638" w:type="dxa"/>
            <w:tcBorders>
              <w:top w:val="single" w:color="auto" w:sz="4" w:space="0"/>
            </w:tcBorders>
            <w:vAlign w:val="center"/>
          </w:tcPr>
          <w:p w14:paraId="5FAA111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47475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F177FAD">
      <w:pPr>
        <w:pStyle w:val="7"/>
        <w:rPr>
          <w:color w:val="0000FF"/>
          <w:highlight w:val="none"/>
        </w:rPr>
      </w:pPr>
    </w:p>
    <w:p w14:paraId="2C28954C">
      <w:pPr>
        <w:pStyle w:val="8"/>
        <w:spacing w:line="360" w:lineRule="auto"/>
        <w:ind w:firstLine="240" w:firstLineChars="1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报价要求：</w:t>
      </w:r>
    </w:p>
    <w:p w14:paraId="62AA898F">
      <w:pPr>
        <w:pStyle w:val="9"/>
        <w:numPr>
          <w:ilvl w:val="0"/>
          <w:numId w:val="3"/>
        </w:numPr>
        <w:ind w:firstLine="482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。</w:t>
      </w:r>
    </w:p>
    <w:p w14:paraId="7F613763">
      <w:pPr>
        <w:pStyle w:val="9"/>
        <w:numPr>
          <w:ilvl w:val="0"/>
          <w:numId w:val="0"/>
        </w:numPr>
        <w:ind w:firstLine="482" w:firstLineChars="2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2.投标下浮率不低于0%为有效报价；当投标下浮率＞15%时应附成本分析报告，充分说明单价和费用的组成、降低成本的合理措施及在其他工程中应用过的经验等，经评审通过后方可视为有效报价。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 w14:paraId="0D3F3658">
      <w:pPr>
        <w:pStyle w:val="9"/>
        <w:ind w:firstLine="482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>价格分计算时，投标人评标价按（100-投标人填写的下浮数值）参与计算。如：下浮率为1.88％时，评标价按（100-1.88）参与计算。</w:t>
      </w:r>
    </w:p>
    <w:p w14:paraId="34404C22">
      <w:pPr>
        <w:pStyle w:val="3"/>
        <w:spacing w:line="360" w:lineRule="auto"/>
        <w:rPr>
          <w:rFonts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  <w:t>四、结算方式</w:t>
      </w:r>
    </w:p>
    <w:p w14:paraId="53A5430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结算方式：本工程合同价为总价包干。结算时总价包干部分，除合同约定可调整的情况外，结算不予调整，中标合同价款中的漏项、错项,结算时视为已包括在其他子项的报价中，不予调整。</w:t>
      </w:r>
    </w:p>
    <w:p w14:paraId="01D106A3">
      <w:pPr>
        <w:pStyle w:val="2"/>
        <w:rPr>
          <w:rFonts w:hint="default"/>
          <w:highlight w:val="none"/>
          <w:lang w:val="en-US" w:eastAsia="zh-CN"/>
        </w:rPr>
      </w:pPr>
    </w:p>
    <w:p w14:paraId="30011F05">
      <w:pPr>
        <w:rPr>
          <w:rFonts w:hint="default"/>
          <w:highlight w:val="none"/>
          <w:lang w:val="en-US" w:eastAsia="zh-CN"/>
        </w:rPr>
      </w:pPr>
    </w:p>
    <w:p w14:paraId="1C0B5EE2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i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五、分包要求</w:t>
      </w:r>
    </w:p>
    <w:p w14:paraId="35C6D86F">
      <w:pPr>
        <w:pStyle w:val="16"/>
        <w:spacing w:before="156" w:after="156"/>
        <w:ind w:firstLine="0" w:firstLineChars="0"/>
        <w:rPr>
          <w:highlight w:val="none"/>
        </w:rPr>
      </w:pPr>
      <w:r>
        <w:rPr>
          <w:rFonts w:ascii="Wingdings" w:hAnsi="Wingdings" w:cs="Wingdings"/>
          <w:highlight w:val="none"/>
        </w:rPr>
        <w:sym w:font="Wingdings" w:char="00FE"/>
      </w:r>
      <w:r>
        <w:rPr>
          <w:rFonts w:hint="eastAsia"/>
          <w:highlight w:val="none"/>
        </w:rPr>
        <w:t>不允许分包</w:t>
      </w:r>
    </w:p>
    <w:p w14:paraId="60EFA080">
      <w:pPr>
        <w:pStyle w:val="16"/>
        <w:spacing w:before="156" w:after="156"/>
        <w:ind w:firstLine="0" w:firstLineChars="0"/>
        <w:rPr>
          <w:rFonts w:hint="eastAsia"/>
          <w:highlight w:val="none"/>
          <w:lang w:val="en-US" w:eastAsia="zh-CN"/>
        </w:rPr>
      </w:pPr>
      <w:r>
        <w:rPr>
          <w:rFonts w:ascii="Wingdings" w:hAnsi="Wingdings" w:cs="Wingdings"/>
          <w:highlight w:val="none"/>
        </w:rPr>
        <w:sym w:font="Wingdings" w:char="00A8"/>
      </w:r>
      <w:r>
        <w:rPr>
          <w:rFonts w:hint="eastAsia"/>
          <w:highlight w:val="none"/>
        </w:rPr>
        <w:t>允许分包，但必须符合以下要求：</w:t>
      </w:r>
      <w:r>
        <w:rPr>
          <w:rFonts w:hint="eastAsia"/>
          <w:highlight w:val="none"/>
          <w:u w:val="single"/>
          <w:lang w:val="en-US" w:eastAsia="zh-CN"/>
        </w:rPr>
        <w:t xml:space="preserve">          </w:t>
      </w:r>
      <w:r>
        <w:rPr>
          <w:rFonts w:hint="eastAsia"/>
          <w:highlight w:val="none"/>
          <w:lang w:val="en-US" w:eastAsia="zh-CN"/>
        </w:rPr>
        <w:t>。</w:t>
      </w:r>
    </w:p>
    <w:p w14:paraId="22C6BA03">
      <w:pPr>
        <w:pStyle w:val="16"/>
        <w:spacing w:before="156" w:after="156"/>
        <w:ind w:firstLine="0" w:firstLineChars="0"/>
        <w:rPr>
          <w:rFonts w:hint="eastAsia"/>
          <w:highlight w:val="none"/>
          <w:lang w:val="en-US" w:eastAsia="zh-CN"/>
        </w:rPr>
      </w:pPr>
    </w:p>
    <w:p w14:paraId="470F7342">
      <w:pPr>
        <w:pStyle w:val="11"/>
        <w:numPr>
          <w:ilvl w:val="0"/>
          <w:numId w:val="4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  <w:t>技术标准、要求及图纸（对应招标文件 第五章）</w:t>
      </w:r>
    </w:p>
    <w:p w14:paraId="656C62F8">
      <w:pPr>
        <w:pStyle w:val="3"/>
        <w:rPr>
          <w:rFonts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一、 管理规范和技术（规范）标准（详见合同附件）</w:t>
      </w:r>
    </w:p>
    <w:p w14:paraId="1314D653">
      <w:pPr>
        <w:pStyle w:val="11"/>
        <w:rPr>
          <w:rFonts w:asciiTheme="minorEastAsia" w:hAnsiTheme="minorEastAsia" w:eastAsiaTheme="minorEastAsia" w:cstheme="minorEastAsia"/>
          <w:iCs/>
          <w:sz w:val="24"/>
          <w:szCs w:val="24"/>
          <w:highlight w:val="none"/>
        </w:rPr>
      </w:pPr>
    </w:p>
    <w:p w14:paraId="59A67D6D">
      <w:pPr>
        <w:pStyle w:val="3"/>
        <w:rPr>
          <w:rFonts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二、技术及管理要求</w:t>
      </w:r>
    </w:p>
    <w:p w14:paraId="02797CE3">
      <w:pPr>
        <w:autoSpaceDE w:val="0"/>
        <w:autoSpaceDN w:val="0"/>
        <w:adjustRightInd w:val="0"/>
        <w:rPr>
          <w:rFonts w:asciiTheme="minorEastAsia" w:hAnsiTheme="minorEastAsia" w:eastAsiaTheme="minorEastAsia" w:cstheme="minorEastAsia"/>
          <w:iCs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Cs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18E97C67">
      <w:pPr>
        <w:pStyle w:val="11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</w:pPr>
    </w:p>
    <w:p w14:paraId="43B8A660">
      <w:pPr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0B791063">
      <w:pPr>
        <w:pStyle w:val="11"/>
        <w:spacing w:line="480" w:lineRule="atLeast"/>
        <w:rPr>
          <w:rFonts w:hAnsi="宋体" w:cs="宋体"/>
          <w:sz w:val="24"/>
          <w:szCs w:val="24"/>
          <w:highlight w:val="none"/>
          <w:u w:val="singl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C93A0"/>
    <w:multiLevelType w:val="singleLevel"/>
    <w:tmpl w:val="DAAC93A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3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24F737D8"/>
    <w:rsid w:val="00020759"/>
    <w:rsid w:val="00072293"/>
    <w:rsid w:val="001270A5"/>
    <w:rsid w:val="001E07C9"/>
    <w:rsid w:val="001E39E9"/>
    <w:rsid w:val="002A7CE7"/>
    <w:rsid w:val="00335E27"/>
    <w:rsid w:val="003423EE"/>
    <w:rsid w:val="003A0E2E"/>
    <w:rsid w:val="003F6189"/>
    <w:rsid w:val="00471646"/>
    <w:rsid w:val="004A6532"/>
    <w:rsid w:val="005A69F7"/>
    <w:rsid w:val="00631D2C"/>
    <w:rsid w:val="00633080"/>
    <w:rsid w:val="00660EF5"/>
    <w:rsid w:val="00690FF0"/>
    <w:rsid w:val="00755C37"/>
    <w:rsid w:val="007A4AD7"/>
    <w:rsid w:val="007E2BE5"/>
    <w:rsid w:val="007E76C5"/>
    <w:rsid w:val="008F272B"/>
    <w:rsid w:val="00AD5136"/>
    <w:rsid w:val="00B37178"/>
    <w:rsid w:val="00B76046"/>
    <w:rsid w:val="00B94A89"/>
    <w:rsid w:val="00C6026B"/>
    <w:rsid w:val="00C83946"/>
    <w:rsid w:val="00C96921"/>
    <w:rsid w:val="00CF0436"/>
    <w:rsid w:val="00CF2363"/>
    <w:rsid w:val="00CF56E3"/>
    <w:rsid w:val="00D07BA9"/>
    <w:rsid w:val="00D70B44"/>
    <w:rsid w:val="00DB1B49"/>
    <w:rsid w:val="00DB221F"/>
    <w:rsid w:val="00E01627"/>
    <w:rsid w:val="00E722BB"/>
    <w:rsid w:val="00F60CE9"/>
    <w:rsid w:val="00F822B7"/>
    <w:rsid w:val="01E501A7"/>
    <w:rsid w:val="02257948"/>
    <w:rsid w:val="02A16AAA"/>
    <w:rsid w:val="04A24F71"/>
    <w:rsid w:val="04F101B4"/>
    <w:rsid w:val="060A17A5"/>
    <w:rsid w:val="06FD1542"/>
    <w:rsid w:val="076F3B3B"/>
    <w:rsid w:val="07CA37DF"/>
    <w:rsid w:val="094D5100"/>
    <w:rsid w:val="0AEA01CC"/>
    <w:rsid w:val="0B4A6210"/>
    <w:rsid w:val="0BC07002"/>
    <w:rsid w:val="0D7F3D43"/>
    <w:rsid w:val="0E2F4C02"/>
    <w:rsid w:val="0E3616E0"/>
    <w:rsid w:val="0E394169"/>
    <w:rsid w:val="0E545C90"/>
    <w:rsid w:val="0F81532F"/>
    <w:rsid w:val="107144D2"/>
    <w:rsid w:val="11052288"/>
    <w:rsid w:val="116419AD"/>
    <w:rsid w:val="11DF6CFE"/>
    <w:rsid w:val="13383335"/>
    <w:rsid w:val="14440D4B"/>
    <w:rsid w:val="14781EB9"/>
    <w:rsid w:val="14B666F3"/>
    <w:rsid w:val="14C83BBD"/>
    <w:rsid w:val="15056A61"/>
    <w:rsid w:val="15F83E40"/>
    <w:rsid w:val="16A26355"/>
    <w:rsid w:val="17722603"/>
    <w:rsid w:val="18E57496"/>
    <w:rsid w:val="195E3257"/>
    <w:rsid w:val="1A386933"/>
    <w:rsid w:val="1A4F176B"/>
    <w:rsid w:val="1B663F82"/>
    <w:rsid w:val="1B707F04"/>
    <w:rsid w:val="1C2D4629"/>
    <w:rsid w:val="1C43636C"/>
    <w:rsid w:val="1C8618B6"/>
    <w:rsid w:val="1D904223"/>
    <w:rsid w:val="1DA733EE"/>
    <w:rsid w:val="1F653C49"/>
    <w:rsid w:val="1FF914D4"/>
    <w:rsid w:val="20735046"/>
    <w:rsid w:val="20ED1C88"/>
    <w:rsid w:val="216F4D5B"/>
    <w:rsid w:val="21C11DC8"/>
    <w:rsid w:val="22D0017C"/>
    <w:rsid w:val="23B738BA"/>
    <w:rsid w:val="240A55A4"/>
    <w:rsid w:val="248832D0"/>
    <w:rsid w:val="24E67795"/>
    <w:rsid w:val="24F737D8"/>
    <w:rsid w:val="2525523D"/>
    <w:rsid w:val="26B52327"/>
    <w:rsid w:val="26E11A69"/>
    <w:rsid w:val="26EB3B6A"/>
    <w:rsid w:val="28924ADF"/>
    <w:rsid w:val="289A522D"/>
    <w:rsid w:val="291D5E51"/>
    <w:rsid w:val="2A033560"/>
    <w:rsid w:val="2BE07E0A"/>
    <w:rsid w:val="2C891D4F"/>
    <w:rsid w:val="2CA17C08"/>
    <w:rsid w:val="2CC8068E"/>
    <w:rsid w:val="2D9C1B59"/>
    <w:rsid w:val="2DDF66E3"/>
    <w:rsid w:val="2F317D0A"/>
    <w:rsid w:val="2FF65FF8"/>
    <w:rsid w:val="300D195C"/>
    <w:rsid w:val="30BF37B5"/>
    <w:rsid w:val="313B0851"/>
    <w:rsid w:val="31A1649A"/>
    <w:rsid w:val="31C37CD5"/>
    <w:rsid w:val="31C955A9"/>
    <w:rsid w:val="33B200AF"/>
    <w:rsid w:val="33C75702"/>
    <w:rsid w:val="33E61BE2"/>
    <w:rsid w:val="342B7E85"/>
    <w:rsid w:val="34DA1314"/>
    <w:rsid w:val="34FF11B8"/>
    <w:rsid w:val="361736AD"/>
    <w:rsid w:val="36D200CF"/>
    <w:rsid w:val="379951F8"/>
    <w:rsid w:val="37EE7FA1"/>
    <w:rsid w:val="38382DC3"/>
    <w:rsid w:val="38DE045C"/>
    <w:rsid w:val="391A38E9"/>
    <w:rsid w:val="3987396D"/>
    <w:rsid w:val="3ADC7F6B"/>
    <w:rsid w:val="3B595AEE"/>
    <w:rsid w:val="3BF24D81"/>
    <w:rsid w:val="3BFE7BEA"/>
    <w:rsid w:val="3C4750A3"/>
    <w:rsid w:val="3C4A35F1"/>
    <w:rsid w:val="3F4C5B70"/>
    <w:rsid w:val="3F94769C"/>
    <w:rsid w:val="41102D7F"/>
    <w:rsid w:val="41C0096A"/>
    <w:rsid w:val="420455E6"/>
    <w:rsid w:val="42E73C50"/>
    <w:rsid w:val="43586E3E"/>
    <w:rsid w:val="44982260"/>
    <w:rsid w:val="44D414C9"/>
    <w:rsid w:val="46472D5E"/>
    <w:rsid w:val="485D3F87"/>
    <w:rsid w:val="488E1C89"/>
    <w:rsid w:val="496A657E"/>
    <w:rsid w:val="49843C09"/>
    <w:rsid w:val="4AEC2662"/>
    <w:rsid w:val="4AF4680A"/>
    <w:rsid w:val="4B3A1BDA"/>
    <w:rsid w:val="4BF83760"/>
    <w:rsid w:val="4C5B4768"/>
    <w:rsid w:val="4C8349B8"/>
    <w:rsid w:val="4D5667B6"/>
    <w:rsid w:val="4E992277"/>
    <w:rsid w:val="4F7A3537"/>
    <w:rsid w:val="4FC46F4F"/>
    <w:rsid w:val="500C6330"/>
    <w:rsid w:val="504766FD"/>
    <w:rsid w:val="50563967"/>
    <w:rsid w:val="50802551"/>
    <w:rsid w:val="5144269A"/>
    <w:rsid w:val="52561619"/>
    <w:rsid w:val="55277F9E"/>
    <w:rsid w:val="552A0C96"/>
    <w:rsid w:val="55BB16B6"/>
    <w:rsid w:val="55C3156A"/>
    <w:rsid w:val="560A4CB8"/>
    <w:rsid w:val="5782183A"/>
    <w:rsid w:val="57BD355E"/>
    <w:rsid w:val="57D61B54"/>
    <w:rsid w:val="58886176"/>
    <w:rsid w:val="58BB4FFB"/>
    <w:rsid w:val="58D21C48"/>
    <w:rsid w:val="5AE90D4F"/>
    <w:rsid w:val="5B0320E2"/>
    <w:rsid w:val="5B1C20F0"/>
    <w:rsid w:val="5B8A516D"/>
    <w:rsid w:val="5B8B11A7"/>
    <w:rsid w:val="5B9E2EC4"/>
    <w:rsid w:val="5BD335FA"/>
    <w:rsid w:val="5CD10D7E"/>
    <w:rsid w:val="5F6A55B8"/>
    <w:rsid w:val="60002310"/>
    <w:rsid w:val="608606DE"/>
    <w:rsid w:val="610E324A"/>
    <w:rsid w:val="61F31EFD"/>
    <w:rsid w:val="63066BC7"/>
    <w:rsid w:val="63D0487B"/>
    <w:rsid w:val="64672037"/>
    <w:rsid w:val="64911DA0"/>
    <w:rsid w:val="65945D8D"/>
    <w:rsid w:val="65A02E7A"/>
    <w:rsid w:val="66A441A9"/>
    <w:rsid w:val="66C32601"/>
    <w:rsid w:val="66C35559"/>
    <w:rsid w:val="67D57489"/>
    <w:rsid w:val="680D5288"/>
    <w:rsid w:val="68570F93"/>
    <w:rsid w:val="6A287B5E"/>
    <w:rsid w:val="6B303A1A"/>
    <w:rsid w:val="6B36259F"/>
    <w:rsid w:val="6C704794"/>
    <w:rsid w:val="6C9C1C72"/>
    <w:rsid w:val="6DAA2FDF"/>
    <w:rsid w:val="6DF95579"/>
    <w:rsid w:val="6E121228"/>
    <w:rsid w:val="6EF42825"/>
    <w:rsid w:val="6F8447F5"/>
    <w:rsid w:val="70546D37"/>
    <w:rsid w:val="70D1495F"/>
    <w:rsid w:val="70ED510D"/>
    <w:rsid w:val="712F63C0"/>
    <w:rsid w:val="723627A3"/>
    <w:rsid w:val="72701938"/>
    <w:rsid w:val="72717CD1"/>
    <w:rsid w:val="73FB4CB6"/>
    <w:rsid w:val="743E1546"/>
    <w:rsid w:val="74614F7E"/>
    <w:rsid w:val="74695E39"/>
    <w:rsid w:val="754C6F3B"/>
    <w:rsid w:val="75B11AFF"/>
    <w:rsid w:val="75D32619"/>
    <w:rsid w:val="76307412"/>
    <w:rsid w:val="768D126A"/>
    <w:rsid w:val="779007FD"/>
    <w:rsid w:val="780B6A75"/>
    <w:rsid w:val="786762C7"/>
    <w:rsid w:val="79F83E18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autoSpaceDE w:val="0"/>
      <w:autoSpaceDN w:val="0"/>
      <w:adjustRightInd w:val="0"/>
      <w:outlineLvl w:val="0"/>
    </w:pPr>
    <w:rPr>
      <w:rFonts w:ascii="Arial" w:hAnsi="Arial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link w:val="25"/>
    <w:qFormat/>
    <w:uiPriority w:val="0"/>
    <w:rPr>
      <w:rFonts w:ascii="宋体" w:hAnsi="Courier New"/>
      <w:kern w:val="0"/>
      <w:sz w:val="20"/>
      <w:szCs w:val="20"/>
    </w:rPr>
  </w:style>
  <w:style w:type="paragraph" w:styleId="12">
    <w:name w:val="Balloon Text"/>
    <w:basedOn w:val="1"/>
    <w:link w:val="24"/>
    <w:qFormat/>
    <w:uiPriority w:val="0"/>
    <w:rPr>
      <w:sz w:val="18"/>
      <w:szCs w:val="18"/>
    </w:rPr>
  </w:style>
  <w:style w:type="paragraph" w:styleId="13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6">
    <w:name w:val="Body Text First Indent"/>
    <w:basedOn w:val="8"/>
    <w:qFormat/>
    <w:uiPriority w:val="0"/>
    <w:pPr>
      <w:spacing w:beforeLines="50" w:afterLines="50" w:line="360" w:lineRule="auto"/>
      <w:ind w:firstLine="200" w:firstLineChars="200"/>
    </w:pPr>
    <w:rPr>
      <w:rFonts w:ascii="Times New Roman" w:hAnsi="Times New Roman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annotation reference"/>
    <w:basedOn w:val="19"/>
    <w:qFormat/>
    <w:uiPriority w:val="0"/>
    <w:rPr>
      <w:sz w:val="21"/>
      <w:szCs w:val="21"/>
    </w:rPr>
  </w:style>
  <w:style w:type="paragraph" w:customStyle="1" w:styleId="21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2">
    <w:name w:val="正文首行缩进1"/>
    <w:basedOn w:val="1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2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框文本 字符"/>
    <w:basedOn w:val="19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纯文本 字符"/>
    <w:basedOn w:val="19"/>
    <w:link w:val="11"/>
    <w:qFormat/>
    <w:uiPriority w:val="99"/>
    <w:rPr>
      <w:rFonts w:ascii="宋体" w:hAnsi="Courier New"/>
    </w:rPr>
  </w:style>
  <w:style w:type="character" w:customStyle="1" w:styleId="26">
    <w:name w:val="页眉 字符"/>
    <w:basedOn w:val="19"/>
    <w:link w:val="1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7">
    <w:name w:val="页脚 字符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styleId="2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GEDI</Company>
  <Pages>3</Pages>
  <Words>989</Words>
  <Characters>1066</Characters>
  <Lines>23</Lines>
  <Paragraphs>6</Paragraphs>
  <TotalTime>0</TotalTime>
  <ScaleCrop>false</ScaleCrop>
  <LinksUpToDate>false</LinksUpToDate>
  <CharactersWithSpaces>1084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2024-07-16T04:36:00Z</dcterms:created>
  <dc:creator>maja</dc:creator>
  <cp:lastModifiedBy>马骏安</cp:lastModifiedBy>
  <cp:lastPrinted>2025-06-19T03:43:00Z</cp:lastPrinted>
  <dcterms:modified xsi:type="dcterms:W3CDTF">2025-06-27T07:00:58Z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864C052D15A34732A2886E19CE441D4D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