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96A8E3">
      <w:pPr>
        <w:pStyle w:val="11"/>
        <w:spacing w:line="360" w:lineRule="auto"/>
        <w:jc w:val="left"/>
        <w:rPr>
          <w:rFonts w:asciiTheme="minorEastAsia" w:hAnsiTheme="minorEastAsia" w:eastAsiaTheme="minorEastAsia" w:cstheme="minorEastAsia"/>
          <w:b/>
          <w:bCs/>
          <w:snapToGrid w:val="0"/>
          <w:sz w:val="32"/>
          <w:szCs w:val="32"/>
          <w:highlight w:val="none"/>
        </w:rPr>
      </w:pPr>
      <w:bookmarkStart w:id="0" w:name="_Toc8445"/>
      <w:r>
        <w:rPr>
          <w:rFonts w:hint="eastAsia" w:asciiTheme="minorEastAsia" w:hAnsiTheme="minorEastAsia" w:eastAsiaTheme="minorEastAsia" w:cstheme="minorEastAsia"/>
          <w:b/>
          <w:bCs/>
          <w:snapToGrid w:val="0"/>
          <w:sz w:val="32"/>
          <w:szCs w:val="32"/>
          <w:highlight w:val="none"/>
        </w:rPr>
        <w:t>附件A.项目信息清单（</w:t>
      </w:r>
      <w:r>
        <w:rPr>
          <w:rFonts w:hint="eastAsia" w:asciiTheme="minorEastAsia" w:hAnsiTheme="minorEastAsia" w:eastAsiaTheme="minorEastAsia" w:cstheme="minorEastAsia"/>
          <w:b/>
          <w:bCs/>
          <w:snapToGrid w:val="0"/>
          <w:sz w:val="32"/>
          <w:szCs w:val="32"/>
          <w:highlight w:val="none"/>
          <w:lang w:val="en-US" w:eastAsia="zh-CN"/>
        </w:rPr>
        <w:t>标的1</w:t>
      </w:r>
      <w:r>
        <w:rPr>
          <w:rFonts w:hint="eastAsia" w:asciiTheme="minorEastAsia" w:hAnsiTheme="minorEastAsia" w:eastAsiaTheme="minorEastAsia" w:cstheme="minorEastAsia"/>
          <w:b/>
          <w:bCs/>
          <w:snapToGrid w:val="0"/>
          <w:sz w:val="32"/>
          <w:szCs w:val="32"/>
          <w:highlight w:val="none"/>
        </w:rPr>
        <w:t>标包3.电缆隧道机械化竖井设计关键技术研究</w:t>
      </w:r>
      <w:bookmarkStart w:id="1" w:name="_GoBack"/>
      <w:bookmarkEnd w:id="1"/>
      <w:r>
        <w:rPr>
          <w:rFonts w:hint="eastAsia" w:asciiTheme="minorEastAsia" w:hAnsiTheme="minorEastAsia" w:eastAsiaTheme="minorEastAsia" w:cstheme="minorEastAsia"/>
          <w:b/>
          <w:bCs/>
          <w:snapToGrid w:val="0"/>
          <w:sz w:val="32"/>
          <w:szCs w:val="32"/>
          <w:highlight w:val="none"/>
        </w:rPr>
        <w:t>）</w:t>
      </w:r>
    </w:p>
    <w:bookmarkEnd w:id="0"/>
    <w:p w14:paraId="5809869E">
      <w:pPr>
        <w:pStyle w:val="11"/>
        <w:numPr>
          <w:ilvl w:val="0"/>
          <w:numId w:val="1"/>
        </w:numPr>
        <w:spacing w:line="360" w:lineRule="auto"/>
        <w:jc w:val="left"/>
        <w:rPr>
          <w:rFonts w:asciiTheme="minorEastAsia" w:hAnsiTheme="minorEastAsia" w:eastAsiaTheme="minorEastAsia" w:cstheme="minorEastAsia"/>
          <w:b/>
          <w:bCs/>
          <w:sz w:val="28"/>
          <w:szCs w:val="28"/>
          <w:highlight w:val="none"/>
        </w:rPr>
      </w:pPr>
      <w:r>
        <w:rPr>
          <w:rFonts w:hint="eastAsia" w:asciiTheme="minorEastAsia" w:hAnsiTheme="minorEastAsia" w:eastAsiaTheme="minorEastAsia" w:cstheme="minorEastAsia"/>
          <w:b/>
          <w:bCs/>
          <w:snapToGrid w:val="0"/>
          <w:sz w:val="28"/>
          <w:szCs w:val="28"/>
          <w:highlight w:val="none"/>
        </w:rPr>
        <w:t>项目信息</w:t>
      </w:r>
    </w:p>
    <w:p w14:paraId="3D9F4EC1">
      <w:pPr>
        <w:pStyle w:val="11"/>
        <w:spacing w:line="360" w:lineRule="auto"/>
        <w:jc w:val="center"/>
        <w:rPr>
          <w:rFonts w:asciiTheme="minorEastAsia" w:hAnsiTheme="minorEastAsia" w:eastAsiaTheme="minorEastAsia" w:cstheme="minorEastAsia"/>
          <w:b/>
          <w:bCs/>
          <w:sz w:val="24"/>
          <w:szCs w:val="24"/>
          <w:highlight w:val="none"/>
        </w:rPr>
      </w:pPr>
      <w:r>
        <w:rPr>
          <w:rFonts w:hint="eastAsia" w:hAnsi="宋体" w:cs="宋体"/>
          <w:b/>
          <w:bCs/>
          <w:snapToGrid w:val="0"/>
          <w:sz w:val="24"/>
          <w:szCs w:val="24"/>
          <w:highlight w:val="none"/>
        </w:rPr>
        <w:t>招标前期资料</w:t>
      </w:r>
    </w:p>
    <w:tbl>
      <w:tblPr>
        <w:tblStyle w:val="1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3841"/>
        <w:gridCol w:w="5332"/>
      </w:tblGrid>
      <w:tr w14:paraId="757B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396" w:type="pct"/>
          </w:tcPr>
          <w:p w14:paraId="746F0585">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序号</w:t>
            </w:r>
          </w:p>
        </w:tc>
        <w:tc>
          <w:tcPr>
            <w:tcW w:w="1928" w:type="pct"/>
          </w:tcPr>
          <w:p w14:paraId="7289F74C">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文件名称</w:t>
            </w:r>
          </w:p>
        </w:tc>
        <w:tc>
          <w:tcPr>
            <w:tcW w:w="2676" w:type="pct"/>
          </w:tcPr>
          <w:p w14:paraId="5A1ECEB7">
            <w:pPr>
              <w:pStyle w:val="11"/>
              <w:spacing w:line="360" w:lineRule="auto"/>
              <w:jc w:val="center"/>
              <w:rPr>
                <w:rFonts w:asciiTheme="minorEastAsia" w:hAnsiTheme="minorEastAsia" w:eastAsiaTheme="minorEastAsia" w:cstheme="minorEastAsia"/>
                <w:snapToGrid w:val="0"/>
                <w:sz w:val="24"/>
                <w:szCs w:val="24"/>
                <w:highlight w:val="none"/>
              </w:rPr>
            </w:pPr>
            <w:r>
              <w:rPr>
                <w:rFonts w:hint="eastAsia" w:hAnsi="宋体" w:cs="宋体"/>
                <w:b/>
                <w:bCs/>
                <w:snapToGrid w:val="0"/>
                <w:sz w:val="24"/>
                <w:szCs w:val="24"/>
                <w:highlight w:val="none"/>
              </w:rPr>
              <w:t>文件文号</w:t>
            </w:r>
          </w:p>
        </w:tc>
      </w:tr>
      <w:tr w14:paraId="6BEDB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exact"/>
          <w:jc w:val="center"/>
        </w:trPr>
        <w:tc>
          <w:tcPr>
            <w:tcW w:w="396" w:type="pct"/>
            <w:vAlign w:val="center"/>
          </w:tcPr>
          <w:p w14:paraId="21218D53">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1</w:t>
            </w:r>
          </w:p>
        </w:tc>
        <w:tc>
          <w:tcPr>
            <w:tcW w:w="1928" w:type="pct"/>
            <w:vAlign w:val="center"/>
          </w:tcPr>
          <w:p w14:paraId="5DCF3768">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项目立项(可研批复)文号</w:t>
            </w:r>
          </w:p>
        </w:tc>
        <w:tc>
          <w:tcPr>
            <w:tcW w:w="2676" w:type="pct"/>
            <w:vAlign w:val="center"/>
          </w:tcPr>
          <w:p w14:paraId="743409A1">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南方电网规划〔2025〕13号</w:t>
            </w:r>
          </w:p>
        </w:tc>
      </w:tr>
      <w:tr w14:paraId="2BF6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exact"/>
          <w:jc w:val="center"/>
        </w:trPr>
        <w:tc>
          <w:tcPr>
            <w:tcW w:w="396" w:type="pct"/>
            <w:vAlign w:val="center"/>
          </w:tcPr>
          <w:p w14:paraId="163DDF10">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2</w:t>
            </w:r>
          </w:p>
        </w:tc>
        <w:tc>
          <w:tcPr>
            <w:tcW w:w="1928" w:type="pct"/>
            <w:vAlign w:val="center"/>
          </w:tcPr>
          <w:p w14:paraId="5148A0E5">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资金落实情况</w:t>
            </w:r>
          </w:p>
        </w:tc>
        <w:tc>
          <w:tcPr>
            <w:tcW w:w="2676" w:type="pct"/>
            <w:vAlign w:val="center"/>
          </w:tcPr>
          <w:p w14:paraId="60BD31B5">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广电规〔</w:t>
            </w:r>
            <w:r>
              <w:rPr>
                <w:rFonts w:hint="eastAsia" w:asciiTheme="minorEastAsia" w:hAnsiTheme="minorEastAsia" w:eastAsiaTheme="minorEastAsia" w:cstheme="minorEastAsia"/>
                <w:snapToGrid w:val="0"/>
                <w:sz w:val="24"/>
                <w:szCs w:val="24"/>
                <w:highlight w:val="none"/>
                <w:lang w:val="en-US" w:eastAsia="zh-CN"/>
              </w:rPr>
              <w:t>2025</w:t>
            </w:r>
            <w:r>
              <w:rPr>
                <w:rFonts w:hint="eastAsia" w:asciiTheme="minorEastAsia" w:hAnsiTheme="minorEastAsia" w:eastAsiaTheme="minorEastAsia" w:cstheme="minorEastAsia"/>
                <w:snapToGrid w:val="0"/>
                <w:sz w:val="24"/>
                <w:szCs w:val="24"/>
                <w:highlight w:val="none"/>
              </w:rPr>
              <w:t>〕</w:t>
            </w:r>
            <w:r>
              <w:rPr>
                <w:rFonts w:hint="eastAsia" w:asciiTheme="minorEastAsia" w:hAnsiTheme="minorEastAsia" w:eastAsiaTheme="minorEastAsia" w:cstheme="minorEastAsia"/>
                <w:snapToGrid w:val="0"/>
                <w:sz w:val="24"/>
                <w:szCs w:val="24"/>
                <w:highlight w:val="none"/>
                <w:lang w:val="en-US" w:eastAsia="zh-CN"/>
              </w:rPr>
              <w:t>85</w:t>
            </w:r>
            <w:r>
              <w:rPr>
                <w:rFonts w:hint="eastAsia" w:asciiTheme="minorEastAsia" w:hAnsiTheme="minorEastAsia" w:eastAsiaTheme="minorEastAsia" w:cstheme="minorEastAsia"/>
                <w:snapToGrid w:val="0"/>
                <w:sz w:val="24"/>
                <w:szCs w:val="24"/>
                <w:highlight w:val="none"/>
              </w:rPr>
              <w:t>号</w:t>
            </w:r>
          </w:p>
        </w:tc>
      </w:tr>
      <w:tr w14:paraId="51917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66AE45AA">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3</w:t>
            </w:r>
          </w:p>
        </w:tc>
        <w:tc>
          <w:tcPr>
            <w:tcW w:w="1928" w:type="pct"/>
            <w:vAlign w:val="center"/>
          </w:tcPr>
          <w:p w14:paraId="2C54C812">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项目建设单位</w:t>
            </w:r>
          </w:p>
        </w:tc>
        <w:tc>
          <w:tcPr>
            <w:tcW w:w="2676" w:type="pct"/>
            <w:vAlign w:val="center"/>
          </w:tcPr>
          <w:p w14:paraId="7459C4E7">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广东电网有限责任公司广州供电局</w:t>
            </w:r>
          </w:p>
        </w:tc>
      </w:tr>
      <w:tr w14:paraId="5CE72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396" w:type="pct"/>
            <w:vAlign w:val="center"/>
          </w:tcPr>
          <w:p w14:paraId="56C9B673">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4</w:t>
            </w:r>
          </w:p>
        </w:tc>
        <w:tc>
          <w:tcPr>
            <w:tcW w:w="1928" w:type="pct"/>
            <w:vAlign w:val="center"/>
          </w:tcPr>
          <w:p w14:paraId="76DF9130">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项目建设地点</w:t>
            </w:r>
          </w:p>
        </w:tc>
        <w:tc>
          <w:tcPr>
            <w:tcW w:w="2676" w:type="pct"/>
            <w:vAlign w:val="center"/>
          </w:tcPr>
          <w:p w14:paraId="74CFEA13">
            <w:pPr>
              <w:pStyle w:val="11"/>
              <w:spacing w:line="480" w:lineRule="exact"/>
              <w:jc w:val="center"/>
              <w:rPr>
                <w:rFonts w:hint="default" w:asciiTheme="minorEastAsia" w:hAnsiTheme="minorEastAsia" w:eastAsiaTheme="minorEastAsia" w:cstheme="minorEastAsia"/>
                <w:snapToGrid w:val="0"/>
                <w:sz w:val="24"/>
                <w:szCs w:val="24"/>
                <w:highlight w:val="none"/>
                <w:lang w:val="en-US" w:eastAsia="zh-CN"/>
              </w:rPr>
            </w:pPr>
            <w:r>
              <w:rPr>
                <w:rFonts w:hint="eastAsia" w:asciiTheme="minorEastAsia" w:hAnsiTheme="minorEastAsia" w:eastAsiaTheme="minorEastAsia" w:cstheme="minorEastAsia"/>
                <w:snapToGrid w:val="0"/>
                <w:sz w:val="24"/>
                <w:szCs w:val="24"/>
                <w:highlight w:val="none"/>
              </w:rPr>
              <w:t>广州市</w:t>
            </w:r>
            <w:r>
              <w:rPr>
                <w:rFonts w:hint="eastAsia" w:asciiTheme="minorEastAsia" w:hAnsiTheme="minorEastAsia" w:eastAsiaTheme="minorEastAsia" w:cstheme="minorEastAsia"/>
                <w:snapToGrid w:val="0"/>
                <w:sz w:val="24"/>
                <w:szCs w:val="24"/>
                <w:highlight w:val="none"/>
                <w:lang w:val="en-US" w:eastAsia="zh-CN"/>
              </w:rPr>
              <w:t>海珠区、番禺区</w:t>
            </w:r>
          </w:p>
        </w:tc>
      </w:tr>
      <w:tr w14:paraId="0F42B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8" w:hRule="exact"/>
          <w:jc w:val="center"/>
        </w:trPr>
        <w:tc>
          <w:tcPr>
            <w:tcW w:w="396" w:type="pct"/>
            <w:vAlign w:val="center"/>
          </w:tcPr>
          <w:p w14:paraId="4D8034CA">
            <w:pPr>
              <w:pStyle w:val="11"/>
              <w:spacing w:line="480" w:lineRule="exact"/>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5</w:t>
            </w:r>
          </w:p>
        </w:tc>
        <w:tc>
          <w:tcPr>
            <w:tcW w:w="1928" w:type="pct"/>
            <w:vAlign w:val="center"/>
          </w:tcPr>
          <w:p w14:paraId="56E91D01">
            <w:pPr>
              <w:pStyle w:val="11"/>
              <w:snapToGrid w:val="0"/>
              <w:jc w:val="center"/>
              <w:rPr>
                <w:rFonts w:asciiTheme="minorEastAsia" w:hAnsiTheme="minorEastAsia" w:eastAsiaTheme="minorEastAsia" w:cstheme="minorEastAsia"/>
                <w:snapToGrid w:val="0"/>
                <w:sz w:val="24"/>
                <w:szCs w:val="24"/>
                <w:highlight w:val="none"/>
              </w:rPr>
            </w:pPr>
            <w:r>
              <w:rPr>
                <w:rFonts w:hint="eastAsia" w:asciiTheme="minorEastAsia" w:hAnsiTheme="minorEastAsia" w:eastAsiaTheme="minorEastAsia" w:cstheme="minorEastAsia"/>
                <w:snapToGrid w:val="0"/>
                <w:sz w:val="24"/>
                <w:szCs w:val="24"/>
                <w:highlight w:val="none"/>
              </w:rPr>
              <w:t>服务期</w:t>
            </w:r>
          </w:p>
        </w:tc>
        <w:tc>
          <w:tcPr>
            <w:tcW w:w="2676" w:type="pct"/>
            <w:vAlign w:val="center"/>
          </w:tcPr>
          <w:p w14:paraId="49DF1076">
            <w:pPr>
              <w:pStyle w:val="11"/>
              <w:snapToGrid w:val="0"/>
              <w:jc w:val="center"/>
              <w:rPr>
                <w:rFonts w:hAnsi="宋体" w:cs="宋体"/>
                <w:bCs/>
                <w:sz w:val="21"/>
                <w:szCs w:val="21"/>
                <w:highlight w:val="none"/>
              </w:rPr>
            </w:pPr>
            <w:r>
              <w:rPr>
                <w:rFonts w:hint="eastAsia" w:asciiTheme="minorEastAsia" w:hAnsiTheme="minorEastAsia" w:eastAsiaTheme="minorEastAsia" w:cstheme="minorEastAsia"/>
                <w:snapToGrid w:val="0"/>
                <w:sz w:val="24"/>
                <w:szCs w:val="24"/>
                <w:highlight w:val="none"/>
                <w:u w:val="single"/>
              </w:rPr>
              <w:t>合同签订之日起至</w:t>
            </w:r>
            <w:r>
              <w:rPr>
                <w:rFonts w:asciiTheme="minorEastAsia" w:hAnsiTheme="minorEastAsia" w:eastAsiaTheme="minorEastAsia" w:cstheme="minorEastAsia"/>
                <w:snapToGrid w:val="0"/>
                <w:sz w:val="24"/>
                <w:szCs w:val="24"/>
                <w:highlight w:val="none"/>
                <w:u w:val="single"/>
              </w:rPr>
              <w:t>2028</w:t>
            </w:r>
            <w:r>
              <w:rPr>
                <w:rFonts w:hint="eastAsia" w:asciiTheme="minorEastAsia" w:hAnsiTheme="minorEastAsia" w:eastAsiaTheme="minorEastAsia" w:cstheme="minorEastAsia"/>
                <w:snapToGrid w:val="0"/>
                <w:sz w:val="24"/>
                <w:szCs w:val="24"/>
                <w:highlight w:val="none"/>
                <w:u w:val="single"/>
              </w:rPr>
              <w:t>年</w:t>
            </w:r>
            <w:r>
              <w:rPr>
                <w:rFonts w:hint="eastAsia" w:asciiTheme="minorEastAsia" w:hAnsiTheme="minorEastAsia" w:eastAsiaTheme="minorEastAsia" w:cstheme="minorEastAsia"/>
                <w:snapToGrid w:val="0"/>
                <w:sz w:val="24"/>
                <w:szCs w:val="24"/>
                <w:highlight w:val="none"/>
                <w:u w:val="single"/>
                <w:lang w:val="en-US" w:eastAsia="zh-CN"/>
              </w:rPr>
              <w:t>12</w:t>
            </w:r>
            <w:r>
              <w:rPr>
                <w:rFonts w:hint="eastAsia" w:asciiTheme="minorEastAsia" w:hAnsiTheme="minorEastAsia" w:eastAsiaTheme="minorEastAsia" w:cstheme="minorEastAsia"/>
                <w:snapToGrid w:val="0"/>
                <w:sz w:val="24"/>
                <w:szCs w:val="24"/>
                <w:highlight w:val="none"/>
                <w:u w:val="single"/>
              </w:rPr>
              <w:t>月</w:t>
            </w:r>
            <w:r>
              <w:rPr>
                <w:rFonts w:asciiTheme="minorEastAsia" w:hAnsiTheme="minorEastAsia" w:eastAsiaTheme="minorEastAsia" w:cstheme="minorEastAsia"/>
                <w:snapToGrid w:val="0"/>
                <w:sz w:val="24"/>
                <w:szCs w:val="24"/>
                <w:highlight w:val="none"/>
                <w:u w:val="single"/>
              </w:rPr>
              <w:t>31</w:t>
            </w:r>
            <w:r>
              <w:rPr>
                <w:rFonts w:hint="eastAsia" w:asciiTheme="minorEastAsia" w:hAnsiTheme="minorEastAsia" w:eastAsiaTheme="minorEastAsia" w:cstheme="minorEastAsia"/>
                <w:snapToGrid w:val="0"/>
                <w:sz w:val="24"/>
                <w:szCs w:val="24"/>
                <w:highlight w:val="none"/>
                <w:u w:val="single"/>
                <w:lang w:val="en-US" w:eastAsia="zh-CN"/>
              </w:rPr>
              <w:t>日</w:t>
            </w:r>
            <w:r>
              <w:rPr>
                <w:rFonts w:hint="eastAsia" w:asciiTheme="minorEastAsia" w:hAnsiTheme="minorEastAsia" w:eastAsiaTheme="minorEastAsia" w:cstheme="minorEastAsia"/>
                <w:snapToGrid w:val="0"/>
                <w:sz w:val="24"/>
                <w:szCs w:val="24"/>
                <w:highlight w:val="none"/>
                <w:u w:val="single"/>
              </w:rPr>
              <w:t>。</w:t>
            </w:r>
          </w:p>
        </w:tc>
      </w:tr>
    </w:tbl>
    <w:p w14:paraId="6D945565">
      <w:pPr>
        <w:spacing w:before="156" w:beforeLines="50" w:after="156" w:afterLines="50" w:line="480" w:lineRule="auto"/>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一、项目概况</w:t>
      </w:r>
    </w:p>
    <w:p w14:paraId="7ADA9586">
      <w:pPr>
        <w:pStyle w:val="11"/>
        <w:keepNext w:val="0"/>
        <w:keepLines w:val="0"/>
        <w:pageBreakBefore w:val="0"/>
        <w:widowControl w:val="0"/>
        <w:shd w:val="clear" w:color="auto" w:fill="auto"/>
        <w:kinsoku/>
        <w:wordWrap/>
        <w:overflowPunct/>
        <w:topLinePunct w:val="0"/>
        <w:autoSpaceDE/>
        <w:autoSpaceDN/>
        <w:bidi w:val="0"/>
        <w:adjustRightInd w:val="0"/>
        <w:snapToGrid w:val="0"/>
        <w:spacing w:line="480" w:lineRule="exact"/>
        <w:ind w:firstLine="480" w:firstLineChars="200"/>
        <w:textAlignment w:val="auto"/>
        <w:rPr>
          <w:rFonts w:hint="eastAsia" w:asciiTheme="minorEastAsia" w:hAnsiTheme="minorEastAsia" w:eastAsiaTheme="minorEastAsia" w:cstheme="minorEastAsia"/>
          <w:b w:val="0"/>
          <w:bCs/>
          <w:sz w:val="24"/>
          <w:szCs w:val="24"/>
          <w:highlight w:val="none"/>
        </w:rPr>
      </w:pPr>
      <w:r>
        <w:rPr>
          <w:rFonts w:hint="eastAsia" w:hAnsi="宋体" w:cs="宋体"/>
          <w:b w:val="0"/>
          <w:bCs/>
          <w:sz w:val="24"/>
          <w:szCs w:val="24"/>
          <w:highlight w:val="none"/>
        </w:rPr>
        <w:t>本期建设500千伏海珠变电站及对侧扩建工程，新建1000兆伏安主变压器2组，500千伏出线4回；新建海珠～广南500千伏线路工程，新建电缆线路长度2×15.12千米；新建海珠～楚庭500千伏线路工程，新建电缆线路长度2×22.14千米</w:t>
      </w:r>
      <w:r>
        <w:rPr>
          <w:rFonts w:hint="eastAsia" w:asciiTheme="minorEastAsia" w:hAnsiTheme="minorEastAsia" w:eastAsiaTheme="minorEastAsia" w:cstheme="minorEastAsia"/>
          <w:b w:val="0"/>
          <w:bCs/>
          <w:sz w:val="24"/>
          <w:szCs w:val="24"/>
          <w:highlight w:val="none"/>
        </w:rPr>
        <w:t>。</w:t>
      </w:r>
    </w:p>
    <w:p w14:paraId="35CC4BB5">
      <w:pPr>
        <w:pStyle w:val="11"/>
        <w:adjustRightInd w:val="0"/>
        <w:snapToGrid w:val="0"/>
        <w:ind w:firstLine="480" w:firstLineChars="200"/>
        <w:rPr>
          <w:rFonts w:hint="eastAsia" w:hAnsi="宋体" w:cs="宋体"/>
          <w:bCs/>
          <w:sz w:val="24"/>
          <w:szCs w:val="24"/>
          <w:highlight w:val="none"/>
        </w:rPr>
      </w:pPr>
    </w:p>
    <w:p w14:paraId="59BC852B">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二、采购范围</w:t>
      </w:r>
    </w:p>
    <w:p w14:paraId="3D47A89D">
      <w:pPr>
        <w:spacing w:before="156" w:beforeLines="50" w:after="156" w:afterLines="50" w:line="480" w:lineRule="auto"/>
        <w:ind w:firstLine="480" w:firstLineChars="200"/>
        <w:rPr>
          <w:rFonts w:hint="eastAsia" w:asciiTheme="minorEastAsia" w:hAnsiTheme="minorEastAsia" w:eastAsiaTheme="minorEastAsia" w:cstheme="minorEastAsia"/>
          <w:bCs/>
          <w:kern w:val="0"/>
          <w:sz w:val="24"/>
          <w:szCs w:val="24"/>
          <w:highlight w:val="none"/>
          <w:u w:val="single"/>
        </w:rPr>
      </w:pPr>
      <w:r>
        <w:rPr>
          <w:rFonts w:hint="eastAsia" w:asciiTheme="minorEastAsia" w:hAnsiTheme="minorEastAsia" w:eastAsiaTheme="minorEastAsia" w:cstheme="minorEastAsia"/>
          <w:bCs/>
          <w:kern w:val="0"/>
          <w:sz w:val="24"/>
          <w:szCs w:val="24"/>
          <w:highlight w:val="none"/>
          <w:u w:val="single"/>
        </w:rPr>
        <w:t>标的1.500千伏海珠输变电工程专题研究服务项目（标包3</w:t>
      </w:r>
      <w:r>
        <w:rPr>
          <w:rFonts w:hint="eastAsia" w:asciiTheme="minorEastAsia" w:hAnsiTheme="minorEastAsia" w:eastAsiaTheme="minorEastAsia" w:cstheme="minorEastAsia"/>
          <w:bCs/>
          <w:kern w:val="0"/>
          <w:sz w:val="24"/>
          <w:szCs w:val="24"/>
          <w:highlight w:val="none"/>
          <w:u w:val="single"/>
          <w:lang w:val="en-US" w:eastAsia="zh-CN"/>
        </w:rPr>
        <w:t>.</w:t>
      </w:r>
      <w:r>
        <w:rPr>
          <w:rFonts w:hint="eastAsia" w:asciiTheme="minorEastAsia" w:hAnsiTheme="minorEastAsia" w:eastAsiaTheme="minorEastAsia" w:cstheme="minorEastAsia"/>
          <w:bCs/>
          <w:kern w:val="0"/>
          <w:sz w:val="24"/>
          <w:szCs w:val="24"/>
          <w:highlight w:val="none"/>
          <w:u w:val="single"/>
        </w:rPr>
        <w:t>电缆隧道机械化竖井设计关键技术研究）：本项目计划拟针对当前电缆隧道竖井施工建设的痛点、难点，以500千伏海珠输变电工程为依托，对电力隧道机械化施工竖井设计、建造关键技术开展研究。适用于电力领域的电力隧道机械化施工竖井规模比选；竖井主体结构防水、连接、抗震关键技术研究；电力竖井极小规模用地建造关键技术研究以及电力竖井经济性及可推广性研究。</w:t>
      </w:r>
    </w:p>
    <w:p w14:paraId="72F2DC38">
      <w:pPr>
        <w:autoSpaceDE w:val="0"/>
        <w:autoSpaceDN w:val="0"/>
        <w:adjustRightInd w:val="0"/>
        <w:spacing w:line="360" w:lineRule="auto"/>
        <w:ind w:left="580" w:right="-20"/>
        <w:rPr>
          <w:rFonts w:hint="eastAsia" w:ascii="宋体" w:hAnsi="Times New Roman"/>
          <w:color w:val="000000" w:themeColor="text1"/>
          <w:kern w:val="0"/>
          <w:position w:val="-3"/>
          <w:sz w:val="24"/>
          <w:highlight w:val="none"/>
          <w14:textFill>
            <w14:solidFill>
              <w14:schemeClr w14:val="tx1"/>
            </w14:solidFill>
          </w14:textFill>
        </w:rPr>
      </w:pPr>
    </w:p>
    <w:p w14:paraId="094F0A2F">
      <w:pPr>
        <w:pStyle w:val="11"/>
        <w:spacing w:line="360" w:lineRule="auto"/>
        <w:rPr>
          <w:rFonts w:hint="eastAsia" w:ascii="宋体" w:hAnsi="Times New Roman" w:eastAsia="宋体" w:cs="Times New Roman"/>
          <w:kern w:val="0"/>
          <w:sz w:val="24"/>
          <w:szCs w:val="22"/>
          <w:highlight w:val="none"/>
          <w:lang w:val="en-US" w:eastAsia="zh-CN" w:bidi="ar-SA"/>
        </w:rPr>
      </w:pPr>
      <w:r>
        <w:rPr>
          <w:rFonts w:hint="eastAsia" w:hAnsi="Times New Roman"/>
          <w:b/>
          <w:bCs/>
          <w:kern w:val="0"/>
          <w:position w:val="-3"/>
          <w:sz w:val="24"/>
          <w:highlight w:val="none"/>
          <w:lang w:val="en-US" w:eastAsia="zh-CN"/>
        </w:rPr>
        <w:t xml:space="preserve">   </w:t>
      </w:r>
      <w:r>
        <w:rPr>
          <w:rFonts w:hint="eastAsia" w:ascii="宋体" w:hAnsi="Times New Roman" w:eastAsia="宋体" w:cs="Times New Roman"/>
          <w:kern w:val="0"/>
          <w:sz w:val="24"/>
          <w:szCs w:val="22"/>
          <w:highlight w:val="none"/>
          <w:lang w:val="en-US" w:eastAsia="zh-CN" w:bidi="ar-SA"/>
        </w:rPr>
        <w:t>专项咨询</w:t>
      </w:r>
      <w:r>
        <w:rPr>
          <w:rFonts w:hint="eastAsia" w:hAnsi="Times New Roman" w:cs="Times New Roman"/>
          <w:kern w:val="0"/>
          <w:sz w:val="24"/>
          <w:szCs w:val="22"/>
          <w:highlight w:val="none"/>
          <w:lang w:val="en-US" w:eastAsia="zh-CN" w:bidi="ar-SA"/>
        </w:rPr>
        <w:t>服务</w:t>
      </w:r>
      <w:r>
        <w:rPr>
          <w:rFonts w:hint="eastAsia" w:ascii="宋体" w:hAnsi="Times New Roman" w:eastAsia="宋体" w:cs="Times New Roman"/>
          <w:kern w:val="0"/>
          <w:sz w:val="24"/>
          <w:szCs w:val="22"/>
          <w:highlight w:val="none"/>
          <w:lang w:val="en-US" w:eastAsia="zh-CN" w:bidi="ar-SA"/>
        </w:rPr>
        <w:t>包含但不限于以下</w:t>
      </w:r>
      <w:r>
        <w:rPr>
          <w:rFonts w:hint="eastAsia" w:hAnsi="Times New Roman" w:cs="Times New Roman"/>
          <w:kern w:val="0"/>
          <w:sz w:val="24"/>
          <w:szCs w:val="22"/>
          <w:highlight w:val="none"/>
          <w:lang w:val="en-US" w:eastAsia="zh-CN" w:bidi="ar-SA"/>
        </w:rPr>
        <w:t>内容</w:t>
      </w:r>
      <w:r>
        <w:rPr>
          <w:rFonts w:hint="eastAsia" w:ascii="宋体" w:hAnsi="Times New Roman" w:eastAsia="宋体" w:cs="Times New Roman"/>
          <w:kern w:val="0"/>
          <w:sz w:val="24"/>
          <w:szCs w:val="22"/>
          <w:highlight w:val="none"/>
          <w:lang w:val="en-US" w:eastAsia="zh-CN" w:bidi="ar-SA"/>
        </w:rPr>
        <w:t>：</w:t>
      </w:r>
    </w:p>
    <w:p w14:paraId="01011C16">
      <w:pPr>
        <w:pStyle w:val="11"/>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机械化施工竖井主体结构关键技术方案、机械化施工竖井建造关键技术、机械化施工竖井经济性研究、研究报告、标准、专利申请及论文撰写的协助等。</w:t>
      </w:r>
    </w:p>
    <w:p w14:paraId="537EEE5E">
      <w:pPr>
        <w:pStyle w:val="11"/>
        <w:ind w:firstLine="420" w:firstLineChars="0"/>
        <w:rPr>
          <w:rFonts w:hint="default"/>
          <w:sz w:val="24"/>
          <w:szCs w:val="32"/>
          <w:highlight w:val="none"/>
          <w:lang w:val="en-US" w:eastAsia="zh-CN"/>
        </w:rPr>
      </w:pPr>
    </w:p>
    <w:p w14:paraId="37A97CF7">
      <w:pPr>
        <w:pStyle w:val="28"/>
        <w:autoSpaceDE w:val="0"/>
        <w:autoSpaceDN w:val="0"/>
        <w:adjustRightInd w:val="0"/>
        <w:spacing w:line="360" w:lineRule="auto"/>
        <w:ind w:left="840" w:right="-20" w:firstLine="0" w:firstLineChars="0"/>
        <w:jc w:val="center"/>
        <w:rPr>
          <w:rFonts w:ascii="宋体" w:hAnsi="Times New Roman"/>
          <w:b/>
          <w:bCs/>
          <w:kern w:val="0"/>
          <w:position w:val="-3"/>
          <w:sz w:val="30"/>
          <w:szCs w:val="30"/>
          <w:highlight w:val="none"/>
        </w:rPr>
      </w:pPr>
      <w:r>
        <w:rPr>
          <w:rFonts w:hint="eastAsia"/>
          <w:b/>
          <w:bCs/>
          <w:sz w:val="30"/>
          <w:szCs w:val="30"/>
          <w:highlight w:val="none"/>
          <w:lang w:eastAsia="zh-CN"/>
        </w:rPr>
        <w:t>专项技术</w:t>
      </w:r>
      <w:r>
        <w:rPr>
          <w:rFonts w:hint="eastAsia"/>
          <w:b/>
          <w:bCs/>
          <w:sz w:val="30"/>
          <w:szCs w:val="30"/>
          <w:highlight w:val="none"/>
        </w:rPr>
        <w:t>咨询交付物</w:t>
      </w:r>
      <w:r>
        <w:rPr>
          <w:b/>
          <w:bCs/>
          <w:sz w:val="30"/>
          <w:szCs w:val="30"/>
          <w:highlight w:val="none"/>
        </w:rPr>
        <w:t>清单</w:t>
      </w:r>
    </w:p>
    <w:p w14:paraId="662A8711">
      <w:pPr>
        <w:pStyle w:val="11"/>
        <w:ind w:firstLine="480" w:firstLineChars="200"/>
        <w:rPr>
          <w:rFonts w:hint="eastAsia" w:hAnsi="宋体"/>
          <w:sz w:val="24"/>
          <w:szCs w:val="24"/>
          <w:highlight w:val="none"/>
          <w:lang w:val="en-US" w:eastAsia="zh-CN"/>
        </w:rPr>
      </w:pPr>
      <w:r>
        <w:rPr>
          <w:rFonts w:hint="eastAsia" w:hAnsi="宋体"/>
          <w:sz w:val="24"/>
          <w:szCs w:val="24"/>
          <w:highlight w:val="none"/>
          <w:lang w:val="en-US" w:eastAsia="zh-CN"/>
        </w:rPr>
        <w:t>详见技术规范书。</w:t>
      </w:r>
    </w:p>
    <w:p w14:paraId="51DDF1F4">
      <w:pPr>
        <w:pStyle w:val="11"/>
        <w:ind w:firstLine="480" w:firstLineChars="200"/>
        <w:rPr>
          <w:rFonts w:hint="default" w:hAnsi="宋体"/>
          <w:sz w:val="24"/>
          <w:szCs w:val="24"/>
          <w:highlight w:val="none"/>
          <w:lang w:val="en-US" w:eastAsia="zh-CN"/>
        </w:rPr>
      </w:pPr>
    </w:p>
    <w:p w14:paraId="61636E8D">
      <w:pPr>
        <w:pStyle w:val="3"/>
        <w:numPr>
          <w:ilvl w:val="0"/>
          <w:numId w:val="2"/>
        </w:numPr>
        <w:spacing w:line="360" w:lineRule="auto"/>
        <w:rPr>
          <w:highlight w:val="none"/>
        </w:rPr>
      </w:pPr>
      <w:r>
        <w:rPr>
          <w:rFonts w:hint="eastAsia" w:asciiTheme="minorEastAsia" w:hAnsiTheme="minorEastAsia" w:eastAsiaTheme="minorEastAsia" w:cstheme="minorEastAsia"/>
          <w:bCs/>
          <w:i w:val="0"/>
          <w:color w:val="auto"/>
          <w:sz w:val="24"/>
          <w:szCs w:val="24"/>
          <w:highlight w:val="none"/>
        </w:rPr>
        <w:t>报价表及报价要求</w:t>
      </w:r>
    </w:p>
    <w:tbl>
      <w:tblPr>
        <w:tblStyle w:val="17"/>
        <w:tblpPr w:leftFromText="180" w:rightFromText="180" w:vertAnchor="text" w:horzAnchor="page" w:tblpXSpec="center" w:tblpY="93"/>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3057"/>
        <w:gridCol w:w="1816"/>
        <w:gridCol w:w="1462"/>
        <w:gridCol w:w="1638"/>
        <w:gridCol w:w="1358"/>
      </w:tblGrid>
      <w:tr w14:paraId="1AF86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630" w:type="dxa"/>
            <w:tcBorders>
              <w:bottom w:val="single" w:color="auto" w:sz="4" w:space="0"/>
            </w:tcBorders>
            <w:vAlign w:val="center"/>
          </w:tcPr>
          <w:p w14:paraId="470D0359">
            <w:pPr>
              <w:tabs>
                <w:tab w:val="left" w:pos="900"/>
              </w:tabs>
              <w:snapToGrid w:val="0"/>
              <w:ind w:right="-24"/>
              <w:jc w:val="center"/>
              <w:rPr>
                <w:rFonts w:ascii="宋体" w:hAnsi="宋体" w:cs="宋体"/>
                <w:szCs w:val="21"/>
                <w:highlight w:val="none"/>
              </w:rPr>
            </w:pPr>
            <w:r>
              <w:rPr>
                <w:rFonts w:hint="eastAsia" w:ascii="宋体" w:hAnsi="宋体" w:cs="宋体"/>
                <w:szCs w:val="21"/>
                <w:highlight w:val="none"/>
              </w:rPr>
              <w:t>序号</w:t>
            </w:r>
          </w:p>
        </w:tc>
        <w:tc>
          <w:tcPr>
            <w:tcW w:w="3057" w:type="dxa"/>
            <w:tcBorders>
              <w:bottom w:val="single" w:color="auto" w:sz="4" w:space="0"/>
            </w:tcBorders>
            <w:vAlign w:val="center"/>
          </w:tcPr>
          <w:p w14:paraId="46EE8AFF">
            <w:pPr>
              <w:tabs>
                <w:tab w:val="left" w:pos="900"/>
              </w:tabs>
              <w:snapToGrid w:val="0"/>
              <w:ind w:left="282" w:right="-24"/>
              <w:jc w:val="center"/>
              <w:rPr>
                <w:rFonts w:ascii="宋体" w:hAnsi="宋体" w:cs="宋体"/>
                <w:szCs w:val="21"/>
                <w:highlight w:val="none"/>
              </w:rPr>
            </w:pPr>
            <w:r>
              <w:rPr>
                <w:rFonts w:hint="eastAsia" w:ascii="宋体" w:hAnsi="宋体" w:cs="宋体"/>
                <w:szCs w:val="21"/>
                <w:highlight w:val="none"/>
              </w:rPr>
              <w:t>费用名称</w:t>
            </w:r>
          </w:p>
        </w:tc>
        <w:tc>
          <w:tcPr>
            <w:tcW w:w="1816" w:type="dxa"/>
          </w:tcPr>
          <w:p w14:paraId="360EAB19">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最高投标限价</w:t>
            </w:r>
          </w:p>
          <w:p w14:paraId="500058B8">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(万元)</w:t>
            </w:r>
          </w:p>
        </w:tc>
        <w:tc>
          <w:tcPr>
            <w:tcW w:w="1462" w:type="dxa"/>
            <w:tcBorders>
              <w:bottom w:val="single" w:color="auto" w:sz="4" w:space="0"/>
            </w:tcBorders>
            <w:vAlign w:val="center"/>
          </w:tcPr>
          <w:p w14:paraId="4F6191A5">
            <w:pPr>
              <w:tabs>
                <w:tab w:val="left" w:pos="900"/>
              </w:tabs>
              <w:snapToGrid w:val="0"/>
              <w:spacing w:before="120" w:after="120"/>
              <w:ind w:right="-24"/>
              <w:jc w:val="center"/>
              <w:rPr>
                <w:rFonts w:ascii="宋体" w:hAnsi="宋体" w:cs="宋体"/>
                <w:b/>
                <w:szCs w:val="21"/>
                <w:highlight w:val="none"/>
              </w:rPr>
            </w:pPr>
            <w:r>
              <w:rPr>
                <w:rFonts w:hint="eastAsia" w:ascii="宋体" w:hAnsi="宋体" w:cs="宋体"/>
                <w:bCs/>
                <w:szCs w:val="21"/>
                <w:highlight w:val="none"/>
              </w:rPr>
              <w:t>投标下浮率</w:t>
            </w:r>
          </w:p>
        </w:tc>
        <w:tc>
          <w:tcPr>
            <w:tcW w:w="1638" w:type="dxa"/>
            <w:tcBorders>
              <w:bottom w:val="single" w:color="auto" w:sz="4" w:space="0"/>
            </w:tcBorders>
          </w:tcPr>
          <w:p w14:paraId="22885FD0">
            <w:pPr>
              <w:tabs>
                <w:tab w:val="left" w:pos="900"/>
              </w:tabs>
              <w:snapToGrid w:val="0"/>
              <w:spacing w:before="120" w:after="120"/>
              <w:ind w:right="-24"/>
              <w:jc w:val="center"/>
              <w:rPr>
                <w:rFonts w:ascii="宋体" w:hAnsi="宋体" w:cs="宋体"/>
                <w:szCs w:val="21"/>
                <w:highlight w:val="none"/>
              </w:rPr>
            </w:pPr>
            <w:r>
              <w:rPr>
                <w:rFonts w:hint="eastAsia" w:ascii="宋体" w:hAnsi="宋体" w:cs="宋体"/>
                <w:kern w:val="0"/>
                <w:szCs w:val="21"/>
                <w:highlight w:val="none"/>
                <w:lang w:bidi="ar"/>
              </w:rPr>
              <w:t>投标报价</w:t>
            </w:r>
            <w:r>
              <w:rPr>
                <w:rFonts w:hint="eastAsia" w:ascii="宋体" w:hAnsi="宋体" w:cs="宋体"/>
                <w:szCs w:val="21"/>
                <w:highlight w:val="none"/>
              </w:rPr>
              <w:t>(元)</w:t>
            </w:r>
          </w:p>
        </w:tc>
        <w:tc>
          <w:tcPr>
            <w:tcW w:w="1358" w:type="dxa"/>
            <w:tcBorders>
              <w:bottom w:val="single" w:color="auto" w:sz="4" w:space="0"/>
            </w:tcBorders>
            <w:vAlign w:val="center"/>
          </w:tcPr>
          <w:p w14:paraId="3BCADA5A">
            <w:pPr>
              <w:tabs>
                <w:tab w:val="left" w:pos="900"/>
              </w:tabs>
              <w:snapToGrid w:val="0"/>
              <w:spacing w:before="120" w:after="120"/>
              <w:ind w:right="-24"/>
              <w:jc w:val="center"/>
              <w:rPr>
                <w:rFonts w:ascii="宋体" w:hAnsi="宋体" w:cs="宋体"/>
                <w:szCs w:val="21"/>
                <w:highlight w:val="none"/>
              </w:rPr>
            </w:pPr>
            <w:r>
              <w:rPr>
                <w:rFonts w:hint="eastAsia" w:ascii="宋体" w:hAnsi="宋体" w:cs="宋体"/>
                <w:szCs w:val="21"/>
                <w:highlight w:val="none"/>
              </w:rPr>
              <w:t>备注</w:t>
            </w:r>
          </w:p>
        </w:tc>
      </w:tr>
      <w:tr w14:paraId="779FD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atLeast"/>
          <w:jc w:val="center"/>
        </w:trPr>
        <w:tc>
          <w:tcPr>
            <w:tcW w:w="630" w:type="dxa"/>
            <w:tcBorders>
              <w:top w:val="single" w:color="auto" w:sz="4" w:space="0"/>
              <w:bottom w:val="single" w:color="auto" w:sz="4" w:space="0"/>
            </w:tcBorders>
            <w:vAlign w:val="center"/>
          </w:tcPr>
          <w:p w14:paraId="705784BE">
            <w:pPr>
              <w:jc w:val="center"/>
              <w:rPr>
                <w:rFonts w:ascii="宋体" w:hAnsi="宋体" w:cs="宋体"/>
                <w:sz w:val="24"/>
                <w:szCs w:val="24"/>
                <w:highlight w:val="none"/>
              </w:rPr>
            </w:pPr>
            <w:r>
              <w:rPr>
                <w:rFonts w:hint="eastAsia" w:ascii="宋体" w:hAnsi="宋体" w:cs="宋体"/>
                <w:sz w:val="24"/>
                <w:szCs w:val="24"/>
                <w:highlight w:val="none"/>
                <w:lang w:val="en-US" w:eastAsia="zh-CN"/>
              </w:rPr>
              <w:t>1</w:t>
            </w:r>
          </w:p>
        </w:tc>
        <w:tc>
          <w:tcPr>
            <w:tcW w:w="3057" w:type="dxa"/>
            <w:tcBorders>
              <w:top w:val="single" w:color="auto" w:sz="4" w:space="0"/>
              <w:bottom w:val="single" w:color="auto" w:sz="4" w:space="0"/>
            </w:tcBorders>
            <w:vAlign w:val="center"/>
          </w:tcPr>
          <w:p w14:paraId="0EB423E3">
            <w:pPr>
              <w:jc w:val="center"/>
              <w:rPr>
                <w:rFonts w:hint="eastAsia" w:ascii="宋体" w:hAnsi="宋体" w:cs="宋体"/>
                <w:sz w:val="24"/>
                <w:szCs w:val="24"/>
                <w:highlight w:val="none"/>
                <w:lang w:eastAsia="zh-CN"/>
              </w:rPr>
            </w:pPr>
            <w:r>
              <w:rPr>
                <w:rFonts w:hint="eastAsia" w:ascii="宋体" w:hAnsi="宋体" w:cs="宋体"/>
                <w:sz w:val="24"/>
                <w:szCs w:val="24"/>
                <w:highlight w:val="none"/>
                <w:lang w:val="en-US" w:eastAsia="zh-CN"/>
              </w:rPr>
              <w:t>专项技术咨询</w:t>
            </w:r>
          </w:p>
        </w:tc>
        <w:tc>
          <w:tcPr>
            <w:tcW w:w="1816" w:type="dxa"/>
            <w:vAlign w:val="center"/>
          </w:tcPr>
          <w:p w14:paraId="506E0FE0">
            <w:pPr>
              <w:jc w:val="center"/>
              <w:rPr>
                <w:rFonts w:hint="eastAsia" w:ascii="宋体" w:hAnsi="宋体" w:cs="宋体"/>
                <w:sz w:val="24"/>
                <w:szCs w:val="24"/>
                <w:highlight w:val="none"/>
              </w:rPr>
            </w:pPr>
            <w:r>
              <w:rPr>
                <w:rFonts w:hint="eastAsia" w:ascii="宋体" w:hAnsi="宋体" w:cs="宋体"/>
                <w:sz w:val="24"/>
                <w:szCs w:val="24"/>
                <w:highlight w:val="none"/>
                <w:lang w:val="en-US" w:eastAsia="zh-CN"/>
              </w:rPr>
              <w:t>200.00</w:t>
            </w:r>
          </w:p>
        </w:tc>
        <w:tc>
          <w:tcPr>
            <w:tcW w:w="1462" w:type="dxa"/>
            <w:vMerge w:val="restart"/>
            <w:tcBorders>
              <w:top w:val="single" w:color="auto" w:sz="4" w:space="0"/>
            </w:tcBorders>
            <w:vAlign w:val="center"/>
          </w:tcPr>
          <w:p w14:paraId="0AFA234F">
            <w:pPr>
              <w:tabs>
                <w:tab w:val="left" w:pos="900"/>
              </w:tabs>
              <w:snapToGrid w:val="0"/>
              <w:spacing w:before="60" w:after="120"/>
              <w:ind w:right="-24"/>
              <w:jc w:val="center"/>
              <w:rPr>
                <w:rFonts w:ascii="宋体" w:hAnsi="宋体" w:cs="宋体"/>
                <w:sz w:val="24"/>
                <w:szCs w:val="24"/>
                <w:highlight w:val="none"/>
              </w:rPr>
            </w:pPr>
            <w:r>
              <w:rPr>
                <w:rFonts w:hint="eastAsia" w:ascii="宋体" w:hAnsi="宋体" w:cs="宋体"/>
                <w:sz w:val="24"/>
                <w:szCs w:val="24"/>
                <w:highlight w:val="none"/>
                <w:u w:val="single"/>
              </w:rPr>
              <w:t xml:space="preserve">   </w:t>
            </w:r>
            <w:r>
              <w:rPr>
                <w:rFonts w:hint="eastAsia" w:ascii="宋体" w:hAnsi="宋体" w:cs="宋体"/>
                <w:sz w:val="24"/>
                <w:szCs w:val="24"/>
                <w:highlight w:val="none"/>
              </w:rPr>
              <w:t>%</w:t>
            </w:r>
          </w:p>
        </w:tc>
        <w:tc>
          <w:tcPr>
            <w:tcW w:w="1638" w:type="dxa"/>
            <w:tcBorders>
              <w:top w:val="single" w:color="auto" w:sz="4" w:space="0"/>
              <w:bottom w:val="single" w:color="auto" w:sz="4" w:space="0"/>
            </w:tcBorders>
            <w:vAlign w:val="center"/>
          </w:tcPr>
          <w:p w14:paraId="4D7BCEB5">
            <w:pPr>
              <w:tabs>
                <w:tab w:val="left" w:pos="900"/>
              </w:tabs>
              <w:snapToGrid w:val="0"/>
              <w:spacing w:before="60" w:after="120"/>
              <w:ind w:right="-24"/>
              <w:jc w:val="center"/>
              <w:rPr>
                <w:rFonts w:ascii="宋体" w:hAnsi="宋体" w:cs="宋体"/>
                <w:sz w:val="24"/>
                <w:szCs w:val="24"/>
                <w:highlight w:val="none"/>
              </w:rPr>
            </w:pPr>
          </w:p>
        </w:tc>
        <w:tc>
          <w:tcPr>
            <w:tcW w:w="1358" w:type="dxa"/>
            <w:tcBorders>
              <w:top w:val="single" w:color="auto" w:sz="4" w:space="0"/>
              <w:bottom w:val="single" w:color="auto" w:sz="4" w:space="0"/>
            </w:tcBorders>
            <w:vAlign w:val="center"/>
          </w:tcPr>
          <w:p w14:paraId="38E5137C">
            <w:pPr>
              <w:tabs>
                <w:tab w:val="left" w:pos="900"/>
              </w:tabs>
              <w:snapToGrid w:val="0"/>
              <w:spacing w:before="60" w:after="120"/>
              <w:ind w:right="-24"/>
              <w:jc w:val="center"/>
              <w:rPr>
                <w:rFonts w:ascii="宋体" w:hAnsi="宋体" w:cs="宋体"/>
                <w:szCs w:val="21"/>
                <w:highlight w:val="none"/>
              </w:rPr>
            </w:pPr>
          </w:p>
        </w:tc>
      </w:tr>
      <w:tr w14:paraId="7BF3E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7" w:hRule="atLeast"/>
          <w:jc w:val="center"/>
        </w:trPr>
        <w:tc>
          <w:tcPr>
            <w:tcW w:w="630" w:type="dxa"/>
            <w:tcBorders>
              <w:top w:val="single" w:color="auto" w:sz="4" w:space="0"/>
              <w:bottom w:val="single" w:color="auto" w:sz="4" w:space="0"/>
            </w:tcBorders>
            <w:vAlign w:val="center"/>
          </w:tcPr>
          <w:p w14:paraId="377A5D5F">
            <w:pPr>
              <w:tabs>
                <w:tab w:val="left" w:pos="900"/>
              </w:tabs>
              <w:snapToGrid w:val="0"/>
              <w:spacing w:before="60" w:after="120"/>
              <w:ind w:right="-24"/>
              <w:jc w:val="center"/>
              <w:rPr>
                <w:rFonts w:ascii="宋体" w:hAnsi="宋体" w:cs="宋体"/>
                <w:szCs w:val="21"/>
                <w:highlight w:val="none"/>
              </w:rPr>
            </w:pPr>
          </w:p>
        </w:tc>
        <w:tc>
          <w:tcPr>
            <w:tcW w:w="3057" w:type="dxa"/>
            <w:tcBorders>
              <w:top w:val="single" w:color="auto" w:sz="4" w:space="0"/>
              <w:bottom w:val="single" w:color="auto" w:sz="4" w:space="0"/>
            </w:tcBorders>
            <w:vAlign w:val="center"/>
          </w:tcPr>
          <w:p w14:paraId="2DFE6E14">
            <w:pPr>
              <w:jc w:val="center"/>
              <w:rPr>
                <w:rFonts w:hint="eastAsia" w:ascii="宋体" w:hAnsi="宋体" w:cs="宋体"/>
                <w:sz w:val="24"/>
                <w:szCs w:val="24"/>
                <w:highlight w:val="none"/>
              </w:rPr>
            </w:pPr>
            <w:r>
              <w:rPr>
                <w:rFonts w:hint="eastAsia" w:ascii="宋体" w:hAnsi="宋体" w:cs="宋体"/>
                <w:sz w:val="24"/>
                <w:szCs w:val="24"/>
                <w:highlight w:val="none"/>
              </w:rPr>
              <w:t>合计（小写）：</w:t>
            </w:r>
          </w:p>
        </w:tc>
        <w:tc>
          <w:tcPr>
            <w:tcW w:w="1816" w:type="dxa"/>
            <w:vAlign w:val="center"/>
          </w:tcPr>
          <w:p w14:paraId="07922141">
            <w:pPr>
              <w:jc w:val="center"/>
              <w:rPr>
                <w:rFonts w:hint="default" w:ascii="宋体" w:hAnsi="宋体" w:cs="宋体"/>
                <w:sz w:val="24"/>
                <w:szCs w:val="24"/>
                <w:highlight w:val="none"/>
                <w:lang w:val="en-US"/>
              </w:rPr>
            </w:pPr>
            <w:r>
              <w:rPr>
                <w:rFonts w:hint="eastAsia" w:ascii="宋体" w:hAnsi="宋体" w:cs="宋体"/>
                <w:sz w:val="24"/>
                <w:szCs w:val="24"/>
                <w:highlight w:val="none"/>
                <w:lang w:val="en-US" w:eastAsia="zh-CN"/>
              </w:rPr>
              <w:t>200.00</w:t>
            </w:r>
          </w:p>
        </w:tc>
        <w:tc>
          <w:tcPr>
            <w:tcW w:w="1462" w:type="dxa"/>
            <w:vMerge w:val="continue"/>
            <w:vAlign w:val="center"/>
          </w:tcPr>
          <w:p w14:paraId="5D9F8B38">
            <w:pPr>
              <w:tabs>
                <w:tab w:val="left" w:pos="900"/>
              </w:tabs>
              <w:snapToGrid w:val="0"/>
              <w:spacing w:before="60" w:after="120"/>
              <w:ind w:right="-24"/>
              <w:jc w:val="center"/>
              <w:rPr>
                <w:rFonts w:ascii="宋体" w:hAnsi="宋体" w:cs="宋体"/>
                <w:szCs w:val="21"/>
                <w:highlight w:val="none"/>
                <w:u w:val="single"/>
              </w:rPr>
            </w:pPr>
          </w:p>
        </w:tc>
        <w:tc>
          <w:tcPr>
            <w:tcW w:w="1638" w:type="dxa"/>
            <w:tcBorders>
              <w:top w:val="single" w:color="auto" w:sz="4" w:space="0"/>
            </w:tcBorders>
            <w:vAlign w:val="center"/>
          </w:tcPr>
          <w:p w14:paraId="5EA404D1">
            <w:pPr>
              <w:tabs>
                <w:tab w:val="left" w:pos="900"/>
              </w:tabs>
              <w:snapToGrid w:val="0"/>
              <w:spacing w:before="60" w:after="120"/>
              <w:ind w:right="-24"/>
              <w:jc w:val="center"/>
              <w:rPr>
                <w:rFonts w:ascii="宋体" w:hAnsi="宋体" w:cs="宋体"/>
                <w:szCs w:val="21"/>
                <w:highlight w:val="none"/>
              </w:rPr>
            </w:pPr>
          </w:p>
        </w:tc>
        <w:tc>
          <w:tcPr>
            <w:tcW w:w="1358" w:type="dxa"/>
            <w:tcBorders>
              <w:top w:val="single" w:color="auto" w:sz="4" w:space="0"/>
              <w:bottom w:val="single" w:color="auto" w:sz="4" w:space="0"/>
            </w:tcBorders>
            <w:vAlign w:val="center"/>
          </w:tcPr>
          <w:p w14:paraId="630E4BDB">
            <w:pPr>
              <w:tabs>
                <w:tab w:val="left" w:pos="900"/>
              </w:tabs>
              <w:snapToGrid w:val="0"/>
              <w:spacing w:before="60" w:after="120"/>
              <w:ind w:right="-24"/>
              <w:jc w:val="center"/>
              <w:rPr>
                <w:rFonts w:ascii="宋体" w:hAnsi="宋体" w:cs="宋体"/>
                <w:szCs w:val="21"/>
                <w:highlight w:val="none"/>
              </w:rPr>
            </w:pPr>
          </w:p>
        </w:tc>
      </w:tr>
    </w:tbl>
    <w:p w14:paraId="4ABEB513">
      <w:pPr>
        <w:pStyle w:val="7"/>
        <w:rPr>
          <w:color w:val="0000FF"/>
          <w:highlight w:val="none"/>
        </w:rPr>
      </w:pPr>
    </w:p>
    <w:p w14:paraId="289D1B69">
      <w:pPr>
        <w:pStyle w:val="8"/>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报价要求：</w:t>
      </w:r>
    </w:p>
    <w:p w14:paraId="49997E27">
      <w:pPr>
        <w:pStyle w:val="9"/>
        <w:numPr>
          <w:ilvl w:val="0"/>
          <w:numId w:val="3"/>
        </w:numPr>
        <w:ind w:firstLine="482" w:firstLineChars="200"/>
        <w:jc w:val="left"/>
        <w:rPr>
          <w:rFonts w:hint="eastAsia" w:ascii="宋体" w:hAnsi="宋体" w:eastAsia="宋体" w:cs="宋体"/>
          <w:color w:val="auto"/>
          <w:kern w:val="2"/>
          <w:sz w:val="24"/>
          <w:szCs w:val="24"/>
          <w:highlight w:val="none"/>
          <w:u w:val="single"/>
          <w:lang w:val="en-US" w:eastAsia="zh-CN"/>
        </w:rPr>
      </w:pPr>
      <w:r>
        <w:rPr>
          <w:rFonts w:hint="eastAsia" w:ascii="宋体" w:hAnsi="宋体" w:eastAsia="宋体" w:cs="宋体"/>
          <w:color w:val="auto"/>
          <w:kern w:val="2"/>
          <w:sz w:val="24"/>
          <w:szCs w:val="24"/>
          <w:highlight w:val="none"/>
          <w:u w:val="single"/>
          <w:lang w:val="en-US" w:eastAsia="zh-CN"/>
        </w:rPr>
        <w:t>按下浮率报价（保留两位小数，如8.88%），同时填报投标报价（投标报价=最高投标限价*（1-投标下浮率），四舍五入保留两位小数）。当投标报价与投标下浮率计算结果不一致时，以投标下浮率为准，按上述公式修订投标报价。</w:t>
      </w:r>
    </w:p>
    <w:p w14:paraId="2EBACF9C">
      <w:pPr>
        <w:pStyle w:val="9"/>
        <w:numPr>
          <w:ilvl w:val="0"/>
          <w:numId w:val="0"/>
        </w:numPr>
        <w:ind w:firstLine="482" w:firstLineChars="200"/>
        <w:jc w:val="left"/>
        <w:rPr>
          <w:highlight w:val="none"/>
        </w:rPr>
      </w:pPr>
      <w:r>
        <w:rPr>
          <w:rFonts w:hint="eastAsia" w:ascii="宋体" w:hAnsi="宋体" w:eastAsia="宋体" w:cs="宋体"/>
          <w:color w:val="auto"/>
          <w:kern w:val="2"/>
          <w:sz w:val="24"/>
          <w:szCs w:val="24"/>
          <w:highlight w:val="none"/>
          <w:u w:val="single"/>
          <w:lang w:val="en-US" w:eastAsia="zh-CN"/>
        </w:rPr>
        <w:t>2.投标下浮率不低于0%为有效报价；当投标下浮率＞15%时应附成本分析报告，充分说明单价和费用的组成、降低成本的合理措施及在其他工程中应用过的经验等，经评审通过后方可视为有效报价。</w:t>
      </w:r>
    </w:p>
    <w:p w14:paraId="1A613F4A">
      <w:pPr>
        <w:pStyle w:val="9"/>
        <w:ind w:firstLine="482" w:firstLineChars="200"/>
        <w:jc w:val="left"/>
        <w:rPr>
          <w:rFonts w:hint="eastAsia" w:ascii="宋体" w:hAnsi="宋体" w:eastAsia="宋体" w:cs="宋体"/>
          <w:color w:val="auto"/>
          <w:kern w:val="2"/>
          <w:sz w:val="24"/>
          <w:szCs w:val="24"/>
          <w:highlight w:val="none"/>
          <w:u w:val="single"/>
        </w:rPr>
      </w:pPr>
      <w:r>
        <w:rPr>
          <w:rFonts w:hint="eastAsia" w:ascii="宋体" w:hAnsi="宋体" w:eastAsia="宋体" w:cs="宋体"/>
          <w:color w:val="auto"/>
          <w:kern w:val="2"/>
          <w:sz w:val="24"/>
          <w:szCs w:val="24"/>
          <w:highlight w:val="none"/>
          <w:u w:val="single"/>
          <w:lang w:val="en-US" w:eastAsia="zh-CN"/>
        </w:rPr>
        <w:t>3.</w:t>
      </w:r>
      <w:r>
        <w:rPr>
          <w:rFonts w:hint="eastAsia" w:ascii="宋体" w:hAnsi="宋体" w:eastAsia="宋体" w:cs="宋体"/>
          <w:color w:val="auto"/>
          <w:kern w:val="2"/>
          <w:sz w:val="24"/>
          <w:szCs w:val="24"/>
          <w:highlight w:val="none"/>
          <w:u w:val="single"/>
        </w:rPr>
        <w:t>价格分计算时，投标人评标价按（100-投标人填写的下浮数值）参与计算。如：下浮率为1.88％时，评标价按（100-1.88）参与计算。</w:t>
      </w:r>
    </w:p>
    <w:p w14:paraId="1B47969C">
      <w:pPr>
        <w:pStyle w:val="3"/>
        <w:spacing w:line="360" w:lineRule="auto"/>
        <w:rPr>
          <w:rFonts w:asciiTheme="minorEastAsia" w:hAnsiTheme="minorEastAsia" w:eastAsiaTheme="minorEastAsia" w:cstheme="minorEastAsia"/>
          <w:bCs/>
          <w:i w:val="0"/>
          <w:color w:val="auto"/>
          <w:sz w:val="24"/>
          <w:szCs w:val="24"/>
          <w:highlight w:val="none"/>
        </w:rPr>
      </w:pPr>
      <w:r>
        <w:rPr>
          <w:rFonts w:hint="eastAsia" w:asciiTheme="minorEastAsia" w:hAnsiTheme="minorEastAsia" w:eastAsiaTheme="minorEastAsia" w:cstheme="minorEastAsia"/>
          <w:bCs/>
          <w:i w:val="0"/>
          <w:color w:val="auto"/>
          <w:sz w:val="24"/>
          <w:szCs w:val="24"/>
          <w:highlight w:val="none"/>
        </w:rPr>
        <w:t>四、结算方式</w:t>
      </w:r>
    </w:p>
    <w:p w14:paraId="71DB32BA">
      <w:pPr>
        <w:keepNext w:val="0"/>
        <w:keepLines w:val="0"/>
        <w:pageBreakBefore w:val="0"/>
        <w:widowControl w:val="0"/>
        <w:shd w:val="clear" w:color="auto" w:fill="auto"/>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宋体" w:hAnsi="宋体" w:eastAsia="宋体" w:cs="宋体"/>
          <w:b/>
          <w:bCs/>
          <w:color w:val="auto"/>
          <w:kern w:val="2"/>
          <w:sz w:val="24"/>
          <w:szCs w:val="24"/>
          <w:highlight w:val="none"/>
          <w:u w:val="single"/>
          <w:lang w:val="en-US" w:eastAsia="zh-CN" w:bidi="ar-SA"/>
        </w:rPr>
      </w:pPr>
      <w:r>
        <w:rPr>
          <w:rFonts w:hint="eastAsia" w:ascii="宋体" w:hAnsi="宋体" w:eastAsia="宋体" w:cs="宋体"/>
          <w:b/>
          <w:bCs/>
          <w:color w:val="auto"/>
          <w:kern w:val="2"/>
          <w:sz w:val="24"/>
          <w:szCs w:val="24"/>
          <w:highlight w:val="none"/>
          <w:u w:val="single"/>
          <w:lang w:val="en-US" w:eastAsia="zh-CN" w:bidi="ar-SA"/>
        </w:rPr>
        <w:t>结算方式：本工程合同价为总价包干。结算时总价包干部分，除合同约定可调整的情况外，结算不予调整，中标合同价款中的漏项、错项,结算时视为已包括在其他子项的报价中，不予调整。</w:t>
      </w:r>
    </w:p>
    <w:p w14:paraId="5D4135C2">
      <w:pPr>
        <w:spacing w:before="156" w:beforeLines="50" w:after="156" w:afterLines="50" w:line="480" w:lineRule="auto"/>
        <w:rPr>
          <w:rFonts w:asciiTheme="minorEastAsia" w:hAnsiTheme="minorEastAsia" w:eastAsiaTheme="minorEastAsia" w:cstheme="minorEastAsia"/>
          <w:b/>
          <w:bCs/>
          <w:iCs/>
          <w:sz w:val="24"/>
          <w:szCs w:val="24"/>
          <w:highlight w:val="none"/>
        </w:rPr>
      </w:pPr>
      <w:r>
        <w:rPr>
          <w:rFonts w:hint="eastAsia" w:asciiTheme="minorEastAsia" w:hAnsiTheme="minorEastAsia" w:eastAsiaTheme="minorEastAsia" w:cstheme="minorEastAsia"/>
          <w:b/>
          <w:bCs/>
          <w:sz w:val="24"/>
          <w:szCs w:val="24"/>
          <w:highlight w:val="none"/>
        </w:rPr>
        <w:t>五、分包要求</w:t>
      </w:r>
    </w:p>
    <w:p w14:paraId="636CCBE8">
      <w:pPr>
        <w:pStyle w:val="16"/>
        <w:spacing w:before="156" w:after="156"/>
        <w:ind w:firstLine="0" w:firstLineChars="0"/>
        <w:rPr>
          <w:highlight w:val="none"/>
        </w:rPr>
      </w:pPr>
      <w:r>
        <w:rPr>
          <w:rFonts w:ascii="Wingdings" w:hAnsi="Wingdings" w:cs="Wingdings"/>
          <w:highlight w:val="none"/>
        </w:rPr>
        <w:sym w:font="Wingdings" w:char="00FE"/>
      </w:r>
      <w:r>
        <w:rPr>
          <w:rFonts w:hint="eastAsia"/>
          <w:highlight w:val="none"/>
        </w:rPr>
        <w:t>不允许分包</w:t>
      </w:r>
    </w:p>
    <w:p w14:paraId="3FC6E6E4">
      <w:pPr>
        <w:pStyle w:val="16"/>
        <w:spacing w:before="156" w:after="156"/>
        <w:ind w:firstLine="0" w:firstLineChars="0"/>
        <w:rPr>
          <w:rFonts w:hint="eastAsia"/>
          <w:highlight w:val="none"/>
          <w:lang w:val="en-US" w:eastAsia="zh-CN"/>
        </w:rPr>
      </w:pPr>
      <w:r>
        <w:rPr>
          <w:rFonts w:ascii="Wingdings" w:hAnsi="Wingdings" w:cs="Wingdings"/>
          <w:highlight w:val="none"/>
        </w:rPr>
        <w:sym w:font="Wingdings" w:char="00A8"/>
      </w:r>
      <w:r>
        <w:rPr>
          <w:rFonts w:hint="eastAsia"/>
          <w:highlight w:val="none"/>
        </w:rPr>
        <w:t>允许分包，但必须符合以下要求：</w:t>
      </w:r>
      <w:r>
        <w:rPr>
          <w:rFonts w:hint="eastAsia"/>
          <w:highlight w:val="none"/>
          <w:u w:val="single"/>
          <w:lang w:val="en-US" w:eastAsia="zh-CN"/>
        </w:rPr>
        <w:t xml:space="preserve">          </w:t>
      </w:r>
      <w:r>
        <w:rPr>
          <w:rFonts w:hint="eastAsia"/>
          <w:highlight w:val="none"/>
          <w:lang w:val="en-US" w:eastAsia="zh-CN"/>
        </w:rPr>
        <w:t>。</w:t>
      </w:r>
    </w:p>
    <w:p w14:paraId="0A84CA8C">
      <w:pPr>
        <w:pStyle w:val="16"/>
        <w:spacing w:before="156" w:after="156"/>
        <w:ind w:firstLine="0" w:firstLineChars="0"/>
        <w:rPr>
          <w:rFonts w:hint="eastAsia"/>
          <w:highlight w:val="none"/>
          <w:lang w:val="en-US" w:eastAsia="zh-CN"/>
        </w:rPr>
      </w:pPr>
    </w:p>
    <w:p w14:paraId="4D9146E8">
      <w:pPr>
        <w:pStyle w:val="11"/>
        <w:numPr>
          <w:ilvl w:val="0"/>
          <w:numId w:val="4"/>
        </w:numPr>
        <w:spacing w:line="360" w:lineRule="auto"/>
        <w:jc w:val="left"/>
        <w:rPr>
          <w:rFonts w:asciiTheme="minorEastAsia" w:hAnsiTheme="minorEastAsia" w:eastAsiaTheme="minorEastAsia" w:cstheme="minorEastAsia"/>
          <w:b/>
          <w:bCs/>
          <w:snapToGrid w:val="0"/>
          <w:sz w:val="28"/>
          <w:szCs w:val="28"/>
          <w:highlight w:val="none"/>
        </w:rPr>
      </w:pPr>
      <w:r>
        <w:rPr>
          <w:rFonts w:hint="eastAsia" w:asciiTheme="minorEastAsia" w:hAnsiTheme="minorEastAsia" w:eastAsiaTheme="minorEastAsia" w:cstheme="minorEastAsia"/>
          <w:b/>
          <w:bCs/>
          <w:snapToGrid w:val="0"/>
          <w:sz w:val="28"/>
          <w:szCs w:val="28"/>
          <w:highlight w:val="none"/>
        </w:rPr>
        <w:t>技术标准、要求及图纸（对应招标文件 第五章）</w:t>
      </w:r>
    </w:p>
    <w:p w14:paraId="35577FEB">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一、 管理规范和技术（规范）标准（详见合同附件）</w:t>
      </w:r>
    </w:p>
    <w:p w14:paraId="493E067F">
      <w:pPr>
        <w:pStyle w:val="11"/>
        <w:rPr>
          <w:rFonts w:asciiTheme="minorEastAsia" w:hAnsiTheme="minorEastAsia" w:eastAsiaTheme="minorEastAsia" w:cstheme="minorEastAsia"/>
          <w:iCs/>
          <w:sz w:val="24"/>
          <w:szCs w:val="24"/>
          <w:highlight w:val="none"/>
        </w:rPr>
      </w:pPr>
    </w:p>
    <w:p w14:paraId="6512B0CC">
      <w:pPr>
        <w:pStyle w:val="3"/>
        <w:rPr>
          <w:rFonts w:asciiTheme="minorEastAsia" w:hAnsiTheme="minorEastAsia" w:eastAsiaTheme="minorEastAsia" w:cstheme="minorEastAsia"/>
          <w:i w:val="0"/>
          <w:iCs/>
          <w:color w:val="auto"/>
          <w:sz w:val="24"/>
          <w:szCs w:val="24"/>
          <w:highlight w:val="none"/>
        </w:rPr>
      </w:pPr>
      <w:r>
        <w:rPr>
          <w:rFonts w:hint="eastAsia" w:asciiTheme="minorEastAsia" w:hAnsiTheme="minorEastAsia" w:eastAsiaTheme="minorEastAsia" w:cstheme="minorEastAsia"/>
          <w:i w:val="0"/>
          <w:iCs/>
          <w:color w:val="auto"/>
          <w:sz w:val="24"/>
          <w:szCs w:val="24"/>
          <w:highlight w:val="none"/>
        </w:rPr>
        <w:t>二、技术及管理要求</w:t>
      </w:r>
    </w:p>
    <w:p w14:paraId="4702E824">
      <w:pPr>
        <w:autoSpaceDE w:val="0"/>
        <w:autoSpaceDN w:val="0"/>
        <w:adjustRightInd w:val="0"/>
        <w:rPr>
          <w:rFonts w:asciiTheme="minorEastAsia" w:hAnsiTheme="minorEastAsia" w:eastAsiaTheme="minorEastAsia" w:cstheme="minorEastAsia"/>
          <w:iCs/>
          <w:kern w:val="0"/>
          <w:sz w:val="24"/>
          <w:szCs w:val="24"/>
          <w:highlight w:val="none"/>
          <w:lang w:val="zh-CN"/>
        </w:rPr>
      </w:pPr>
      <w:r>
        <w:rPr>
          <w:rFonts w:hint="eastAsia" w:asciiTheme="minorEastAsia" w:hAnsiTheme="minorEastAsia" w:eastAsiaTheme="minorEastAsia" w:cstheme="minorEastAsia"/>
          <w:iCs/>
          <w:kern w:val="0"/>
          <w:sz w:val="24"/>
          <w:szCs w:val="24"/>
          <w:highlight w:val="none"/>
          <w:lang w:val="zh-CN"/>
        </w:rPr>
        <w:t>（一）满足南方电网公司基建管理制度、建设单位的质量、环境和职业健康安全管理体系文件、其他有关制度和规定。</w:t>
      </w:r>
    </w:p>
    <w:p w14:paraId="3E52D7D6">
      <w:pPr>
        <w:pStyle w:val="11"/>
        <w:spacing w:line="360" w:lineRule="auto"/>
        <w:jc w:val="left"/>
        <w:rPr>
          <w:rFonts w:asciiTheme="minorEastAsia" w:hAnsiTheme="minorEastAsia" w:eastAsiaTheme="minorEastAsia" w:cstheme="minorEastAsia"/>
          <w:b/>
          <w:bCs/>
          <w:snapToGrid w:val="0"/>
          <w:sz w:val="28"/>
          <w:szCs w:val="28"/>
          <w:highlight w:val="none"/>
        </w:rPr>
      </w:pPr>
    </w:p>
    <w:p w14:paraId="51F01C58">
      <w:pPr>
        <w:rPr>
          <w:rFonts w:ascii="宋体" w:hAnsi="宋体" w:cs="宋体"/>
          <w:sz w:val="24"/>
          <w:szCs w:val="24"/>
          <w:highlight w:val="none"/>
          <w:u w:val="single"/>
        </w:rPr>
      </w:pPr>
    </w:p>
    <w:p w14:paraId="7C9B4650">
      <w:pPr>
        <w:pStyle w:val="11"/>
        <w:spacing w:line="480" w:lineRule="atLeast"/>
        <w:rPr>
          <w:rFonts w:hAnsi="宋体" w:cs="宋体"/>
          <w:sz w:val="24"/>
          <w:szCs w:val="24"/>
          <w:highlight w:val="none"/>
          <w:u w:val="single"/>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AC93A0"/>
    <w:multiLevelType w:val="singleLevel"/>
    <w:tmpl w:val="DAAC93A0"/>
    <w:lvl w:ilvl="0" w:tentative="0">
      <w:start w:val="1"/>
      <w:numFmt w:val="decimal"/>
      <w:suff w:val="space"/>
      <w:lvlText w:val="%1."/>
      <w:lvlJc w:val="left"/>
    </w:lvl>
  </w:abstractNum>
  <w:abstractNum w:abstractNumId="1">
    <w:nsid w:val="EA6993E1"/>
    <w:multiLevelType w:val="singleLevel"/>
    <w:tmpl w:val="EA6993E1"/>
    <w:lvl w:ilvl="0" w:tentative="0">
      <w:start w:val="3"/>
      <w:numFmt w:val="chineseCounting"/>
      <w:suff w:val="nothing"/>
      <w:lvlText w:val="%1、"/>
      <w:lvlJc w:val="left"/>
      <w:rPr>
        <w:rFonts w:hint="eastAsia"/>
      </w:rPr>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24F737D8"/>
    <w:rsid w:val="00020759"/>
    <w:rsid w:val="00072293"/>
    <w:rsid w:val="001270A5"/>
    <w:rsid w:val="001E07C9"/>
    <w:rsid w:val="001E39E9"/>
    <w:rsid w:val="002A7CE7"/>
    <w:rsid w:val="00335E27"/>
    <w:rsid w:val="003423EE"/>
    <w:rsid w:val="003A0E2E"/>
    <w:rsid w:val="003F6189"/>
    <w:rsid w:val="00471646"/>
    <w:rsid w:val="004A6532"/>
    <w:rsid w:val="005A69F7"/>
    <w:rsid w:val="00631D2C"/>
    <w:rsid w:val="00633080"/>
    <w:rsid w:val="00660EF5"/>
    <w:rsid w:val="00690FF0"/>
    <w:rsid w:val="00755C37"/>
    <w:rsid w:val="007A4AD7"/>
    <w:rsid w:val="007E2BE5"/>
    <w:rsid w:val="007E76C5"/>
    <w:rsid w:val="008F272B"/>
    <w:rsid w:val="00AD5136"/>
    <w:rsid w:val="00B37178"/>
    <w:rsid w:val="00B76046"/>
    <w:rsid w:val="00B94A89"/>
    <w:rsid w:val="00C6026B"/>
    <w:rsid w:val="00C83946"/>
    <w:rsid w:val="00C96921"/>
    <w:rsid w:val="00CF0436"/>
    <w:rsid w:val="00CF2363"/>
    <w:rsid w:val="00CF56E3"/>
    <w:rsid w:val="00D07BA9"/>
    <w:rsid w:val="00D70B44"/>
    <w:rsid w:val="00DB1B49"/>
    <w:rsid w:val="00DB221F"/>
    <w:rsid w:val="00E01627"/>
    <w:rsid w:val="00E722BB"/>
    <w:rsid w:val="00F60CE9"/>
    <w:rsid w:val="00F822B7"/>
    <w:rsid w:val="02257948"/>
    <w:rsid w:val="02A16AAA"/>
    <w:rsid w:val="04A24F71"/>
    <w:rsid w:val="060A17A5"/>
    <w:rsid w:val="076F3B3B"/>
    <w:rsid w:val="07CA37DF"/>
    <w:rsid w:val="094D5100"/>
    <w:rsid w:val="0B4A6210"/>
    <w:rsid w:val="0BC07002"/>
    <w:rsid w:val="0D7F3D43"/>
    <w:rsid w:val="0E2F4C02"/>
    <w:rsid w:val="0E3616E0"/>
    <w:rsid w:val="0E394169"/>
    <w:rsid w:val="0E545C90"/>
    <w:rsid w:val="0F81532F"/>
    <w:rsid w:val="107144D2"/>
    <w:rsid w:val="11052288"/>
    <w:rsid w:val="116419AD"/>
    <w:rsid w:val="11DF6CFE"/>
    <w:rsid w:val="13383335"/>
    <w:rsid w:val="14440D4B"/>
    <w:rsid w:val="14781EB9"/>
    <w:rsid w:val="14B666F3"/>
    <w:rsid w:val="14C83BBD"/>
    <w:rsid w:val="15056A61"/>
    <w:rsid w:val="15F83E40"/>
    <w:rsid w:val="16A26355"/>
    <w:rsid w:val="17722603"/>
    <w:rsid w:val="18E57496"/>
    <w:rsid w:val="195E3257"/>
    <w:rsid w:val="1989391B"/>
    <w:rsid w:val="1A386933"/>
    <w:rsid w:val="1A4F176B"/>
    <w:rsid w:val="1B663F82"/>
    <w:rsid w:val="1B707F04"/>
    <w:rsid w:val="1C2D4629"/>
    <w:rsid w:val="1C43636C"/>
    <w:rsid w:val="1C8618B6"/>
    <w:rsid w:val="1D904223"/>
    <w:rsid w:val="1DA733EE"/>
    <w:rsid w:val="1F653C49"/>
    <w:rsid w:val="1FF914D4"/>
    <w:rsid w:val="20735046"/>
    <w:rsid w:val="20ED1C88"/>
    <w:rsid w:val="216F4D5B"/>
    <w:rsid w:val="21C11DC8"/>
    <w:rsid w:val="22D0017C"/>
    <w:rsid w:val="23B738BA"/>
    <w:rsid w:val="240A55A4"/>
    <w:rsid w:val="248832D0"/>
    <w:rsid w:val="24E67795"/>
    <w:rsid w:val="24F737D8"/>
    <w:rsid w:val="2525523D"/>
    <w:rsid w:val="26B52327"/>
    <w:rsid w:val="26E11A69"/>
    <w:rsid w:val="26EB3B6A"/>
    <w:rsid w:val="28252C5A"/>
    <w:rsid w:val="28924ADF"/>
    <w:rsid w:val="289A522D"/>
    <w:rsid w:val="291D5E51"/>
    <w:rsid w:val="2A033560"/>
    <w:rsid w:val="2BE07E0A"/>
    <w:rsid w:val="2C891D4F"/>
    <w:rsid w:val="2CA17C08"/>
    <w:rsid w:val="2CC8068E"/>
    <w:rsid w:val="2DB22DCE"/>
    <w:rsid w:val="2DDF66E3"/>
    <w:rsid w:val="2F317D0A"/>
    <w:rsid w:val="2FF65FF8"/>
    <w:rsid w:val="300D195C"/>
    <w:rsid w:val="30BF37B5"/>
    <w:rsid w:val="313B0851"/>
    <w:rsid w:val="31A1649A"/>
    <w:rsid w:val="31C37CD5"/>
    <w:rsid w:val="31C955A9"/>
    <w:rsid w:val="33B200AF"/>
    <w:rsid w:val="33C75702"/>
    <w:rsid w:val="33E61BE2"/>
    <w:rsid w:val="342B7E85"/>
    <w:rsid w:val="34DA1314"/>
    <w:rsid w:val="34FF11B8"/>
    <w:rsid w:val="35F87365"/>
    <w:rsid w:val="361736AD"/>
    <w:rsid w:val="36D200CF"/>
    <w:rsid w:val="379951F8"/>
    <w:rsid w:val="37EE7FA1"/>
    <w:rsid w:val="38382DC3"/>
    <w:rsid w:val="38DE045C"/>
    <w:rsid w:val="391A38E9"/>
    <w:rsid w:val="3987396D"/>
    <w:rsid w:val="3ADC7F6B"/>
    <w:rsid w:val="3B595AEE"/>
    <w:rsid w:val="3BF24D81"/>
    <w:rsid w:val="3BFE7BEA"/>
    <w:rsid w:val="3C4750A3"/>
    <w:rsid w:val="3C4A35F1"/>
    <w:rsid w:val="3F4C5B70"/>
    <w:rsid w:val="41074D77"/>
    <w:rsid w:val="41C0096A"/>
    <w:rsid w:val="420455E6"/>
    <w:rsid w:val="42E73C50"/>
    <w:rsid w:val="43586E3E"/>
    <w:rsid w:val="44982260"/>
    <w:rsid w:val="44D414C9"/>
    <w:rsid w:val="46472D5E"/>
    <w:rsid w:val="485D3F87"/>
    <w:rsid w:val="488E1C89"/>
    <w:rsid w:val="496A657E"/>
    <w:rsid w:val="49843C09"/>
    <w:rsid w:val="4AF4680A"/>
    <w:rsid w:val="4B3A1BDA"/>
    <w:rsid w:val="4BF83760"/>
    <w:rsid w:val="4C5B4768"/>
    <w:rsid w:val="4C8349B8"/>
    <w:rsid w:val="4D5667B6"/>
    <w:rsid w:val="4E992277"/>
    <w:rsid w:val="4F7A3537"/>
    <w:rsid w:val="4FC46F4F"/>
    <w:rsid w:val="500C6330"/>
    <w:rsid w:val="504766FD"/>
    <w:rsid w:val="50563967"/>
    <w:rsid w:val="5144269A"/>
    <w:rsid w:val="52561619"/>
    <w:rsid w:val="55277F9E"/>
    <w:rsid w:val="552A0C96"/>
    <w:rsid w:val="55BB16B6"/>
    <w:rsid w:val="55C3156A"/>
    <w:rsid w:val="560A4CB8"/>
    <w:rsid w:val="5782183A"/>
    <w:rsid w:val="57BD355E"/>
    <w:rsid w:val="57D61B54"/>
    <w:rsid w:val="58886176"/>
    <w:rsid w:val="58BB4FFB"/>
    <w:rsid w:val="58D21C48"/>
    <w:rsid w:val="5AE90D4F"/>
    <w:rsid w:val="5B0320E2"/>
    <w:rsid w:val="5B1C20F0"/>
    <w:rsid w:val="5B8A516D"/>
    <w:rsid w:val="5B8B11A7"/>
    <w:rsid w:val="5B9E2EC4"/>
    <w:rsid w:val="5BD335FA"/>
    <w:rsid w:val="5CD10D7E"/>
    <w:rsid w:val="5F6A55B8"/>
    <w:rsid w:val="60002310"/>
    <w:rsid w:val="608606DE"/>
    <w:rsid w:val="610E324A"/>
    <w:rsid w:val="618E7135"/>
    <w:rsid w:val="61F31EFD"/>
    <w:rsid w:val="63066BC7"/>
    <w:rsid w:val="63D0487B"/>
    <w:rsid w:val="64672037"/>
    <w:rsid w:val="64911DA0"/>
    <w:rsid w:val="65945D8D"/>
    <w:rsid w:val="66A441A9"/>
    <w:rsid w:val="66C32601"/>
    <w:rsid w:val="66C35559"/>
    <w:rsid w:val="67D57489"/>
    <w:rsid w:val="680D5288"/>
    <w:rsid w:val="68570F93"/>
    <w:rsid w:val="6A287B5E"/>
    <w:rsid w:val="6B303A1A"/>
    <w:rsid w:val="6B36259F"/>
    <w:rsid w:val="6C704794"/>
    <w:rsid w:val="6C9C1C72"/>
    <w:rsid w:val="6DAA2FDF"/>
    <w:rsid w:val="6DF95579"/>
    <w:rsid w:val="6E121228"/>
    <w:rsid w:val="6EF42825"/>
    <w:rsid w:val="6F8447F5"/>
    <w:rsid w:val="70546D37"/>
    <w:rsid w:val="70D1495F"/>
    <w:rsid w:val="70ED510D"/>
    <w:rsid w:val="712F63C0"/>
    <w:rsid w:val="723627A3"/>
    <w:rsid w:val="72701938"/>
    <w:rsid w:val="72717CD1"/>
    <w:rsid w:val="73FB4CB6"/>
    <w:rsid w:val="743E1546"/>
    <w:rsid w:val="74614F7E"/>
    <w:rsid w:val="74695E39"/>
    <w:rsid w:val="753D4883"/>
    <w:rsid w:val="754C6F3B"/>
    <w:rsid w:val="75B11AFF"/>
    <w:rsid w:val="75D32619"/>
    <w:rsid w:val="76307412"/>
    <w:rsid w:val="768D126A"/>
    <w:rsid w:val="77382E94"/>
    <w:rsid w:val="779007FD"/>
    <w:rsid w:val="77CE3A21"/>
    <w:rsid w:val="780B6A75"/>
    <w:rsid w:val="79F83E18"/>
    <w:rsid w:val="7A0D016F"/>
    <w:rsid w:val="7CED7DC5"/>
    <w:rsid w:val="7D0F76D8"/>
    <w:rsid w:val="7DB07933"/>
    <w:rsid w:val="7E3420E0"/>
    <w:rsid w:val="7F1B36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unhideWhenUsed/>
    <w:qFormat/>
    <w:uiPriority w:val="99"/>
    <w:pPr>
      <w:autoSpaceDE w:val="0"/>
      <w:autoSpaceDN w:val="0"/>
      <w:adjustRightInd w:val="0"/>
      <w:outlineLvl w:val="0"/>
    </w:pPr>
    <w:rPr>
      <w:rFonts w:ascii="Arial" w:hAnsi="Arial"/>
      <w:b/>
      <w:color w:val="000000"/>
      <w:sz w:val="32"/>
    </w:rPr>
  </w:style>
  <w:style w:type="paragraph" w:styleId="3">
    <w:name w:val="heading 2"/>
    <w:basedOn w:val="1"/>
    <w:next w:val="1"/>
    <w:unhideWhenUsed/>
    <w:qFormat/>
    <w:uiPriority w:val="99"/>
    <w:pPr>
      <w:autoSpaceDE w:val="0"/>
      <w:autoSpaceDN w:val="0"/>
      <w:adjustRightInd w:val="0"/>
      <w:outlineLvl w:val="1"/>
    </w:pPr>
    <w:rPr>
      <w:rFonts w:ascii="Arial" w:hAnsi="Arial"/>
      <w:b/>
      <w:i/>
      <w:color w:val="000000"/>
      <w:sz w:val="28"/>
    </w:rPr>
  </w:style>
  <w:style w:type="paragraph" w:styleId="4">
    <w:name w:val="heading 3"/>
    <w:basedOn w:val="1"/>
    <w:next w:val="1"/>
    <w:semiHidden/>
    <w:unhideWhenUsed/>
    <w:qFormat/>
    <w:uiPriority w:val="0"/>
    <w:pPr>
      <w:keepNext/>
      <w:keepLines/>
      <w:spacing w:before="260" w:after="260" w:line="413" w:lineRule="auto"/>
      <w:outlineLvl w:val="2"/>
    </w:pPr>
    <w:rPr>
      <w:b/>
      <w:sz w:val="32"/>
    </w:rPr>
  </w:style>
  <w:style w:type="paragraph" w:styleId="5">
    <w:name w:val="heading 4"/>
    <w:basedOn w:val="1"/>
    <w:next w:val="1"/>
    <w:semiHidden/>
    <w:unhideWhenUsed/>
    <w:qFormat/>
    <w:uiPriority w:val="0"/>
    <w:pPr>
      <w:keepNext/>
      <w:keepLines/>
      <w:spacing w:before="280" w:after="290" w:line="372" w:lineRule="auto"/>
      <w:outlineLvl w:val="3"/>
    </w:pPr>
    <w:rPr>
      <w:rFonts w:ascii="Arial" w:hAnsi="Arial" w:eastAsia="黑体"/>
      <w:b/>
      <w:sz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pPr>
    <w:rPr>
      <w:rFonts w:ascii="Times New Roman" w:hAnsi="Times New Roman"/>
      <w:kern w:val="0"/>
      <w:sz w:val="20"/>
      <w:szCs w:val="20"/>
    </w:rPr>
  </w:style>
  <w:style w:type="paragraph" w:styleId="7">
    <w:name w:val="annotation text"/>
    <w:basedOn w:val="1"/>
    <w:qFormat/>
    <w:uiPriority w:val="0"/>
    <w:pPr>
      <w:jc w:val="left"/>
    </w:pPr>
  </w:style>
  <w:style w:type="paragraph" w:styleId="8">
    <w:name w:val="Body Text"/>
    <w:basedOn w:val="1"/>
    <w:next w:val="9"/>
    <w:unhideWhenUsed/>
    <w:qFormat/>
    <w:uiPriority w:val="99"/>
    <w:pPr>
      <w:spacing w:after="120"/>
    </w:pPr>
  </w:style>
  <w:style w:type="paragraph" w:styleId="9">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10">
    <w:name w:val="Body Text Indent"/>
    <w:basedOn w:val="1"/>
    <w:qFormat/>
    <w:uiPriority w:val="0"/>
    <w:pPr>
      <w:spacing w:after="120"/>
      <w:ind w:left="420" w:leftChars="200"/>
    </w:pPr>
  </w:style>
  <w:style w:type="paragraph" w:styleId="11">
    <w:name w:val="Plain Text"/>
    <w:basedOn w:val="1"/>
    <w:link w:val="25"/>
    <w:qFormat/>
    <w:uiPriority w:val="0"/>
    <w:rPr>
      <w:rFonts w:ascii="宋体" w:hAnsi="Courier New"/>
      <w:kern w:val="0"/>
      <w:sz w:val="20"/>
      <w:szCs w:val="20"/>
    </w:rPr>
  </w:style>
  <w:style w:type="paragraph" w:styleId="12">
    <w:name w:val="Balloon Text"/>
    <w:basedOn w:val="1"/>
    <w:link w:val="24"/>
    <w:qFormat/>
    <w:uiPriority w:val="0"/>
    <w:rPr>
      <w:sz w:val="18"/>
      <w:szCs w:val="18"/>
    </w:rPr>
  </w:style>
  <w:style w:type="paragraph" w:styleId="13">
    <w:name w:val="footer"/>
    <w:basedOn w:val="1"/>
    <w:link w:val="27"/>
    <w:qFormat/>
    <w:uiPriority w:val="0"/>
    <w:pPr>
      <w:tabs>
        <w:tab w:val="center" w:pos="4153"/>
        <w:tab w:val="right" w:pos="8306"/>
      </w:tabs>
      <w:snapToGrid w:val="0"/>
      <w:jc w:val="left"/>
    </w:pPr>
    <w:rPr>
      <w:sz w:val="18"/>
      <w:szCs w:val="18"/>
    </w:rPr>
  </w:style>
  <w:style w:type="paragraph" w:styleId="14">
    <w:name w:val="header"/>
    <w:basedOn w:val="1"/>
    <w:link w:val="26"/>
    <w:qFormat/>
    <w:uiPriority w:val="0"/>
    <w:pPr>
      <w:pBdr>
        <w:bottom w:val="single" w:color="auto" w:sz="6" w:space="1"/>
      </w:pBdr>
      <w:tabs>
        <w:tab w:val="center" w:pos="4153"/>
        <w:tab w:val="right" w:pos="8306"/>
      </w:tabs>
      <w:snapToGrid w:val="0"/>
      <w:jc w:val="center"/>
    </w:pPr>
    <w:rPr>
      <w:sz w:val="18"/>
      <w:szCs w:val="18"/>
    </w:rPr>
  </w:style>
  <w:style w:type="paragraph" w:styleId="15">
    <w:name w:val="Normal (Web)"/>
    <w:basedOn w:val="1"/>
    <w:qFormat/>
    <w:uiPriority w:val="0"/>
    <w:pPr>
      <w:spacing w:beforeAutospacing="1" w:afterAutospacing="1"/>
      <w:jc w:val="left"/>
    </w:pPr>
    <w:rPr>
      <w:kern w:val="0"/>
      <w:sz w:val="24"/>
    </w:rPr>
  </w:style>
  <w:style w:type="paragraph" w:styleId="16">
    <w:name w:val="Body Text First Indent"/>
    <w:basedOn w:val="8"/>
    <w:qFormat/>
    <w:uiPriority w:val="0"/>
    <w:pPr>
      <w:spacing w:beforeLines="50" w:afterLines="50" w:line="360" w:lineRule="auto"/>
      <w:ind w:firstLine="200" w:firstLineChars="200"/>
    </w:pPr>
    <w:rPr>
      <w:rFonts w:ascii="Times New Roman" w:hAnsi="Times New Roman"/>
      <w:sz w:val="24"/>
      <w:szCs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annotation reference"/>
    <w:basedOn w:val="19"/>
    <w:qFormat/>
    <w:uiPriority w:val="0"/>
    <w:rPr>
      <w:sz w:val="21"/>
      <w:szCs w:val="21"/>
    </w:rPr>
  </w:style>
  <w:style w:type="paragraph" w:customStyle="1" w:styleId="21">
    <w:name w:val="目录 21"/>
    <w:basedOn w:val="1"/>
    <w:next w:val="1"/>
    <w:qFormat/>
    <w:uiPriority w:val="0"/>
    <w:pPr>
      <w:spacing w:before="100" w:beforeAutospacing="1" w:after="100" w:afterAutospacing="1"/>
      <w:ind w:left="420" w:leftChars="200"/>
    </w:pPr>
  </w:style>
  <w:style w:type="paragraph" w:customStyle="1" w:styleId="22">
    <w:name w:val="正文首行缩进1"/>
    <w:basedOn w:val="1"/>
    <w:qFormat/>
    <w:uiPriority w:val="0"/>
    <w:pPr>
      <w:spacing w:line="360" w:lineRule="auto"/>
      <w:ind w:firstLine="200" w:firstLineChars="200"/>
    </w:pPr>
    <w:rPr>
      <w:sz w:val="24"/>
      <w:szCs w:val="24"/>
    </w:rPr>
  </w:style>
  <w:style w:type="character" w:customStyle="1" w:styleId="23">
    <w:name w:val="font11"/>
    <w:basedOn w:val="19"/>
    <w:qFormat/>
    <w:uiPriority w:val="0"/>
    <w:rPr>
      <w:rFonts w:hint="eastAsia" w:ascii="宋体" w:hAnsi="宋体" w:eastAsia="宋体" w:cs="宋体"/>
      <w:color w:val="000000"/>
      <w:sz w:val="22"/>
      <w:szCs w:val="22"/>
      <w:u w:val="none"/>
    </w:rPr>
  </w:style>
  <w:style w:type="character" w:customStyle="1" w:styleId="24">
    <w:name w:val="批注框文本 字符"/>
    <w:basedOn w:val="19"/>
    <w:link w:val="12"/>
    <w:qFormat/>
    <w:uiPriority w:val="0"/>
    <w:rPr>
      <w:rFonts w:ascii="Calibri" w:hAnsi="Calibri"/>
      <w:kern w:val="2"/>
      <w:sz w:val="18"/>
      <w:szCs w:val="18"/>
    </w:rPr>
  </w:style>
  <w:style w:type="character" w:customStyle="1" w:styleId="25">
    <w:name w:val="纯文本 字符"/>
    <w:basedOn w:val="19"/>
    <w:link w:val="11"/>
    <w:qFormat/>
    <w:uiPriority w:val="99"/>
    <w:rPr>
      <w:rFonts w:ascii="宋体" w:hAnsi="Courier New"/>
    </w:rPr>
  </w:style>
  <w:style w:type="character" w:customStyle="1" w:styleId="26">
    <w:name w:val="页眉 字符"/>
    <w:basedOn w:val="19"/>
    <w:link w:val="14"/>
    <w:qFormat/>
    <w:uiPriority w:val="0"/>
    <w:rPr>
      <w:rFonts w:ascii="Calibri" w:hAnsi="Calibri"/>
      <w:kern w:val="2"/>
      <w:sz w:val="18"/>
      <w:szCs w:val="18"/>
    </w:rPr>
  </w:style>
  <w:style w:type="character" w:customStyle="1" w:styleId="27">
    <w:name w:val="页脚 字符"/>
    <w:basedOn w:val="19"/>
    <w:link w:val="13"/>
    <w:qFormat/>
    <w:uiPriority w:val="0"/>
    <w:rPr>
      <w:rFonts w:ascii="Calibri" w:hAnsi="Calibri"/>
      <w:kern w:val="2"/>
      <w:sz w:val="18"/>
      <w:szCs w:val="18"/>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GEDI</Company>
  <Pages>3</Pages>
  <Words>1101</Words>
  <Characters>1179</Characters>
  <Lines>23</Lines>
  <Paragraphs>6</Paragraphs>
  <TotalTime>0</TotalTime>
  <ScaleCrop>false</ScaleCrop>
  <LinksUpToDate>false</LinksUpToDate>
  <CharactersWithSpaces>1197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2024-07-16T04:36:00Z</dcterms:created>
  <dc:creator>maja</dc:creator>
  <cp:lastModifiedBy>马骏安</cp:lastModifiedBy>
  <cp:lastPrinted>2025-06-19T03:44:00Z</cp:lastPrinted>
  <dcterms:modified xsi:type="dcterms:W3CDTF">2025-06-27T07:00:53Z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864C052D15A34732A2886E19CE441D4D</vt:lpwstr>
  </property>
  <property fmtid="{D5CDD505-2E9C-101B-9397-08002B2CF9AE}" pid="4" name="KSOTemplateDocerSaveRecord">
    <vt:lpwstr>eyJoZGlkIjoiNGQxZGUyZmQ5MDU5MjhiNzUxNWY4N2Q0ZGU2Y2VhOTgiLCJ1c2VySWQiOiI3MDM5OTYzMzMifQ==</vt:lpwstr>
  </property>
</Properties>
</file>