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ABA558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  <w:bookmarkStart w:id="0" w:name="_Toc8445"/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  <w:t>附件A.项目信息清单（标的2标包1.广州供电局2025年输电线路迁改项目交通疏解数字化提升技术服务）</w:t>
      </w:r>
    </w:p>
    <w:bookmarkEnd w:id="0"/>
    <w:p w14:paraId="61F4BA94"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项目信息</w:t>
      </w:r>
    </w:p>
    <w:p w14:paraId="7EC31C65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/>
        </w:rPr>
        <w:t>招标前期资料</w:t>
      </w:r>
    </w:p>
    <w:tbl>
      <w:tblPr>
        <w:tblStyle w:val="12"/>
        <w:tblW w:w="98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3465"/>
        <w:gridCol w:w="5568"/>
      </w:tblGrid>
      <w:tr w14:paraId="2F707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  <w:jc w:val="center"/>
        </w:trPr>
        <w:tc>
          <w:tcPr>
            <w:tcW w:w="776" w:type="dxa"/>
            <w:noWrap w:val="0"/>
            <w:vAlign w:val="top"/>
          </w:tcPr>
          <w:p w14:paraId="10FFCB10"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3465" w:type="dxa"/>
            <w:noWrap w:val="0"/>
            <w:vAlign w:val="top"/>
          </w:tcPr>
          <w:p w14:paraId="52228F39"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文件名称</w:t>
            </w:r>
          </w:p>
        </w:tc>
        <w:tc>
          <w:tcPr>
            <w:tcW w:w="5568" w:type="dxa"/>
            <w:noWrap w:val="0"/>
            <w:vAlign w:val="top"/>
          </w:tcPr>
          <w:p w14:paraId="1CF3332F"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文件文号</w:t>
            </w:r>
          </w:p>
        </w:tc>
      </w:tr>
      <w:tr w14:paraId="58DF2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  <w:jc w:val="center"/>
        </w:trPr>
        <w:tc>
          <w:tcPr>
            <w:tcW w:w="776" w:type="dxa"/>
            <w:noWrap w:val="0"/>
            <w:vAlign w:val="center"/>
          </w:tcPr>
          <w:p w14:paraId="1D81DE62"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3465" w:type="dxa"/>
            <w:noWrap w:val="0"/>
            <w:vAlign w:val="center"/>
          </w:tcPr>
          <w:p w14:paraId="08C32A10"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项目立项(可研批复)文号</w:t>
            </w:r>
          </w:p>
        </w:tc>
        <w:tc>
          <w:tcPr>
            <w:tcW w:w="5568" w:type="dxa"/>
            <w:noWrap w:val="0"/>
            <w:vAlign w:val="center"/>
          </w:tcPr>
          <w:p w14:paraId="017E518E"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GB" w:eastAsia="zh-CN"/>
              </w:rPr>
              <w:t>生纪〔2018〕143号</w:t>
            </w:r>
          </w:p>
        </w:tc>
      </w:tr>
      <w:tr w14:paraId="1C73F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  <w:jc w:val="center"/>
        </w:trPr>
        <w:tc>
          <w:tcPr>
            <w:tcW w:w="776" w:type="dxa"/>
            <w:noWrap w:val="0"/>
            <w:vAlign w:val="center"/>
          </w:tcPr>
          <w:p w14:paraId="1AD39212"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3465" w:type="dxa"/>
            <w:noWrap w:val="0"/>
            <w:vAlign w:val="center"/>
          </w:tcPr>
          <w:p w14:paraId="3C421A88"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  <w:t>资金落实情况</w:t>
            </w:r>
          </w:p>
        </w:tc>
        <w:tc>
          <w:tcPr>
            <w:tcW w:w="5568" w:type="dxa"/>
            <w:noWrap w:val="0"/>
            <w:vAlign w:val="center"/>
          </w:tcPr>
          <w:p w14:paraId="4DDE7142"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资金已落实。资金来源为迁改项目的资金补偿协议。</w:t>
            </w:r>
          </w:p>
        </w:tc>
      </w:tr>
      <w:tr w14:paraId="36BCD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76" w:type="dxa"/>
            <w:noWrap w:val="0"/>
            <w:vAlign w:val="center"/>
          </w:tcPr>
          <w:p w14:paraId="26555804"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3465" w:type="dxa"/>
            <w:noWrap w:val="0"/>
            <w:vAlign w:val="center"/>
          </w:tcPr>
          <w:p w14:paraId="2332EE15"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项目建设单位</w:t>
            </w:r>
          </w:p>
        </w:tc>
        <w:tc>
          <w:tcPr>
            <w:tcW w:w="5568" w:type="dxa"/>
            <w:noWrap w:val="0"/>
            <w:vAlign w:val="center"/>
          </w:tcPr>
          <w:p w14:paraId="6B71A821"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广东电网有限责任公司广州供电局</w:t>
            </w:r>
          </w:p>
        </w:tc>
      </w:tr>
      <w:tr w14:paraId="45B5D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76" w:type="dxa"/>
            <w:noWrap w:val="0"/>
            <w:vAlign w:val="center"/>
          </w:tcPr>
          <w:p w14:paraId="7306A93B"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3465" w:type="dxa"/>
            <w:noWrap w:val="0"/>
            <w:vAlign w:val="center"/>
          </w:tcPr>
          <w:p w14:paraId="2A75B83D"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项目建设地点</w:t>
            </w:r>
          </w:p>
        </w:tc>
        <w:tc>
          <w:tcPr>
            <w:tcW w:w="5568" w:type="dxa"/>
            <w:noWrap w:val="0"/>
            <w:vAlign w:val="center"/>
          </w:tcPr>
          <w:p w14:paraId="79F79826"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广州市黄埔区</w:t>
            </w:r>
          </w:p>
        </w:tc>
      </w:tr>
      <w:tr w14:paraId="1F93F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exact"/>
          <w:jc w:val="center"/>
        </w:trPr>
        <w:tc>
          <w:tcPr>
            <w:tcW w:w="776" w:type="dxa"/>
            <w:noWrap w:val="0"/>
            <w:vAlign w:val="center"/>
          </w:tcPr>
          <w:p w14:paraId="63253424"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3465" w:type="dxa"/>
            <w:noWrap w:val="0"/>
            <w:vAlign w:val="center"/>
          </w:tcPr>
          <w:p w14:paraId="32C1DAE8"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服务期/框架有效期</w:t>
            </w:r>
          </w:p>
        </w:tc>
        <w:tc>
          <w:tcPr>
            <w:tcW w:w="5568" w:type="dxa"/>
            <w:noWrap w:val="0"/>
            <w:vAlign w:val="bottom"/>
          </w:tcPr>
          <w:p w14:paraId="5682A2E2"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>合同签订之日起365日历天，实际服务期以委托函上载明的时间为准。</w:t>
            </w:r>
          </w:p>
          <w:p w14:paraId="57EEA17E"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</w:tr>
    </w:tbl>
    <w:p w14:paraId="448179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before="157" w:beforeLines="50" w:after="157" w:afterLines="50" w:line="48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一、项目概况</w:t>
      </w:r>
    </w:p>
    <w:p w14:paraId="53F8B9C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="157" w:beforeLines="50" w:after="157" w:afterLines="50" w:line="360" w:lineRule="auto"/>
        <w:ind w:firstLine="48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Wingdings" w:hAnsi="Wingdings" w:cs="Wingdings" w:eastAsiaTheme="minorEastAsia"/>
          <w:b w:val="0"/>
          <w:bCs w:val="0"/>
          <w:i w:val="0"/>
          <w:i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利用物联网与人工智能技术，研发交通疏解成本自动化核查系统，自动判别交通疏解人员在岗作业情况与交通疏解设施布设情况，实现状态研判、异常告警、取证留档和报告生成，强化费用核查手段，优化交通疏解人力物力成本管控</w:t>
      </w:r>
      <w:r>
        <w:rPr>
          <w:rFonts w:hint="eastAsia" w:ascii="Wingdings" w:hAnsi="Wingdings" w:cs="Wingdings" w:eastAsiaTheme="minorEastAsia"/>
          <w:b w:val="0"/>
          <w:bCs w:val="0"/>
          <w:i w:val="0"/>
          <w:iCs/>
          <w:color w:val="auto"/>
          <w:kern w:val="2"/>
          <w:sz w:val="24"/>
          <w:szCs w:val="24"/>
          <w:highlight w:val="none"/>
          <w:u w:val="single"/>
          <w:lang w:val="en-US" w:eastAsia="zh-Hans" w:bidi="ar-SA"/>
        </w:rPr>
        <w:t>，降低工程投资浪费</w:t>
      </w:r>
      <w:r>
        <w:rPr>
          <w:rFonts w:hint="eastAsia" w:ascii="Wingdings" w:hAnsi="Wingdings" w:cs="Wingdings" w:eastAsiaTheme="minorEastAsia"/>
          <w:b w:val="0"/>
          <w:bCs w:val="0"/>
          <w:i w:val="0"/>
          <w:i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，促进智慧化施工监管，</w:t>
      </w:r>
      <w:r>
        <w:rPr>
          <w:rFonts w:hint="eastAsia" w:ascii="Wingdings" w:hAnsi="Wingdings" w:cs="Wingdings" w:eastAsiaTheme="minorEastAsia"/>
          <w:b w:val="0"/>
          <w:bCs w:val="0"/>
          <w:iCs/>
          <w:sz w:val="24"/>
          <w:szCs w:val="24"/>
          <w:u w:val="single"/>
        </w:rPr>
        <w:t>为</w:t>
      </w:r>
      <w:r>
        <w:rPr>
          <w:rFonts w:hint="eastAsia" w:ascii="Wingdings" w:hAnsi="Wingdings" w:cs="Wingdings" w:eastAsiaTheme="minorEastAsia"/>
          <w:b w:val="0"/>
          <w:bCs w:val="0"/>
          <w:iCs/>
          <w:sz w:val="24"/>
          <w:szCs w:val="24"/>
          <w:u w:val="single"/>
          <w:lang w:val="en-US" w:eastAsia="zh-CN"/>
        </w:rPr>
        <w:t>造价管理</w:t>
      </w:r>
      <w:r>
        <w:rPr>
          <w:rFonts w:hint="eastAsia" w:ascii="Wingdings" w:hAnsi="Wingdings" w:cs="Wingdings" w:eastAsiaTheme="minorEastAsia"/>
          <w:b w:val="0"/>
          <w:bCs w:val="0"/>
          <w:iCs/>
          <w:sz w:val="24"/>
          <w:szCs w:val="24"/>
          <w:u w:val="single"/>
        </w:rPr>
        <w:t>单位工程造价</w:t>
      </w:r>
      <w:r>
        <w:rPr>
          <w:rFonts w:hint="eastAsia" w:ascii="Wingdings" w:hAnsi="Wingdings" w:cs="Wingdings" w:eastAsiaTheme="minorEastAsia"/>
          <w:b w:val="0"/>
          <w:bCs w:val="0"/>
          <w:iCs/>
          <w:sz w:val="24"/>
          <w:szCs w:val="24"/>
          <w:u w:val="single"/>
          <w:lang w:val="en-US" w:eastAsia="zh-CN"/>
        </w:rPr>
        <w:t>管控</w:t>
      </w:r>
      <w:r>
        <w:rPr>
          <w:rFonts w:hint="eastAsia" w:ascii="Wingdings" w:hAnsi="Wingdings" w:cs="Wingdings" w:eastAsiaTheme="minorEastAsia"/>
          <w:b w:val="0"/>
          <w:bCs w:val="0"/>
          <w:iCs/>
          <w:sz w:val="24"/>
          <w:szCs w:val="24"/>
          <w:u w:val="single"/>
        </w:rPr>
        <w:t>工作提供重要</w:t>
      </w:r>
      <w:r>
        <w:rPr>
          <w:rFonts w:hint="eastAsia" w:ascii="Wingdings" w:hAnsi="Wingdings" w:cs="Wingdings" w:eastAsiaTheme="minorEastAsia"/>
          <w:b w:val="0"/>
          <w:bCs w:val="0"/>
          <w:iCs/>
          <w:sz w:val="24"/>
          <w:szCs w:val="24"/>
          <w:u w:val="single"/>
          <w:lang w:val="en-US" w:eastAsia="zh-CN"/>
        </w:rPr>
        <w:t>支撑</w:t>
      </w:r>
      <w:r>
        <w:rPr>
          <w:rFonts w:hint="eastAsia" w:ascii="Wingdings" w:hAnsi="Wingdings" w:cs="Wingdings" w:eastAsiaTheme="minorEastAsia"/>
          <w:b w:val="0"/>
          <w:bCs w:val="0"/>
          <w:iCs/>
          <w:sz w:val="24"/>
          <w:szCs w:val="24"/>
          <w:u w:val="single"/>
        </w:rPr>
        <w:t>，能有效提高工程投资管理效率与精细度</w:t>
      </w:r>
      <w:r>
        <w:rPr>
          <w:rFonts w:hint="eastAsia" w:ascii="Wingdings" w:hAnsi="Wingdings" w:cs="Wingdings" w:eastAsiaTheme="minorEastAsia"/>
          <w:b w:val="0"/>
          <w:bCs w:val="0"/>
          <w:i w:val="0"/>
          <w:i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。</w:t>
      </w:r>
      <w:r>
        <w:rPr>
          <w:rFonts w:hint="eastAsia" w:ascii="Wingdings" w:hAnsi="Wingdings" w:cs="Wingdings" w:eastAsiaTheme="minorEastAsia"/>
          <w:b/>
          <w:bCs/>
          <w:i w:val="0"/>
          <w:i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 xml:space="preserve">                                      </w:t>
      </w:r>
    </w:p>
    <w:p w14:paraId="07DB66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8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二、采购范围</w:t>
      </w:r>
    </w:p>
    <w:p w14:paraId="7C9B6EC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napToGrid/>
        <w:spacing w:before="157" w:beforeLines="50" w:after="157" w:afterLines="50" w:line="360" w:lineRule="auto"/>
        <w:ind w:firstLine="480" w:firstLineChars="200"/>
        <w:textAlignment w:val="auto"/>
        <w:rPr>
          <w:rFonts w:hint="eastAsia" w:ascii="Wingdings" w:hAnsi="Wingdings" w:cs="Wingdings" w:eastAsiaTheme="minorEastAsia"/>
          <w:b w:val="0"/>
          <w:bCs w:val="0"/>
          <w:i w:val="0"/>
          <w:i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Wingdings" w:hAnsi="Wingdings" w:cs="Wingdings" w:eastAsiaTheme="minorEastAsia"/>
          <w:b w:val="0"/>
          <w:bCs w:val="0"/>
          <w:i w:val="0"/>
          <w:i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开展输电线路迁改项目交通疏解数字化提升研究。</w:t>
      </w:r>
    </w:p>
    <w:p w14:paraId="73E4C85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napToGrid/>
        <w:spacing w:before="157" w:beforeLines="50" w:after="157" w:afterLines="50" w:line="360" w:lineRule="auto"/>
        <w:ind w:firstLine="480" w:firstLineChars="200"/>
        <w:textAlignment w:val="auto"/>
        <w:rPr>
          <w:rFonts w:hint="eastAsia" w:ascii="Wingdings" w:hAnsi="Wingdings" w:cs="Wingdings" w:eastAsiaTheme="minorEastAsia"/>
          <w:b w:val="0"/>
          <w:bCs w:val="0"/>
          <w:i w:val="0"/>
          <w:i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1</w:t>
      </w:r>
      <w:r>
        <w:rPr>
          <w:rFonts w:hint="eastAsia" w:ascii="Wingdings" w:hAnsi="Wingdings" w:cs="Wingdings" w:eastAsiaTheme="minorEastAsia"/>
          <w:b w:val="0"/>
          <w:bCs w:val="0"/>
          <w:i w:val="0"/>
          <w:i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、交通疏解人员及设施智能识别与定位方法：基于目标检测技术，结合监控摄像头数据，实现昼夜环境下交通疏解作业人员身份识别与交通疏解设施识别。通过传感器定位技术与数据融合方法，实现交通疏解人员的数量确认、位置跟踪与轨迹模拟。</w:t>
      </w:r>
    </w:p>
    <w:p w14:paraId="29D5B96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napToGrid/>
        <w:spacing w:before="157" w:beforeLines="50" w:after="157" w:afterLines="50" w:line="360" w:lineRule="auto"/>
        <w:ind w:firstLine="480" w:firstLineChars="200"/>
        <w:textAlignment w:val="auto"/>
        <w:rPr>
          <w:rFonts w:hint="eastAsia" w:ascii="Wingdings" w:hAnsi="Wingdings" w:cs="Wingdings" w:eastAsiaTheme="minorEastAsia"/>
          <w:b w:val="0"/>
          <w:bCs w:val="0"/>
          <w:i w:val="0"/>
          <w:i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2</w:t>
      </w:r>
      <w:r>
        <w:rPr>
          <w:rFonts w:hint="eastAsia" w:ascii="Wingdings" w:hAnsi="Wingdings" w:cs="Wingdings" w:eastAsiaTheme="minorEastAsia"/>
          <w:b w:val="0"/>
          <w:bCs w:val="0"/>
          <w:i w:val="0"/>
          <w:i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、作业状态分析与工作量核算方法：调研实际交通疏解方案，梳理成本计价规则，完成交通疏解成本计价规则与量化评估方法研究。模拟不同的施工环境和场景（如高车流、极端天气、突发事件等），通过人工智能算法对这些不同场景进行分类，实现交通疏解作业状态分析与场景模拟。综合现场数据与工作状态分析结果，匹配已定义的计价规则，自动进行工作量与成本核算。</w:t>
      </w:r>
    </w:p>
    <w:p w14:paraId="3D1E01B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napToGrid/>
        <w:spacing w:before="157" w:beforeLines="50" w:after="157" w:afterLines="50" w:line="360" w:lineRule="auto"/>
        <w:ind w:firstLine="480" w:firstLineChars="200"/>
        <w:textAlignment w:val="auto"/>
        <w:rPr>
          <w:rFonts w:hint="eastAsia" w:ascii="Wingdings" w:hAnsi="Wingdings" w:cs="Wingdings" w:eastAsiaTheme="minorEastAsia"/>
          <w:b w:val="0"/>
          <w:bCs w:val="0"/>
          <w:i w:val="0"/>
          <w:i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3</w:t>
      </w:r>
      <w:r>
        <w:rPr>
          <w:rFonts w:hint="eastAsia" w:ascii="Wingdings" w:hAnsi="Wingdings" w:cs="Wingdings" w:eastAsiaTheme="minorEastAsia"/>
          <w:b w:val="0"/>
          <w:bCs w:val="0"/>
          <w:i w:val="0"/>
          <w:i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、交通疏解成本自动化核查技术应用：研发自动化的交通疏解人力物力成本监管工作流，包括人员与设施识别、作业状态分析、异常告警、取证留档和报告生成等关键步骤。设计高效的网络信息传输策略与数据存储策略，确保数据时效性与安全性。开发原型系统并在实际工程场景中进行应用验证，持续优化迭代。</w:t>
      </w:r>
    </w:p>
    <w:p w14:paraId="2F0E581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napToGrid/>
        <w:spacing w:before="157" w:beforeLines="50" w:after="157" w:afterLines="50" w:line="360" w:lineRule="auto"/>
        <w:ind w:firstLine="480" w:firstLineChars="200"/>
        <w:textAlignment w:val="auto"/>
        <w:rPr>
          <w:rFonts w:hint="eastAsia" w:ascii="Wingdings" w:hAnsi="Wingdings" w:cs="Wingdings" w:eastAsiaTheme="minorEastAsia"/>
          <w:b w:val="0"/>
          <w:bCs w:val="0"/>
          <w:i w:val="0"/>
          <w:i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4、交付成果：交通疏解人员工作量智能核查技术服务平台1套；受理或公开发明专利5份；录用或发表省部级以上专业期刊论文4篇；软件著作权一项；交通疏解人员工作量智能核查技术服务使用指导手册1本。</w:t>
      </w:r>
      <w:r>
        <w:rPr>
          <w:rFonts w:hint="eastAsia" w:ascii="Wingdings" w:hAnsi="Wingdings" w:cs="Wingdings" w:eastAsiaTheme="minorEastAsia"/>
          <w:b w:val="0"/>
          <w:bCs w:val="0"/>
          <w:i w:val="0"/>
          <w:i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</w:t>
      </w:r>
    </w:p>
    <w:p w14:paraId="28A8855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napToGrid/>
        <w:spacing w:before="157" w:beforeLines="50" w:after="157" w:afterLines="50" w:line="360" w:lineRule="auto"/>
        <w:jc w:val="center"/>
        <w:textAlignment w:val="auto"/>
        <w:rPr>
          <w:rFonts w:hint="eastAsia" w:ascii="宋体" w:hAnsi="宋体" w:cs="宋体"/>
          <w:b/>
          <w:bCs/>
          <w:sz w:val="28"/>
          <w:szCs w:val="28"/>
          <w:u w:val="none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  <w:u w:val="none"/>
          <w:lang w:eastAsia="zh-CN"/>
        </w:rPr>
        <w:t>依托项目</w:t>
      </w: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3402"/>
        <w:gridCol w:w="2835"/>
        <w:gridCol w:w="2268"/>
      </w:tblGrid>
      <w:tr w14:paraId="41624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0" w:type="dxa"/>
            <w:vAlign w:val="center"/>
          </w:tcPr>
          <w:p w14:paraId="5A9179A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序号</w:t>
            </w:r>
          </w:p>
        </w:tc>
        <w:tc>
          <w:tcPr>
            <w:tcW w:w="3402" w:type="dxa"/>
            <w:vAlign w:val="center"/>
          </w:tcPr>
          <w:p w14:paraId="1A14B8F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项目名称</w:t>
            </w:r>
          </w:p>
        </w:tc>
        <w:tc>
          <w:tcPr>
            <w:tcW w:w="2835" w:type="dxa"/>
            <w:vAlign w:val="center"/>
          </w:tcPr>
          <w:p w14:paraId="76BBE7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</w:rPr>
              <w:t>资金落实情况</w:t>
            </w:r>
          </w:p>
        </w:tc>
        <w:tc>
          <w:tcPr>
            <w:tcW w:w="2268" w:type="dxa"/>
            <w:vAlign w:val="center"/>
          </w:tcPr>
          <w:p w14:paraId="7592BC6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eastAsia="zh-CN"/>
              </w:rPr>
              <w:t>项目经费（元）</w:t>
            </w:r>
          </w:p>
        </w:tc>
      </w:tr>
      <w:tr w14:paraId="02C20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50" w:type="dxa"/>
            <w:vAlign w:val="center"/>
          </w:tcPr>
          <w:p w14:paraId="5691AAF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3402" w:type="dxa"/>
            <w:vAlign w:val="center"/>
          </w:tcPr>
          <w:p w14:paraId="2314999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黄埔区港前路（石化南路-开发大道）输电线路搬迁工程</w:t>
            </w:r>
          </w:p>
        </w:tc>
        <w:tc>
          <w:tcPr>
            <w:tcW w:w="2835" w:type="dxa"/>
            <w:vAlign w:val="center"/>
          </w:tcPr>
          <w:p w14:paraId="0602A3B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lang w:val="en-US" w:eastAsia="zh-CN"/>
              </w:rPr>
              <w:t>补偿协议</w:t>
            </w:r>
          </w:p>
        </w:tc>
        <w:tc>
          <w:tcPr>
            <w:tcW w:w="2268" w:type="dxa"/>
            <w:vAlign w:val="center"/>
          </w:tcPr>
          <w:p w14:paraId="799F10F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1850000</w:t>
            </w:r>
          </w:p>
        </w:tc>
      </w:tr>
    </w:tbl>
    <w:p w14:paraId="04F0860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napToGrid/>
        <w:spacing w:before="157" w:beforeLines="50" w:after="157" w:afterLines="50" w:line="360" w:lineRule="auto"/>
        <w:ind w:firstLine="480" w:firstLineChars="200"/>
        <w:textAlignment w:val="auto"/>
        <w:rPr>
          <w:rFonts w:hint="eastAsia"/>
          <w:b w:val="0"/>
          <w:bCs w:val="0"/>
          <w:u w:val="none"/>
          <w:lang w:val="en-US" w:eastAsia="zh-CN"/>
        </w:rPr>
      </w:pPr>
      <w:r>
        <w:rPr>
          <w:rFonts w:hint="eastAsia" w:ascii="Wingdings" w:hAnsi="Wingdings" w:cs="Wingdings" w:eastAsiaTheme="minorEastAsia"/>
          <w:b w:val="0"/>
          <w:bCs w:val="0"/>
          <w:i w:val="0"/>
          <w:i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 xml:space="preserve">                        </w:t>
      </w:r>
    </w:p>
    <w:p w14:paraId="62730389"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360" w:lineRule="auto"/>
        <w:outlineLvl w:val="1"/>
        <w:rPr>
          <w:rFonts w:hint="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  <w:t>三、报价表及报价要求</w:t>
      </w:r>
    </w:p>
    <w:tbl>
      <w:tblPr>
        <w:tblStyle w:val="11"/>
        <w:tblpPr w:leftFromText="180" w:rightFromText="180" w:vertAnchor="text" w:horzAnchor="page" w:tblpX="1272" w:tblpY="66"/>
        <w:tblOverlap w:val="never"/>
        <w:tblW w:w="937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2235"/>
        <w:gridCol w:w="675"/>
        <w:gridCol w:w="960"/>
        <w:gridCol w:w="990"/>
        <w:gridCol w:w="660"/>
        <w:gridCol w:w="1118"/>
        <w:gridCol w:w="1049"/>
        <w:gridCol w:w="1056"/>
      </w:tblGrid>
      <w:tr w14:paraId="376C7D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6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586E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223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AA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工程或费用名称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38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预计</w:t>
            </w:r>
          </w:p>
          <w:p w14:paraId="084D8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CC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最高投标限价</w:t>
            </w:r>
          </w:p>
        </w:tc>
        <w:tc>
          <w:tcPr>
            <w:tcW w:w="66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74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投标下浮率</w:t>
            </w:r>
          </w:p>
        </w:tc>
        <w:tc>
          <w:tcPr>
            <w:tcW w:w="21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AF1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投标报价</w:t>
            </w:r>
          </w:p>
        </w:tc>
        <w:tc>
          <w:tcPr>
            <w:tcW w:w="1056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A8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备  注</w:t>
            </w:r>
          </w:p>
        </w:tc>
      </w:tr>
      <w:tr w14:paraId="5B5C8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EE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highlight w:val="none"/>
              </w:rPr>
            </w:pPr>
          </w:p>
        </w:tc>
        <w:tc>
          <w:tcPr>
            <w:tcW w:w="2235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DD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highlight w:val="none"/>
              </w:rPr>
            </w:pPr>
          </w:p>
        </w:tc>
        <w:tc>
          <w:tcPr>
            <w:tcW w:w="6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66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highlight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AE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（元）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27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（元）</w:t>
            </w:r>
          </w:p>
        </w:tc>
        <w:tc>
          <w:tcPr>
            <w:tcW w:w="66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79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500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D63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056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BC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E80CE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F43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5EF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广州供电局2025年输电线路迁改项目交通疏解数字化提升技术服务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827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D4CC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1850000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991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1850000</w:t>
            </w:r>
          </w:p>
        </w:tc>
        <w:tc>
          <w:tcPr>
            <w:tcW w:w="66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6CF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single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%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A7F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D72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D71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7692B2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FDE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67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合计（小写）：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E90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6E9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1850000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EE0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1850000</w:t>
            </w:r>
          </w:p>
        </w:tc>
        <w:tc>
          <w:tcPr>
            <w:tcW w:w="66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8C5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8AF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944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04D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</w:tbl>
    <w:p w14:paraId="0F23F233">
      <w:pPr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jc w:val="both"/>
        <w:rPr>
          <w:rFonts w:hint="eastAsia"/>
          <w:highlight w:val="none"/>
          <w:lang w:val="en-US" w:eastAsia="zh-CN"/>
        </w:rPr>
      </w:pPr>
    </w:p>
    <w:p w14:paraId="4BF115BC">
      <w:pPr>
        <w:pStyle w:val="6"/>
        <w:ind w:firstLine="240" w:firstLineChars="100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报价要求：</w:t>
      </w:r>
    </w:p>
    <w:p w14:paraId="1FD8BC77">
      <w:pPr>
        <w:pStyle w:val="7"/>
        <w:jc w:val="left"/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1.金额报价，同时填报投标下浮率。投标下浮率＝[1－(投标报价/最高投标限价）×100%（保留两位小数，如：8.88%）。当投标金额报价与投标下浮率计算结果不一致时，以投标金额报价为准，按公式修订投标下浮率。</w:t>
      </w:r>
    </w:p>
    <w:p w14:paraId="0A059E77">
      <w:pPr>
        <w:pStyle w:val="7"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2.</w:t>
      </w:r>
      <w:r>
        <w:rPr>
          <w:rFonts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</w:rPr>
        <w:t>投标下浮率不低于0%为有效报价；当投标下浮率＞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</w:rPr>
        <w:t>15%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</w:rPr>
        <w:t>时应附成本分析报告，充分说明单价和费用的组成、降低成本的合理措施及在其他工程中应用过的经验等，经评审通过后方可视为有效报价。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                                                          </w:t>
      </w:r>
    </w:p>
    <w:p w14:paraId="5FDC4C16">
      <w:pPr>
        <w:numPr>
          <w:ilvl w:val="0"/>
          <w:numId w:val="0"/>
        </w:numPr>
        <w:ind w:left="240" w:leftChars="0"/>
        <w:rPr>
          <w:rFonts w:hint="default"/>
          <w:highlight w:val="none"/>
          <w:lang w:val="en-US" w:eastAsia="zh-CN"/>
        </w:rPr>
      </w:pPr>
    </w:p>
    <w:p w14:paraId="2CB7E6F9">
      <w:pPr>
        <w:rPr>
          <w:rFonts w:hint="eastAsia"/>
          <w:highlight w:val="none"/>
          <w:lang w:val="en-US" w:eastAsia="zh-CN"/>
        </w:rPr>
      </w:pPr>
    </w:p>
    <w:p w14:paraId="598918B2"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360" w:lineRule="auto"/>
        <w:ind w:leftChars="0"/>
        <w:outlineLvl w:val="1"/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  <w:t>四、结算方式</w:t>
      </w:r>
    </w:p>
    <w:p w14:paraId="2DF1C42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82" w:firstLineChars="200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u w:val="single"/>
          <w:lang w:val="en-US" w:eastAsia="zh-CN" w:bidi="ar-SA"/>
        </w:rPr>
        <w:t>结算方式：本工程合同价总价包干。结算时总价包干部分，除合同约定可调整的情况外，结算不予调整，中标合同价款中的漏项、错项结算时视为已包括在其他子项的报价中，不予调整。</w:t>
      </w:r>
    </w:p>
    <w:p w14:paraId="762B16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80" w:lineRule="auto"/>
        <w:textAlignment w:val="auto"/>
        <w:rPr>
          <w:rFonts w:hint="default" w:asciiTheme="minorEastAsia" w:hAnsiTheme="minorEastAsia" w:eastAsiaTheme="minorEastAsia" w:cstheme="minorEastAsia"/>
          <w:b/>
          <w:bCs/>
          <w:i w:val="0"/>
          <w:i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五、分包要求</w:t>
      </w:r>
    </w:p>
    <w:p w14:paraId="054027B4">
      <w:pPr>
        <w:pStyle w:val="10"/>
        <w:numPr>
          <w:ilvl w:val="0"/>
          <w:numId w:val="0"/>
        </w:numPr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default" w:ascii="Wingdings" w:hAnsi="Wingdings" w:cs="Wingdings"/>
          <w:sz w:val="24"/>
          <w:szCs w:val="24"/>
          <w:highlight w:val="none"/>
        </w:rPr>
        <w:sym w:font="Wingdings" w:char="00FE"/>
      </w:r>
      <w:r>
        <w:rPr>
          <w:rFonts w:hint="eastAsia"/>
          <w:sz w:val="24"/>
          <w:szCs w:val="24"/>
          <w:highlight w:val="none"/>
          <w:lang w:eastAsia="zh-CN"/>
        </w:rPr>
        <w:t>不允许分包</w:t>
      </w:r>
    </w:p>
    <w:p w14:paraId="5CF4D598">
      <w:pPr>
        <w:pStyle w:val="10"/>
        <w:numPr>
          <w:ilvl w:val="0"/>
          <w:numId w:val="0"/>
        </w:numPr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default" w:ascii="Wingdings" w:hAnsi="Wingdings" w:cs="Wingdings"/>
          <w:sz w:val="24"/>
          <w:szCs w:val="24"/>
          <w:highlight w:val="none"/>
          <w:lang w:eastAsia="zh-CN"/>
        </w:rPr>
        <w:sym w:font="Wingdings" w:char="00A8"/>
      </w:r>
      <w:r>
        <w:rPr>
          <w:rFonts w:hint="eastAsia"/>
          <w:sz w:val="24"/>
          <w:szCs w:val="24"/>
          <w:highlight w:val="none"/>
          <w:lang w:eastAsia="zh-CN"/>
        </w:rPr>
        <w:t>允许分包，但必须符合以下要求：</w:t>
      </w:r>
    </w:p>
    <w:p w14:paraId="0D26EF5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="157" w:beforeLines="50" w:after="157" w:afterLines="50" w:line="480" w:lineRule="auto"/>
        <w:textAlignment w:val="auto"/>
        <w:rPr>
          <w:rFonts w:hint="eastAsia" w:ascii="Wingdings" w:hAnsi="Wingdings" w:cs="Wingdings" w:eastAsiaTheme="minorEastAsia"/>
          <w:b/>
          <w:bCs/>
          <w:i w:val="0"/>
          <w:i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Wingdings" w:hAnsi="Wingdings" w:cs="Wingdings" w:eastAsiaTheme="minorEastAsia"/>
          <w:b/>
          <w:bCs/>
          <w:i w:val="0"/>
          <w:i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                      </w:t>
      </w:r>
    </w:p>
    <w:p w14:paraId="10C2A570">
      <w:pP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</w:p>
    <w:p w14:paraId="500F42EC">
      <w:pPr>
        <w:pStyle w:val="9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</w:pPr>
      <w:bookmarkStart w:id="1" w:name="_GoBack"/>
      <w:bookmarkEnd w:id="1"/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技术标准、要求及图纸（对应招标文件 第五章）</w:t>
      </w:r>
    </w:p>
    <w:p w14:paraId="7D51AD62">
      <w:pPr>
        <w:pStyle w:val="3"/>
        <w:spacing w:before="0" w:after="0" w:line="240" w:lineRule="auto"/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  <w:lang w:eastAsia="zh-CN"/>
        </w:rPr>
        <w:t>一、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  <w:t xml:space="preserve"> 管理规范和技术（规范）标准（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  <w:lang w:eastAsia="zh-CN"/>
        </w:rPr>
        <w:t>详见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  <w:t>合同附件）</w:t>
      </w:r>
    </w:p>
    <w:p w14:paraId="59FADF8D">
      <w:pPr>
        <w:pStyle w:val="9"/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</w:pPr>
    </w:p>
    <w:p w14:paraId="0EEE1221">
      <w:pPr>
        <w:pStyle w:val="3"/>
        <w:spacing w:before="0" w:after="0" w:line="240" w:lineRule="auto"/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  <w:lang w:eastAsia="zh-CN"/>
        </w:rPr>
        <w:t>二、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  <w:t>技术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  <w:lang w:val="en-US" w:eastAsia="zh-CN"/>
        </w:rPr>
        <w:t>及管理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  <w:t>要求</w:t>
      </w:r>
    </w:p>
    <w:p w14:paraId="4FEB9C5B">
      <w:pPr>
        <w:autoSpaceDE w:val="0"/>
        <w:autoSpaceDN w:val="0"/>
        <w:adjustRightInd w:val="0"/>
        <w:rPr>
          <w:rFonts w:hint="eastAsia" w:asciiTheme="minorEastAsia" w:hAnsiTheme="minorEastAsia" w:eastAsiaTheme="minorEastAsia" w:cstheme="minorEastAsia"/>
          <w:i w:val="0"/>
          <w:iCs/>
          <w:color w:val="auto"/>
          <w:kern w:val="0"/>
          <w:sz w:val="24"/>
          <w:szCs w:val="24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kern w:val="0"/>
          <w:sz w:val="24"/>
          <w:szCs w:val="24"/>
          <w:highlight w:val="none"/>
          <w:lang w:val="zh-CN"/>
        </w:rPr>
        <w:t>（一）满足南方电网公司基建管理制度、建设单位的质量、环境和职业健康安全管理体系文件、其他有关制度和规定。</w:t>
      </w:r>
    </w:p>
    <w:p w14:paraId="48BF8397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7" w:beforeLines="50" w:line="360" w:lineRule="auto"/>
        <w:ind w:leftChars="0"/>
        <w:textAlignment w:val="auto"/>
        <w:outlineLvl w:val="1"/>
        <w:rPr>
          <w:rFonts w:hint="eastAsia" w:asciiTheme="minorEastAsia" w:hAnsiTheme="minorEastAsia" w:eastAsiaTheme="minorEastAsia" w:cstheme="minorEastAsia"/>
          <w:b w:val="0"/>
          <w:bCs/>
          <w:i w:val="0"/>
          <w:iCs/>
          <w:color w:val="auto"/>
          <w:kern w:val="0"/>
          <w:sz w:val="24"/>
          <w:szCs w:val="24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i w:val="0"/>
          <w:iCs/>
          <w:color w:val="auto"/>
          <w:kern w:val="0"/>
          <w:sz w:val="24"/>
          <w:szCs w:val="24"/>
          <w:highlight w:val="none"/>
          <w:lang w:val="zh-CN"/>
        </w:rPr>
        <w:t>（二）符合图纸及技术文件的要求（如有，详见招标文件附件）。</w:t>
      </w:r>
    </w:p>
    <w:p w14:paraId="5369F04D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7" w:beforeLines="50" w:line="360" w:lineRule="auto"/>
        <w:ind w:leftChars="0"/>
        <w:textAlignment w:val="auto"/>
        <w:outlineLvl w:val="1"/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  <w:t>（三）严格执行以下管理要求</w:t>
      </w:r>
    </w:p>
    <w:p w14:paraId="49542AE7">
      <w:pPr>
        <w:rPr>
          <w:rFonts w:hint="eastAsia"/>
          <w:lang w:val="en-US" w:eastAsia="zh-CN"/>
        </w:rPr>
      </w:pPr>
    </w:p>
    <w:p w14:paraId="0D3B1962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tLeas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EE20F8"/>
    <w:multiLevelType w:val="singleLevel"/>
    <w:tmpl w:val="EAEE20F8"/>
    <w:lvl w:ilvl="0" w:tentative="0">
      <w:start w:val="2"/>
      <w:numFmt w:val="chineseCounting"/>
      <w:suff w:val="nothing"/>
      <w:lvlText w:val="第%1部分."/>
      <w:lvlJc w:val="left"/>
      <w:rPr>
        <w:rFonts w:hint="eastAsia"/>
      </w:rPr>
    </w:lvl>
  </w:abstractNum>
  <w:abstractNum w:abstractNumId="1">
    <w:nsid w:val="0D7920FF"/>
    <w:multiLevelType w:val="singleLevel"/>
    <w:tmpl w:val="0D7920FF"/>
    <w:lvl w:ilvl="0" w:tentative="0">
      <w:start w:val="1"/>
      <w:numFmt w:val="chineseCounting"/>
      <w:suff w:val="nothing"/>
      <w:lvlText w:val="第%1部分.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F737D8"/>
    <w:rsid w:val="001270A5"/>
    <w:rsid w:val="007A4AD7"/>
    <w:rsid w:val="04A24F71"/>
    <w:rsid w:val="076F3B3B"/>
    <w:rsid w:val="07CA37DF"/>
    <w:rsid w:val="07E41C6E"/>
    <w:rsid w:val="0B4A6210"/>
    <w:rsid w:val="0BC07002"/>
    <w:rsid w:val="0E2F4C02"/>
    <w:rsid w:val="0E3616E0"/>
    <w:rsid w:val="0E394169"/>
    <w:rsid w:val="0F81532F"/>
    <w:rsid w:val="0F820548"/>
    <w:rsid w:val="107144D2"/>
    <w:rsid w:val="10C41430"/>
    <w:rsid w:val="116419AD"/>
    <w:rsid w:val="11DF6CFE"/>
    <w:rsid w:val="13383335"/>
    <w:rsid w:val="14440D4B"/>
    <w:rsid w:val="14781EB9"/>
    <w:rsid w:val="14B666F3"/>
    <w:rsid w:val="15056A61"/>
    <w:rsid w:val="16A175CB"/>
    <w:rsid w:val="17722603"/>
    <w:rsid w:val="18E57496"/>
    <w:rsid w:val="1A386933"/>
    <w:rsid w:val="1A4F176B"/>
    <w:rsid w:val="1B663F82"/>
    <w:rsid w:val="1C2D4629"/>
    <w:rsid w:val="1C43636C"/>
    <w:rsid w:val="1C8618B6"/>
    <w:rsid w:val="1D904223"/>
    <w:rsid w:val="1F653C49"/>
    <w:rsid w:val="1FF914D4"/>
    <w:rsid w:val="20735046"/>
    <w:rsid w:val="216F4D5B"/>
    <w:rsid w:val="21C11DC8"/>
    <w:rsid w:val="23B738BA"/>
    <w:rsid w:val="24E67795"/>
    <w:rsid w:val="24F737D8"/>
    <w:rsid w:val="2525523D"/>
    <w:rsid w:val="26EB3B6A"/>
    <w:rsid w:val="291D5E51"/>
    <w:rsid w:val="2BE07E0A"/>
    <w:rsid w:val="2CA17C08"/>
    <w:rsid w:val="2DDF66E3"/>
    <w:rsid w:val="2FF65FF8"/>
    <w:rsid w:val="300D195C"/>
    <w:rsid w:val="30BF37B5"/>
    <w:rsid w:val="313B0851"/>
    <w:rsid w:val="31A1649A"/>
    <w:rsid w:val="31C955A9"/>
    <w:rsid w:val="33B200AF"/>
    <w:rsid w:val="33C75702"/>
    <w:rsid w:val="33E61BE2"/>
    <w:rsid w:val="361736AD"/>
    <w:rsid w:val="36D200CF"/>
    <w:rsid w:val="379951F8"/>
    <w:rsid w:val="38382DC3"/>
    <w:rsid w:val="38DE045C"/>
    <w:rsid w:val="3987396D"/>
    <w:rsid w:val="3B595AEE"/>
    <w:rsid w:val="3BF24D81"/>
    <w:rsid w:val="3BFE7BEA"/>
    <w:rsid w:val="3C4750A3"/>
    <w:rsid w:val="3C4A35F1"/>
    <w:rsid w:val="420455E6"/>
    <w:rsid w:val="42E73C50"/>
    <w:rsid w:val="44982260"/>
    <w:rsid w:val="44D414C9"/>
    <w:rsid w:val="46472D5E"/>
    <w:rsid w:val="485D3F87"/>
    <w:rsid w:val="496A657E"/>
    <w:rsid w:val="49843C09"/>
    <w:rsid w:val="4B3A1BDA"/>
    <w:rsid w:val="4BF83760"/>
    <w:rsid w:val="4C5B4768"/>
    <w:rsid w:val="4C8349B8"/>
    <w:rsid w:val="504766FD"/>
    <w:rsid w:val="552A0C96"/>
    <w:rsid w:val="55BB16B6"/>
    <w:rsid w:val="55C3156A"/>
    <w:rsid w:val="560A4CB8"/>
    <w:rsid w:val="5782183A"/>
    <w:rsid w:val="57BD355E"/>
    <w:rsid w:val="58D21C48"/>
    <w:rsid w:val="5B0320E2"/>
    <w:rsid w:val="5B8B11A7"/>
    <w:rsid w:val="5B9E2EC4"/>
    <w:rsid w:val="5BCB35CB"/>
    <w:rsid w:val="5CD10D7E"/>
    <w:rsid w:val="60002310"/>
    <w:rsid w:val="608606DE"/>
    <w:rsid w:val="610E324A"/>
    <w:rsid w:val="61F31EFD"/>
    <w:rsid w:val="63066BC7"/>
    <w:rsid w:val="63D0487B"/>
    <w:rsid w:val="64672037"/>
    <w:rsid w:val="64911DA0"/>
    <w:rsid w:val="65945D8D"/>
    <w:rsid w:val="66C35559"/>
    <w:rsid w:val="67D57489"/>
    <w:rsid w:val="68570F93"/>
    <w:rsid w:val="6A287B5E"/>
    <w:rsid w:val="6B303A1A"/>
    <w:rsid w:val="6C704794"/>
    <w:rsid w:val="6DAA2FDF"/>
    <w:rsid w:val="6DF95579"/>
    <w:rsid w:val="6E121228"/>
    <w:rsid w:val="6F8447F5"/>
    <w:rsid w:val="70D1495F"/>
    <w:rsid w:val="70ED510D"/>
    <w:rsid w:val="712F63C0"/>
    <w:rsid w:val="72717CD1"/>
    <w:rsid w:val="743E1546"/>
    <w:rsid w:val="74614F7E"/>
    <w:rsid w:val="74695E39"/>
    <w:rsid w:val="754C6F3B"/>
    <w:rsid w:val="75B11AFF"/>
    <w:rsid w:val="75D32619"/>
    <w:rsid w:val="76307412"/>
    <w:rsid w:val="768D126A"/>
    <w:rsid w:val="780B6A75"/>
    <w:rsid w:val="79F83E18"/>
    <w:rsid w:val="7CED7DC5"/>
    <w:rsid w:val="7D0F76D8"/>
    <w:rsid w:val="7DCF7B85"/>
    <w:rsid w:val="7E3420E0"/>
    <w:rsid w:val="7F1B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3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next w:val="7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120"/>
      <w:jc w:val="both"/>
    </w:pPr>
    <w:rPr>
      <w:lang w:val="en-US" w:eastAsia="zh-CN"/>
    </w:rPr>
  </w:style>
  <w:style w:type="paragraph" w:styleId="7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8">
    <w:name w:val="Body Text Indent"/>
    <w:basedOn w:val="1"/>
    <w:qFormat/>
    <w:uiPriority w:val="0"/>
    <w:pPr>
      <w:spacing w:after="120"/>
      <w:ind w:left="420" w:leftChars="200"/>
    </w:pPr>
  </w:style>
  <w:style w:type="paragraph" w:styleId="9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10">
    <w:name w:val="Body Text First Indent"/>
    <w:basedOn w:val="6"/>
    <w:qFormat/>
    <w:uiPriority w:val="0"/>
    <w:pPr>
      <w:keepNext w:val="0"/>
      <w:keepLines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Lines="50" w:beforeAutospacing="0" w:afterLines="50" w:afterAutospacing="0" w:line="360" w:lineRule="auto"/>
      <w:ind w:firstLine="200" w:firstLineChars="200"/>
      <w:jc w:val="both"/>
    </w:pPr>
    <w:rPr>
      <w:rFonts w:hint="default" w:ascii="Times New Roman" w:hAnsi="Times New Roman" w:eastAsia="宋体" w:cs="Times New Roman"/>
      <w:kern w:val="2"/>
      <w:sz w:val="24"/>
      <w:szCs w:val="24"/>
      <w:lang w:val="en-US" w:eastAsia="zh-CN" w:bidi="ar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5">
    <w:name w:val="正文首行缩进1"/>
    <w:basedOn w:val="1"/>
    <w:qFormat/>
    <w:uiPriority w:val="0"/>
    <w:pPr>
      <w:spacing w:line="360" w:lineRule="auto"/>
      <w:ind w:firstLine="200" w:firstLineChars="200"/>
    </w:pPr>
    <w:rPr>
      <w:kern w:val="2"/>
      <w:sz w:val="24"/>
      <w:szCs w:val="24"/>
    </w:rPr>
  </w:style>
  <w:style w:type="character" w:customStyle="1" w:styleId="16">
    <w:name w:val="font11"/>
    <w:basedOn w:val="1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1604</Words>
  <Characters>1759</Characters>
  <Lines>0</Lines>
  <Paragraphs>0</Paragraphs>
  <TotalTime>15</TotalTime>
  <ScaleCrop>false</ScaleCrop>
  <LinksUpToDate>false</LinksUpToDate>
  <CharactersWithSpaces>2008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马骏安</cp:lastModifiedBy>
  <dcterms:modified xsi:type="dcterms:W3CDTF">2025-06-27T07:05:52Z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EDF1AA3B88D44F0F8FEC517A4732750F</vt:lpwstr>
  </property>
  <property fmtid="{D5CDD505-2E9C-101B-9397-08002B2CF9AE}" pid="4" name="KSOTemplateDocerSaveRecord">
    <vt:lpwstr>eyJoZGlkIjoiNGQxZGUyZmQ5MDU5MjhiNzUxNWY4N2Q0ZGU2Y2VhOTgiLCJ1c2VySWQiOiI3MDM5OTYzMzMifQ==</vt:lpwstr>
  </property>
</Properties>
</file>