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86879">
      <w:pPr>
        <w:pStyle w:val="2"/>
        <w:spacing w:line="360" w:lineRule="auto"/>
        <w:jc w:val="left"/>
        <w:rPr>
          <w:rFonts w:asciiTheme="minorEastAsia" w:hAnsiTheme="minorEastAsia" w:eastAsiaTheme="minorEastAsia" w:cstheme="minorEastAsia"/>
          <w:b/>
          <w:bCs/>
          <w:snapToGrid w:val="0"/>
          <w:sz w:val="32"/>
          <w:szCs w:val="32"/>
        </w:rPr>
      </w:pPr>
      <w:bookmarkStart w:id="0" w:name="_Toc8445"/>
      <w:r>
        <w:rPr>
          <w:rFonts w:hint="eastAsia" w:asciiTheme="minorEastAsia" w:hAnsiTheme="minorEastAsia" w:eastAsiaTheme="minorEastAsia" w:cstheme="minorEastAsia"/>
          <w:b/>
          <w:bCs/>
          <w:snapToGrid w:val="0"/>
          <w:sz w:val="32"/>
          <w:szCs w:val="32"/>
        </w:rPr>
        <w:t>附件A.项目信息清单</w:t>
      </w:r>
      <w:r>
        <w:rPr>
          <w:rFonts w:hint="eastAsia" w:asciiTheme="minorEastAsia" w:hAnsiTheme="minorEastAsia" w:eastAsiaTheme="minorEastAsia" w:cstheme="minorEastAsia"/>
          <w:b/>
          <w:bCs/>
          <w:snapToGrid w:val="0"/>
          <w:sz w:val="28"/>
          <w:szCs w:val="28"/>
        </w:rPr>
        <w:t>（</w:t>
      </w:r>
      <w:bookmarkStart w:id="1" w:name="_GoBack"/>
      <w:r>
        <w:rPr>
          <w:rFonts w:hint="eastAsia" w:asciiTheme="minorEastAsia" w:hAnsiTheme="minorEastAsia" w:eastAsiaTheme="minorEastAsia" w:cstheme="minorEastAsia"/>
          <w:b/>
          <w:bCs/>
          <w:snapToGrid w:val="0"/>
          <w:sz w:val="32"/>
          <w:szCs w:val="32"/>
        </w:rPr>
        <w:t>标的3标包1</w:t>
      </w:r>
      <w:bookmarkEnd w:id="1"/>
      <w:r>
        <w:rPr>
          <w:rFonts w:hint="eastAsia" w:asciiTheme="minorEastAsia" w:hAnsiTheme="minorEastAsia" w:eastAsiaTheme="minorEastAsia" w:cstheme="minorEastAsia"/>
          <w:b/>
          <w:bCs/>
          <w:snapToGrid w:val="0"/>
          <w:sz w:val="32"/>
          <w:szCs w:val="32"/>
        </w:rPr>
        <w:t>.广州供电局2025年广东500千伏华厦阳西电厂二期7、8号机组项目接入系统工程（广州段）天然气管网跨越安全评估服务</w:t>
      </w:r>
      <w:r>
        <w:rPr>
          <w:rFonts w:hint="eastAsia" w:asciiTheme="minorEastAsia" w:hAnsiTheme="minorEastAsia" w:eastAsiaTheme="minorEastAsia" w:cstheme="minorEastAsia"/>
          <w:b/>
          <w:bCs/>
          <w:snapToGrid w:val="0"/>
          <w:sz w:val="28"/>
          <w:szCs w:val="28"/>
        </w:rPr>
        <w:t>）</w:t>
      </w:r>
    </w:p>
    <w:bookmarkEnd w:id="0"/>
    <w:p w14:paraId="4C643B27">
      <w:pPr>
        <w:pStyle w:val="2"/>
        <w:numPr>
          <w:ilvl w:val="0"/>
          <w:numId w:val="1"/>
        </w:numPr>
        <w:spacing w:line="360" w:lineRule="auto"/>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napToGrid w:val="0"/>
          <w:sz w:val="28"/>
          <w:szCs w:val="28"/>
        </w:rPr>
        <w:t>项目信息</w:t>
      </w:r>
    </w:p>
    <w:p w14:paraId="7DB8ACA7">
      <w:pPr>
        <w:pStyle w:val="2"/>
        <w:spacing w:line="360" w:lineRule="auto"/>
        <w:jc w:val="center"/>
        <w:rPr>
          <w:rFonts w:asciiTheme="minorEastAsia" w:hAnsiTheme="minorEastAsia" w:eastAsiaTheme="minorEastAsia" w:cstheme="minorEastAsia"/>
          <w:b/>
          <w:bCs/>
          <w:sz w:val="24"/>
          <w:szCs w:val="24"/>
        </w:rPr>
      </w:pPr>
      <w:r>
        <w:rPr>
          <w:rFonts w:hint="eastAsia" w:hAnsi="宋体" w:cs="宋体"/>
          <w:b/>
          <w:bCs/>
          <w:snapToGrid w:val="0"/>
          <w:sz w:val="24"/>
          <w:szCs w:val="24"/>
        </w:rPr>
        <w:t>招标前期资料</w:t>
      </w:r>
    </w:p>
    <w:tbl>
      <w:tblPr>
        <w:tblStyle w:val="1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678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tcPr>
          <w:p w14:paraId="2827FAA3">
            <w:pPr>
              <w:pStyle w:val="2"/>
              <w:spacing w:line="360" w:lineRule="auto"/>
              <w:jc w:val="center"/>
              <w:rPr>
                <w:rFonts w:asciiTheme="minorEastAsia" w:hAnsiTheme="minorEastAsia" w:eastAsiaTheme="minorEastAsia" w:cstheme="minorEastAsia"/>
                <w:snapToGrid w:val="0"/>
                <w:sz w:val="24"/>
                <w:szCs w:val="24"/>
              </w:rPr>
            </w:pPr>
            <w:r>
              <w:rPr>
                <w:rFonts w:hint="eastAsia" w:hAnsi="宋体" w:cs="宋体"/>
                <w:b/>
                <w:bCs/>
                <w:snapToGrid w:val="0"/>
                <w:sz w:val="24"/>
                <w:szCs w:val="24"/>
              </w:rPr>
              <w:t>序号</w:t>
            </w:r>
          </w:p>
        </w:tc>
        <w:tc>
          <w:tcPr>
            <w:tcW w:w="3783" w:type="dxa"/>
          </w:tcPr>
          <w:p w14:paraId="575B86E6">
            <w:pPr>
              <w:pStyle w:val="2"/>
              <w:spacing w:line="360" w:lineRule="auto"/>
              <w:jc w:val="center"/>
              <w:rPr>
                <w:rFonts w:asciiTheme="minorEastAsia" w:hAnsiTheme="minorEastAsia" w:eastAsiaTheme="minorEastAsia" w:cstheme="minorEastAsia"/>
                <w:snapToGrid w:val="0"/>
                <w:sz w:val="24"/>
                <w:szCs w:val="24"/>
              </w:rPr>
            </w:pPr>
            <w:r>
              <w:rPr>
                <w:rFonts w:hint="eastAsia" w:hAnsi="宋体" w:cs="宋体"/>
                <w:b/>
                <w:bCs/>
                <w:snapToGrid w:val="0"/>
                <w:sz w:val="24"/>
                <w:szCs w:val="24"/>
              </w:rPr>
              <w:t>文件名称</w:t>
            </w:r>
          </w:p>
        </w:tc>
        <w:tc>
          <w:tcPr>
            <w:tcW w:w="5250" w:type="dxa"/>
          </w:tcPr>
          <w:p w14:paraId="643C1A9A">
            <w:pPr>
              <w:pStyle w:val="2"/>
              <w:spacing w:line="360" w:lineRule="auto"/>
              <w:jc w:val="center"/>
              <w:rPr>
                <w:rFonts w:asciiTheme="minorEastAsia" w:hAnsiTheme="minorEastAsia" w:eastAsiaTheme="minorEastAsia" w:cstheme="minorEastAsia"/>
                <w:snapToGrid w:val="0"/>
                <w:sz w:val="24"/>
                <w:szCs w:val="24"/>
              </w:rPr>
            </w:pPr>
            <w:r>
              <w:rPr>
                <w:rFonts w:hint="eastAsia" w:hAnsi="宋体" w:cs="宋体"/>
                <w:b/>
                <w:bCs/>
                <w:snapToGrid w:val="0"/>
                <w:sz w:val="24"/>
                <w:szCs w:val="24"/>
              </w:rPr>
              <w:t>文件文号</w:t>
            </w:r>
          </w:p>
        </w:tc>
      </w:tr>
      <w:tr w14:paraId="7634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jc w:val="center"/>
        </w:trPr>
        <w:tc>
          <w:tcPr>
            <w:tcW w:w="776" w:type="dxa"/>
            <w:vAlign w:val="center"/>
          </w:tcPr>
          <w:p w14:paraId="3265D8B5">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1</w:t>
            </w:r>
          </w:p>
        </w:tc>
        <w:tc>
          <w:tcPr>
            <w:tcW w:w="3783" w:type="dxa"/>
            <w:vAlign w:val="center"/>
          </w:tcPr>
          <w:p w14:paraId="5D81C4DD">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项目立项(可研批复)文号</w:t>
            </w:r>
          </w:p>
        </w:tc>
        <w:tc>
          <w:tcPr>
            <w:tcW w:w="5250" w:type="dxa"/>
            <w:vAlign w:val="center"/>
          </w:tcPr>
          <w:p w14:paraId="3D4BDE14">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南方电网输配电〔2023〕58 号</w:t>
            </w:r>
          </w:p>
        </w:tc>
      </w:tr>
      <w:tr w14:paraId="1820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jc w:val="center"/>
        </w:trPr>
        <w:tc>
          <w:tcPr>
            <w:tcW w:w="776" w:type="dxa"/>
            <w:vAlign w:val="center"/>
          </w:tcPr>
          <w:p w14:paraId="03C1F730">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2</w:t>
            </w:r>
          </w:p>
        </w:tc>
        <w:tc>
          <w:tcPr>
            <w:tcW w:w="3783" w:type="dxa"/>
            <w:vAlign w:val="center"/>
          </w:tcPr>
          <w:p w14:paraId="359EB408">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资金落实情况</w:t>
            </w:r>
          </w:p>
        </w:tc>
        <w:tc>
          <w:tcPr>
            <w:tcW w:w="5250" w:type="dxa"/>
            <w:vAlign w:val="center"/>
          </w:tcPr>
          <w:p w14:paraId="0DD36E99">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广供电资〔2025〕3 号</w:t>
            </w:r>
          </w:p>
        </w:tc>
      </w:tr>
      <w:tr w14:paraId="048F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vAlign w:val="center"/>
          </w:tcPr>
          <w:p w14:paraId="0209DF6B">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3</w:t>
            </w:r>
          </w:p>
        </w:tc>
        <w:tc>
          <w:tcPr>
            <w:tcW w:w="3783" w:type="dxa"/>
            <w:vAlign w:val="center"/>
          </w:tcPr>
          <w:p w14:paraId="754E2F53">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项目建设单位</w:t>
            </w:r>
          </w:p>
        </w:tc>
        <w:tc>
          <w:tcPr>
            <w:tcW w:w="5250" w:type="dxa"/>
            <w:vAlign w:val="center"/>
          </w:tcPr>
          <w:p w14:paraId="1C70BBD1">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u w:val="single"/>
              </w:rPr>
              <w:t>广东电网有限责任公司广州供电局</w:t>
            </w:r>
          </w:p>
        </w:tc>
      </w:tr>
      <w:tr w14:paraId="501B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vAlign w:val="center"/>
          </w:tcPr>
          <w:p w14:paraId="672B03CB">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4</w:t>
            </w:r>
          </w:p>
        </w:tc>
        <w:tc>
          <w:tcPr>
            <w:tcW w:w="3783" w:type="dxa"/>
            <w:vAlign w:val="center"/>
          </w:tcPr>
          <w:p w14:paraId="79347797">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项目建设地点</w:t>
            </w:r>
          </w:p>
        </w:tc>
        <w:tc>
          <w:tcPr>
            <w:tcW w:w="5250" w:type="dxa"/>
            <w:vAlign w:val="center"/>
          </w:tcPr>
          <w:p w14:paraId="3BDE25C4">
            <w:pPr>
              <w:pStyle w:val="2"/>
              <w:spacing w:line="480" w:lineRule="exact"/>
              <w:jc w:val="center"/>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rPr>
              <w:t>广州市</w:t>
            </w:r>
            <w:r>
              <w:rPr>
                <w:rFonts w:hint="eastAsia" w:asciiTheme="minorEastAsia" w:hAnsiTheme="minorEastAsia" w:eastAsiaTheme="minorEastAsia" w:cstheme="minorEastAsia"/>
                <w:snapToGrid w:val="0"/>
                <w:sz w:val="24"/>
                <w:szCs w:val="24"/>
                <w:u w:val="single"/>
                <w:lang w:eastAsia="zh-CN"/>
              </w:rPr>
              <w:t>番禺</w:t>
            </w:r>
            <w:r>
              <w:rPr>
                <w:rFonts w:hint="eastAsia" w:asciiTheme="minorEastAsia" w:hAnsiTheme="minorEastAsia" w:eastAsiaTheme="minorEastAsia" w:cstheme="minorEastAsia"/>
                <w:snapToGrid w:val="0"/>
                <w:sz w:val="24"/>
                <w:szCs w:val="24"/>
                <w:u w:val="single"/>
              </w:rPr>
              <w:t>区</w:t>
            </w:r>
            <w:r>
              <w:rPr>
                <w:rFonts w:hint="eastAsia" w:asciiTheme="minorEastAsia" w:hAnsiTheme="minorEastAsia" w:eastAsiaTheme="minorEastAsia" w:cstheme="minorEastAsia"/>
                <w:snapToGrid w:val="0"/>
                <w:sz w:val="24"/>
                <w:szCs w:val="24"/>
                <w:u w:val="single"/>
                <w:lang w:eastAsia="zh-CN"/>
              </w:rPr>
              <w:t>、南沙区</w:t>
            </w:r>
          </w:p>
        </w:tc>
      </w:tr>
      <w:tr w14:paraId="1C36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jc w:val="center"/>
        </w:trPr>
        <w:tc>
          <w:tcPr>
            <w:tcW w:w="776" w:type="dxa"/>
            <w:vAlign w:val="center"/>
          </w:tcPr>
          <w:p w14:paraId="4EAB7A1B">
            <w:pPr>
              <w:pStyle w:val="2"/>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5</w:t>
            </w:r>
          </w:p>
        </w:tc>
        <w:tc>
          <w:tcPr>
            <w:tcW w:w="3783" w:type="dxa"/>
            <w:vAlign w:val="center"/>
          </w:tcPr>
          <w:p w14:paraId="187DABB4">
            <w:pPr>
              <w:pStyle w:val="2"/>
              <w:snapToGrid w:val="0"/>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服务期</w:t>
            </w:r>
          </w:p>
        </w:tc>
        <w:tc>
          <w:tcPr>
            <w:tcW w:w="5250" w:type="dxa"/>
            <w:vAlign w:val="center"/>
          </w:tcPr>
          <w:p w14:paraId="53270975">
            <w:pPr>
              <w:pStyle w:val="2"/>
              <w:snapToGrid w:val="0"/>
              <w:rPr>
                <w:rFonts w:hAnsi="宋体" w:cs="宋体"/>
                <w:bCs/>
                <w:sz w:val="21"/>
                <w:szCs w:val="21"/>
              </w:rPr>
            </w:pPr>
            <w:r>
              <w:rPr>
                <w:rFonts w:hint="eastAsia" w:asciiTheme="minorEastAsia" w:hAnsiTheme="minorEastAsia" w:eastAsiaTheme="minorEastAsia" w:cstheme="minorEastAsia"/>
                <w:snapToGrid w:val="0"/>
                <w:sz w:val="24"/>
                <w:szCs w:val="24"/>
                <w:u w:val="single"/>
              </w:rPr>
              <w:t>合同签订之日起至</w:t>
            </w:r>
            <w:r>
              <w:rPr>
                <w:rFonts w:hint="eastAsia" w:asciiTheme="minorEastAsia" w:hAnsiTheme="minorEastAsia" w:eastAsiaTheme="minorEastAsia" w:cstheme="minorEastAsia"/>
                <w:snapToGrid w:val="0"/>
                <w:sz w:val="24"/>
                <w:szCs w:val="24"/>
                <w:u w:val="single"/>
                <w:lang w:val="en-US" w:eastAsia="zh-CN"/>
              </w:rPr>
              <w:t>2026</w:t>
            </w:r>
            <w:r>
              <w:rPr>
                <w:rFonts w:hint="eastAsia" w:asciiTheme="minorEastAsia" w:hAnsiTheme="minorEastAsia" w:eastAsiaTheme="minorEastAsia" w:cstheme="minorEastAsia"/>
                <w:snapToGrid w:val="0"/>
                <w:sz w:val="24"/>
                <w:szCs w:val="24"/>
                <w:u w:val="single"/>
              </w:rPr>
              <w:t>年</w:t>
            </w:r>
            <w:r>
              <w:rPr>
                <w:rFonts w:hint="eastAsia" w:asciiTheme="minorEastAsia" w:hAnsiTheme="minorEastAsia" w:eastAsiaTheme="minorEastAsia" w:cstheme="minorEastAsia"/>
                <w:snapToGrid w:val="0"/>
                <w:sz w:val="24"/>
                <w:szCs w:val="24"/>
                <w:u w:val="single"/>
                <w:lang w:val="en-US" w:eastAsia="zh-CN"/>
              </w:rPr>
              <w:t>12</w:t>
            </w:r>
            <w:r>
              <w:rPr>
                <w:rFonts w:hint="eastAsia" w:asciiTheme="minorEastAsia" w:hAnsiTheme="minorEastAsia" w:eastAsiaTheme="minorEastAsia" w:cstheme="minorEastAsia"/>
                <w:snapToGrid w:val="0"/>
                <w:sz w:val="24"/>
                <w:szCs w:val="24"/>
                <w:u w:val="single"/>
              </w:rPr>
              <w:t>月</w:t>
            </w:r>
            <w:r>
              <w:rPr>
                <w:rFonts w:hint="eastAsia" w:asciiTheme="minorEastAsia" w:hAnsiTheme="minorEastAsia" w:eastAsiaTheme="minorEastAsia" w:cstheme="minorEastAsia"/>
                <w:snapToGrid w:val="0"/>
                <w:sz w:val="24"/>
                <w:szCs w:val="24"/>
                <w:u w:val="single"/>
                <w:lang w:val="en-US" w:eastAsia="zh-CN"/>
              </w:rPr>
              <w:t>30</w:t>
            </w:r>
            <w:r>
              <w:rPr>
                <w:rFonts w:hint="eastAsia" w:asciiTheme="minorEastAsia" w:hAnsiTheme="minorEastAsia" w:eastAsiaTheme="minorEastAsia" w:cstheme="minorEastAsia"/>
                <w:snapToGrid w:val="0"/>
                <w:sz w:val="24"/>
                <w:szCs w:val="24"/>
                <w:u w:val="single"/>
              </w:rPr>
              <w:t>日</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，实际服务期以委托函上载明的时间为准。</w:t>
            </w:r>
          </w:p>
        </w:tc>
      </w:tr>
    </w:tbl>
    <w:p w14:paraId="755D3D34">
      <w:pPr>
        <w:spacing w:before="156" w:beforeLines="50" w:after="156" w:afterLines="50" w:line="48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一、项目概况</w:t>
      </w:r>
    </w:p>
    <w:p w14:paraId="2010A059">
      <w:pPr>
        <w:spacing w:before="156" w:beforeLines="50" w:after="156" w:afterLines="50" w:line="480" w:lineRule="auto"/>
        <w:ind w:firstLine="480" w:firstLineChars="200"/>
        <w:rPr>
          <w:rFonts w:ascii="Wingdings" w:hAnsi="Wingdings" w:cs="Wingdings" w:eastAsiaTheme="minorEastAsia"/>
          <w:b/>
          <w:bCs/>
          <w:iCs/>
          <w:sz w:val="24"/>
          <w:szCs w:val="24"/>
          <w:u w:val="single"/>
        </w:rPr>
      </w:pPr>
      <w:r>
        <w:rPr>
          <w:rFonts w:hint="eastAsia" w:ascii="Times New Roman" w:hAnsi="Times New Roman"/>
          <w:sz w:val="24"/>
          <w:szCs w:val="24"/>
          <w:u w:val="single"/>
        </w:rPr>
        <w:t>新建铜鼓电厂至番南500千伏双回线路工程约16.5公里架空线路（含中山-广州洪奇沥水道大跨越约2000米），含配套架空光缆及10kV-500kV线路改造。新建约16.5公里架空线路及光缆，含配套10kV-500kV线路改造。新建约15.5公里架空线路及光缆，含配套10kV-500kV线路改造。</w:t>
      </w:r>
    </w:p>
    <w:p w14:paraId="32B5EA57">
      <w:pPr>
        <w:pStyle w:val="2"/>
      </w:pPr>
    </w:p>
    <w:p w14:paraId="6814012B">
      <w:pPr>
        <w:spacing w:before="156" w:beforeLines="50" w:after="156" w:afterLines="50" w:line="480" w:lineRule="auto"/>
        <w:rPr>
          <w:rFonts w:asciiTheme="minorEastAsia" w:hAnsiTheme="minorEastAsia" w:eastAsiaTheme="minorEastAsia" w:cstheme="minorEastAsia"/>
          <w:b/>
          <w:bCs/>
          <w:iCs/>
          <w:sz w:val="24"/>
          <w:szCs w:val="24"/>
        </w:rPr>
      </w:pPr>
      <w:r>
        <w:rPr>
          <w:rFonts w:hint="eastAsia" w:asciiTheme="minorEastAsia" w:hAnsiTheme="minorEastAsia" w:eastAsiaTheme="minorEastAsia" w:cstheme="minorEastAsia"/>
          <w:b/>
          <w:bCs/>
          <w:sz w:val="24"/>
          <w:szCs w:val="24"/>
        </w:rPr>
        <w:t>二、采购范围</w:t>
      </w:r>
    </w:p>
    <w:p w14:paraId="106B75B7">
      <w:pPr>
        <w:spacing w:before="156" w:beforeLines="50" w:after="156" w:afterLines="50" w:line="480" w:lineRule="auto"/>
        <w:ind w:firstLine="480" w:firstLineChars="200"/>
        <w:jc w:val="left"/>
      </w:pPr>
      <w:r>
        <w:rPr>
          <w:rFonts w:hint="eastAsia" w:ascii="Times New Roman" w:hAnsi="Times New Roman"/>
          <w:sz w:val="24"/>
          <w:szCs w:val="24"/>
          <w:highlight w:val="none"/>
          <w:u w:val="single"/>
        </w:rPr>
        <w:t>开展项目</w:t>
      </w:r>
      <w:r>
        <w:rPr>
          <w:rFonts w:hint="eastAsia" w:ascii="Times New Roman" w:hAnsi="Times New Roman"/>
          <w:sz w:val="24"/>
          <w:szCs w:val="24"/>
          <w:highlight w:val="none"/>
          <w:u w:val="single"/>
          <w:lang w:eastAsia="zh-CN"/>
        </w:rPr>
        <w:t>沿线</w:t>
      </w:r>
      <w:r>
        <w:rPr>
          <w:rFonts w:hint="eastAsia" w:ascii="Times New Roman" w:hAnsi="Times New Roman"/>
          <w:sz w:val="24"/>
          <w:szCs w:val="24"/>
          <w:highlight w:val="none"/>
          <w:u w:val="single"/>
        </w:rPr>
        <w:t>跨越管道</w:t>
      </w:r>
      <w:r>
        <w:rPr>
          <w:rFonts w:hint="eastAsia" w:ascii="Times New Roman" w:hAnsi="Times New Roman"/>
          <w:sz w:val="24"/>
          <w:szCs w:val="24"/>
          <w:highlight w:val="none"/>
          <w:u w:val="single"/>
          <w:lang w:eastAsia="zh-CN"/>
        </w:rPr>
        <w:t>、厂房、房屋</w:t>
      </w:r>
      <w:r>
        <w:rPr>
          <w:rFonts w:hint="eastAsia" w:ascii="Times New Roman" w:hAnsi="Times New Roman"/>
          <w:sz w:val="24"/>
          <w:szCs w:val="24"/>
          <w:highlight w:val="none"/>
          <w:u w:val="single"/>
        </w:rPr>
        <w:t>方案专项安全评价，</w:t>
      </w:r>
      <w:r>
        <w:rPr>
          <w:rFonts w:hint="eastAsia" w:ascii="Times New Roman" w:hAnsi="Times New Roman"/>
          <w:sz w:val="24"/>
          <w:szCs w:val="24"/>
          <w:highlight w:val="none"/>
          <w:u w:val="single"/>
          <w:lang w:eastAsia="zh-CN"/>
        </w:rPr>
        <w:t>协助发函、回函</w:t>
      </w:r>
      <w:r>
        <w:rPr>
          <w:rFonts w:hint="eastAsia" w:ascii="宋体" w:hAnsi="宋体" w:eastAsia="宋体" w:cs="宋体"/>
          <w:b w:val="0"/>
          <w:bCs w:val="0"/>
          <w:i w:val="0"/>
          <w:iCs/>
          <w:color w:val="auto"/>
          <w:kern w:val="2"/>
          <w:sz w:val="24"/>
          <w:szCs w:val="24"/>
          <w:highlight w:val="none"/>
          <w:u w:val="single"/>
          <w:lang w:val="en-US" w:eastAsia="zh-CN" w:bidi="ar-SA"/>
        </w:rPr>
        <w:t>产权单位，</w:t>
      </w:r>
      <w:r>
        <w:rPr>
          <w:rFonts w:hint="eastAsia" w:ascii="Times New Roman" w:hAnsi="Times New Roman"/>
          <w:sz w:val="24"/>
          <w:szCs w:val="24"/>
          <w:highlight w:val="none"/>
          <w:u w:val="single"/>
        </w:rPr>
        <w:t>形成</w:t>
      </w:r>
      <w:r>
        <w:rPr>
          <w:rFonts w:hint="eastAsia" w:ascii="Times New Roman" w:hAnsi="Times New Roman"/>
          <w:sz w:val="24"/>
          <w:szCs w:val="24"/>
          <w:highlight w:val="none"/>
          <w:u w:val="single"/>
          <w:lang w:eastAsia="zh-CN"/>
        </w:rPr>
        <w:t>管道保护方案、施工作业方案、</w:t>
      </w:r>
      <w:r>
        <w:rPr>
          <w:rFonts w:hint="eastAsia" w:ascii="Times New Roman" w:hAnsi="Times New Roman"/>
          <w:sz w:val="24"/>
          <w:szCs w:val="24"/>
          <w:highlight w:val="none"/>
          <w:u w:val="single"/>
        </w:rPr>
        <w:t>评价报告并配合报送至辖区县级人民政府主管管道保护工作的部门及国家石油天然气管网集团有限公司</w:t>
      </w:r>
      <w:r>
        <w:rPr>
          <w:rFonts w:hint="eastAsia" w:ascii="Times New Roman" w:hAnsi="Times New Roman"/>
          <w:sz w:val="24"/>
          <w:szCs w:val="24"/>
          <w:highlight w:val="none"/>
          <w:u w:val="single"/>
          <w:lang w:eastAsia="zh-CN"/>
        </w:rPr>
        <w:t>、中海广东天然汽有限责任公司、广东大鹏液化天然气有限公司、广州燃气集团有限公司、广州南沙新奥燃气有限公司、广州致远新材料科技有限公司等产权单位</w:t>
      </w:r>
      <w:r>
        <w:rPr>
          <w:rFonts w:hint="eastAsia" w:ascii="Times New Roman" w:hAnsi="Times New Roman"/>
          <w:sz w:val="24"/>
          <w:szCs w:val="24"/>
          <w:highlight w:val="none"/>
          <w:u w:val="single"/>
        </w:rPr>
        <w:t>。</w:t>
      </w:r>
      <w:r>
        <w:rPr>
          <w:rFonts w:hint="eastAsia" w:ascii="宋体" w:hAnsi="宋体" w:eastAsia="宋体" w:cs="宋体"/>
          <w:b w:val="0"/>
          <w:bCs w:val="0"/>
          <w:i w:val="0"/>
          <w:iCs/>
          <w:color w:val="auto"/>
          <w:kern w:val="2"/>
          <w:sz w:val="24"/>
          <w:szCs w:val="24"/>
          <w:highlight w:val="none"/>
          <w:u w:val="single"/>
          <w:lang w:val="en-US" w:eastAsia="zh-CN" w:bidi="ar-SA"/>
        </w:rPr>
        <w:t>如安全评估报告不满足产权单位要求，则需要整改报告直至满足产权单位要求。</w:t>
      </w:r>
    </w:p>
    <w:p w14:paraId="5C5728B6">
      <w:pPr>
        <w:pStyle w:val="4"/>
        <w:numPr>
          <w:ilvl w:val="0"/>
          <w:numId w:val="2"/>
        </w:numPr>
        <w:spacing w:line="360" w:lineRule="auto"/>
        <w:rPr>
          <w:rFonts w:asciiTheme="minorEastAsia" w:hAnsiTheme="minorEastAsia" w:eastAsiaTheme="minorEastAsia" w:cstheme="minorEastAsia"/>
          <w:bCs/>
          <w:i w:val="0"/>
          <w:color w:val="auto"/>
          <w:sz w:val="24"/>
          <w:szCs w:val="24"/>
        </w:rPr>
      </w:pPr>
      <w:r>
        <w:rPr>
          <w:rFonts w:hint="eastAsia" w:asciiTheme="minorEastAsia" w:hAnsiTheme="minorEastAsia" w:eastAsiaTheme="minorEastAsia" w:cstheme="minorEastAsia"/>
          <w:bCs/>
          <w:i w:val="0"/>
          <w:color w:val="auto"/>
          <w:sz w:val="24"/>
          <w:szCs w:val="24"/>
        </w:rPr>
        <w:t>报价表及报价要求</w:t>
      </w:r>
    </w:p>
    <w:tbl>
      <w:tblPr>
        <w:tblStyle w:val="14"/>
        <w:tblW w:w="499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0"/>
        <w:gridCol w:w="1232"/>
        <w:gridCol w:w="880"/>
        <w:gridCol w:w="1063"/>
        <w:gridCol w:w="1065"/>
        <w:gridCol w:w="1057"/>
        <w:gridCol w:w="1063"/>
        <w:gridCol w:w="1065"/>
        <w:gridCol w:w="1907"/>
      </w:tblGrid>
      <w:tr w14:paraId="4B3B1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CDB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6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DBF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工程或费用名称</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255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预计</w:t>
            </w:r>
          </w:p>
        </w:tc>
        <w:tc>
          <w:tcPr>
            <w:tcW w:w="10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B77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最高投标限价</w:t>
            </w:r>
          </w:p>
        </w:tc>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605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投标下浮率</w:t>
            </w:r>
          </w:p>
        </w:tc>
        <w:tc>
          <w:tcPr>
            <w:tcW w:w="10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4ED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投标报价</w:t>
            </w:r>
          </w:p>
        </w:tc>
        <w:tc>
          <w:tcPr>
            <w:tcW w:w="9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DB1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  注</w:t>
            </w:r>
          </w:p>
        </w:tc>
      </w:tr>
      <w:tr w14:paraId="44D7D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9839E">
            <w:pPr>
              <w:jc w:val="center"/>
              <w:rPr>
                <w:rFonts w:hint="eastAsia" w:ascii="宋体" w:hAnsi="宋体" w:eastAsia="宋体" w:cs="宋体"/>
                <w:i w:val="0"/>
                <w:iCs w:val="0"/>
                <w:color w:val="000000"/>
                <w:sz w:val="24"/>
                <w:szCs w:val="24"/>
                <w:u w:val="none"/>
              </w:rPr>
            </w:pPr>
          </w:p>
        </w:tc>
        <w:tc>
          <w:tcPr>
            <w:tcW w:w="6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97512">
            <w:pPr>
              <w:jc w:val="center"/>
              <w:rPr>
                <w:rFonts w:hint="eastAsia" w:ascii="宋体" w:hAnsi="宋体" w:eastAsia="宋体" w:cs="宋体"/>
                <w:i w:val="0"/>
                <w:iCs w:val="0"/>
                <w:color w:val="000000"/>
                <w:sz w:val="24"/>
                <w:szCs w:val="24"/>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35E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1ED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单价（元）</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7C8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合计（元）</w:t>
            </w:r>
          </w:p>
        </w:tc>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92382">
            <w:pPr>
              <w:jc w:val="center"/>
              <w:rPr>
                <w:rFonts w:hint="eastAsia" w:ascii="宋体" w:hAnsi="宋体" w:eastAsia="宋体" w:cs="宋体"/>
                <w:i w:val="0"/>
                <w:iCs w:val="0"/>
                <w:color w:val="000000"/>
                <w:sz w:val="24"/>
                <w:szCs w:val="24"/>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7D2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单价（元）</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102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合计（元）</w:t>
            </w:r>
          </w:p>
        </w:tc>
        <w:tc>
          <w:tcPr>
            <w:tcW w:w="9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C7053">
            <w:pPr>
              <w:jc w:val="center"/>
              <w:rPr>
                <w:rFonts w:hint="eastAsia" w:ascii="宋体" w:hAnsi="宋体" w:eastAsia="宋体" w:cs="宋体"/>
                <w:i w:val="0"/>
                <w:iCs w:val="0"/>
                <w:color w:val="000000"/>
                <w:sz w:val="24"/>
                <w:szCs w:val="24"/>
                <w:u w:val="none"/>
              </w:rPr>
            </w:pPr>
          </w:p>
        </w:tc>
      </w:tr>
      <w:tr w14:paraId="3AA9A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050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E6B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费用名称</w:t>
            </w:r>
          </w:p>
        </w:tc>
        <w:tc>
          <w:tcPr>
            <w:tcW w:w="406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5261B4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广东500千伏华厦阳西电厂二期7、8号机组项目接入系统工程（广州段）天然气管网跨越安全评估服务</w:t>
            </w:r>
          </w:p>
        </w:tc>
      </w:tr>
      <w:tr w14:paraId="67B99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5" w:hRule="atLeast"/>
          <w:jc w:val="center"/>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D46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30E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安全评估报告</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BF7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5份</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BFC3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100000</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9456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w:t>
            </w:r>
            <w:r>
              <w:rPr>
                <w:rFonts w:hint="eastAsia" w:ascii="宋体" w:hAnsi="宋体" w:cs="宋体"/>
                <w:i w:val="0"/>
                <w:iCs w:val="0"/>
                <w:color w:val="000000"/>
                <w:kern w:val="0"/>
                <w:sz w:val="24"/>
                <w:szCs w:val="24"/>
                <w:u w:val="none"/>
                <w:lang w:val="en-US" w:eastAsia="zh-CN" w:bidi="ar"/>
              </w:rPr>
              <w:t>00000</w:t>
            </w:r>
          </w:p>
        </w:tc>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1CAC7">
            <w:pPr>
              <w:keepNext w:val="0"/>
              <w:keepLines w:val="0"/>
              <w:widowControl/>
              <w:suppressLineNumbers w:val="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 xml:space="preserve">   %</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58D7C">
            <w:pPr>
              <w:jc w:val="center"/>
              <w:rPr>
                <w:rFonts w:hint="eastAsia" w:ascii="宋体" w:hAnsi="宋体" w:eastAsia="宋体" w:cs="宋体"/>
                <w:i w:val="0"/>
                <w:iCs w:val="0"/>
                <w:color w:val="000000"/>
                <w:sz w:val="24"/>
                <w:szCs w:val="24"/>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22D75">
            <w:pPr>
              <w:jc w:val="center"/>
              <w:rPr>
                <w:rFonts w:hint="eastAsia" w:ascii="宋体" w:hAnsi="宋体" w:eastAsia="宋体" w:cs="宋体"/>
                <w:i w:val="0"/>
                <w:iCs w:val="0"/>
                <w:color w:val="000000"/>
                <w:sz w:val="24"/>
                <w:szCs w:val="24"/>
                <w:u w:val="none"/>
              </w:rPr>
            </w:pPr>
          </w:p>
        </w:tc>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76B8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1.一家产权单位原则上产出一份安评评估报告，报告中额外增加交叉或并行则按照单价增加相应费用。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2.如两个或以上产权单位合在一份报告的，则按照总价的50%来核算。</w:t>
            </w:r>
          </w:p>
        </w:tc>
      </w:tr>
      <w:tr w14:paraId="44577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8" w:hRule="atLeast"/>
          <w:jc w:val="center"/>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C06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23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每增加一处交叉</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267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1处</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7079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60000</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9166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60000</w:t>
            </w:r>
          </w:p>
        </w:tc>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7D653">
            <w:pPr>
              <w:jc w:val="center"/>
              <w:rPr>
                <w:rFonts w:hint="eastAsia" w:ascii="宋体" w:hAnsi="宋体" w:eastAsia="宋体" w:cs="宋体"/>
                <w:i w:val="0"/>
                <w:iCs w:val="0"/>
                <w:color w:val="000000"/>
                <w:sz w:val="24"/>
                <w:szCs w:val="24"/>
                <w:u w:val="singl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43EE">
            <w:pPr>
              <w:jc w:val="center"/>
              <w:rPr>
                <w:rFonts w:hint="eastAsia" w:ascii="宋体" w:hAnsi="宋体" w:eastAsia="宋体" w:cs="宋体"/>
                <w:i w:val="0"/>
                <w:iCs w:val="0"/>
                <w:color w:val="000000"/>
                <w:sz w:val="24"/>
                <w:szCs w:val="24"/>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ED62">
            <w:pPr>
              <w:jc w:val="center"/>
              <w:rPr>
                <w:rFonts w:hint="eastAsia" w:ascii="宋体" w:hAnsi="宋体" w:eastAsia="宋体" w:cs="宋体"/>
                <w:i w:val="0"/>
                <w:iCs w:val="0"/>
                <w:color w:val="000000"/>
                <w:sz w:val="24"/>
                <w:szCs w:val="24"/>
                <w:u w:val="none"/>
              </w:rPr>
            </w:pPr>
          </w:p>
        </w:tc>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52EE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国家石油天然气管网集团有限公司华南分公司基础报告外增加一处交叉</w:t>
            </w:r>
          </w:p>
        </w:tc>
      </w:tr>
      <w:tr w14:paraId="4E58F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A3E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CE8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每增加一处并行</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AD4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1处</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FA55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50000</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F3F6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50000</w:t>
            </w:r>
          </w:p>
        </w:tc>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EAA31">
            <w:pPr>
              <w:jc w:val="center"/>
              <w:rPr>
                <w:rFonts w:hint="eastAsia" w:ascii="宋体" w:hAnsi="宋体" w:eastAsia="宋体" w:cs="宋体"/>
                <w:i w:val="0"/>
                <w:iCs w:val="0"/>
                <w:color w:val="000000"/>
                <w:sz w:val="24"/>
                <w:szCs w:val="24"/>
                <w:u w:val="singl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7DA5A">
            <w:pPr>
              <w:jc w:val="center"/>
              <w:rPr>
                <w:rFonts w:hint="eastAsia" w:ascii="宋体" w:hAnsi="宋体" w:eastAsia="宋体" w:cs="宋体"/>
                <w:i w:val="0"/>
                <w:iCs w:val="0"/>
                <w:color w:val="000000"/>
                <w:sz w:val="24"/>
                <w:szCs w:val="24"/>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BBBDA">
            <w:pPr>
              <w:jc w:val="center"/>
              <w:rPr>
                <w:rFonts w:hint="eastAsia" w:ascii="宋体" w:hAnsi="宋体" w:eastAsia="宋体" w:cs="宋体"/>
                <w:i w:val="0"/>
                <w:iCs w:val="0"/>
                <w:color w:val="000000"/>
                <w:sz w:val="24"/>
                <w:szCs w:val="24"/>
                <w:u w:val="none"/>
              </w:rPr>
            </w:pPr>
          </w:p>
        </w:tc>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DB8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中海广东天然汽有限责任公司外增加一处并行</w:t>
            </w:r>
          </w:p>
        </w:tc>
      </w:tr>
      <w:tr w14:paraId="3B7A2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DC16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合计（小写）：</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3A0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639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BE31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610000</w:t>
            </w:r>
          </w:p>
        </w:tc>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8B61B">
            <w:pPr>
              <w:jc w:val="center"/>
              <w:rPr>
                <w:rFonts w:hint="eastAsia" w:ascii="宋体" w:hAnsi="宋体" w:eastAsia="宋体" w:cs="宋体"/>
                <w:i w:val="0"/>
                <w:iCs w:val="0"/>
                <w:color w:val="000000"/>
                <w:sz w:val="24"/>
                <w:szCs w:val="24"/>
                <w:u w:val="singl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A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C7344">
            <w:pPr>
              <w:jc w:val="both"/>
              <w:rPr>
                <w:rFonts w:hint="eastAsia" w:ascii="宋体" w:hAnsi="宋体" w:eastAsia="宋体" w:cs="宋体"/>
                <w:i w:val="0"/>
                <w:iCs w:val="0"/>
                <w:color w:val="000000"/>
                <w:sz w:val="24"/>
                <w:szCs w:val="24"/>
                <w:u w:val="none"/>
              </w:rPr>
            </w:pPr>
          </w:p>
        </w:tc>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CBFAC">
            <w:pPr>
              <w:rPr>
                <w:rFonts w:hint="eastAsia" w:ascii="宋体" w:hAnsi="宋体" w:eastAsia="宋体" w:cs="宋体"/>
                <w:i w:val="0"/>
                <w:iCs w:val="0"/>
                <w:color w:val="000000"/>
                <w:sz w:val="24"/>
                <w:szCs w:val="24"/>
                <w:u w:val="none"/>
              </w:rPr>
            </w:pPr>
          </w:p>
        </w:tc>
      </w:tr>
    </w:tbl>
    <w:p w14:paraId="3E9FA307"/>
    <w:p w14:paraId="3C45D96E">
      <w:pPr>
        <w:pStyle w:val="7"/>
        <w:ind w:firstLine="240" w:firstLineChars="100"/>
        <w:rPr>
          <w:rFonts w:ascii="宋体" w:hAnsi="宋体" w:cs="宋体"/>
          <w:sz w:val="24"/>
          <w:szCs w:val="24"/>
        </w:rPr>
      </w:pPr>
      <w:r>
        <w:rPr>
          <w:rFonts w:hint="eastAsia" w:ascii="宋体" w:hAnsi="宋体" w:cs="宋体"/>
          <w:sz w:val="24"/>
          <w:szCs w:val="24"/>
        </w:rPr>
        <w:t>报价要求：</w:t>
      </w:r>
    </w:p>
    <w:p w14:paraId="6C96384E">
      <w:pPr>
        <w:pStyle w:val="8"/>
        <w:numPr>
          <w:ilvl w:val="0"/>
          <w:numId w:val="3"/>
        </w:numPr>
        <w:jc w:val="left"/>
        <w:rPr>
          <w:rFonts w:hint="eastAsia" w:ascii="宋体" w:hAnsi="宋体" w:eastAsia="宋体" w:cs="宋体"/>
          <w:color w:val="auto"/>
          <w:kern w:val="2"/>
          <w:sz w:val="24"/>
          <w:szCs w:val="24"/>
          <w:u w:val="single"/>
          <w:lang w:val="en-US" w:eastAsia="zh-CN"/>
        </w:rPr>
      </w:pPr>
      <w:r>
        <w:rPr>
          <w:rFonts w:hint="eastAsia" w:ascii="宋体" w:hAnsi="宋体" w:eastAsia="宋体" w:cs="宋体"/>
          <w:color w:val="auto"/>
          <w:kern w:val="2"/>
          <w:sz w:val="24"/>
          <w:szCs w:val="24"/>
          <w:u w:val="single"/>
        </w:rPr>
        <w:t>按固定金额报价，同时填报投标下浮率。投标下浮率＝[1－(投标报价/最高投标限价）×100%</w:t>
      </w:r>
      <w:r>
        <w:rPr>
          <w:rFonts w:hint="eastAsia" w:ascii="宋体" w:hAnsi="宋体" w:eastAsia="宋体" w:cs="宋体"/>
          <w:color w:val="auto"/>
          <w:kern w:val="2"/>
          <w:sz w:val="24"/>
          <w:szCs w:val="24"/>
          <w:u w:val="single"/>
          <w:lang w:val="en-US" w:eastAsia="zh-CN"/>
        </w:rPr>
        <w:t>]</w:t>
      </w:r>
      <w:r>
        <w:rPr>
          <w:rFonts w:hint="eastAsia" w:ascii="宋体" w:hAnsi="宋体" w:eastAsia="宋体" w:cs="宋体"/>
          <w:color w:val="auto"/>
          <w:kern w:val="2"/>
          <w:sz w:val="24"/>
          <w:szCs w:val="24"/>
          <w:u w:val="single"/>
        </w:rPr>
        <w:t>（保留两位小数，如：8.88%）。当投标报价金额与投标下浮率计算结果不一致时，以投标</w:t>
      </w:r>
      <w:r>
        <w:rPr>
          <w:rFonts w:hint="eastAsia" w:ascii="宋体" w:hAnsi="宋体" w:eastAsia="宋体" w:cs="宋体"/>
          <w:color w:val="auto"/>
          <w:kern w:val="2"/>
          <w:sz w:val="24"/>
          <w:szCs w:val="24"/>
          <w:u w:val="single"/>
          <w:lang w:eastAsia="zh-CN"/>
        </w:rPr>
        <w:t>下浮率</w:t>
      </w:r>
      <w:r>
        <w:rPr>
          <w:rFonts w:hint="eastAsia" w:ascii="宋体" w:hAnsi="宋体" w:eastAsia="宋体" w:cs="宋体"/>
          <w:color w:val="auto"/>
          <w:kern w:val="2"/>
          <w:sz w:val="24"/>
          <w:szCs w:val="24"/>
          <w:u w:val="single"/>
        </w:rPr>
        <w:t>为准，按公式修正投标</w:t>
      </w:r>
      <w:r>
        <w:rPr>
          <w:rFonts w:hint="eastAsia" w:ascii="宋体" w:hAnsi="宋体" w:eastAsia="宋体" w:cs="宋体"/>
          <w:color w:val="auto"/>
          <w:kern w:val="2"/>
          <w:sz w:val="24"/>
          <w:szCs w:val="24"/>
          <w:u w:val="single"/>
          <w:lang w:eastAsia="zh-CN"/>
        </w:rPr>
        <w:t>金额</w:t>
      </w:r>
      <w:r>
        <w:rPr>
          <w:rFonts w:hint="eastAsia" w:ascii="宋体" w:hAnsi="宋体" w:eastAsia="宋体" w:cs="宋体"/>
          <w:color w:val="auto"/>
          <w:kern w:val="2"/>
          <w:sz w:val="24"/>
          <w:szCs w:val="24"/>
          <w:u w:val="single"/>
        </w:rPr>
        <w:t>。</w:t>
      </w:r>
    </w:p>
    <w:p w14:paraId="46FF0E0F">
      <w:pPr>
        <w:pStyle w:val="8"/>
        <w:numPr>
          <w:ilvl w:val="0"/>
          <w:numId w:val="3"/>
        </w:numPr>
        <w:jc w:val="left"/>
        <w:rPr>
          <w:rFonts w:hint="eastAsia" w:ascii="宋体" w:hAnsi="宋体" w:eastAsia="宋体" w:cs="宋体"/>
          <w:color w:val="auto"/>
          <w:kern w:val="2"/>
          <w:sz w:val="24"/>
          <w:szCs w:val="24"/>
          <w:u w:val="single"/>
        </w:rPr>
      </w:pPr>
      <w:r>
        <w:rPr>
          <w:rFonts w:hint="eastAsia" w:ascii="宋体" w:hAnsi="宋体" w:eastAsia="宋体" w:cs="宋体"/>
          <w:color w:val="auto"/>
          <w:kern w:val="2"/>
          <w:sz w:val="24"/>
          <w:szCs w:val="24"/>
          <w:u w:val="single"/>
        </w:rPr>
        <w:t>报价低于最高限价85%的需提供成本分析报告（成本分析报告需充分说明单价和费用的组成、降低成本的合理措施及在其他项目中应用过的经验，未提供成本分析报告视为原则性不响应采购文件要求)。</w:t>
      </w:r>
    </w:p>
    <w:p w14:paraId="733AB258">
      <w:pPr>
        <w:pStyle w:val="4"/>
        <w:spacing w:line="360" w:lineRule="auto"/>
        <w:rPr>
          <w:rFonts w:asciiTheme="minorEastAsia" w:hAnsiTheme="minorEastAsia" w:eastAsiaTheme="minorEastAsia" w:cstheme="minorEastAsia"/>
          <w:bCs/>
          <w:i w:val="0"/>
          <w:color w:val="auto"/>
          <w:sz w:val="24"/>
          <w:szCs w:val="24"/>
        </w:rPr>
      </w:pPr>
      <w:r>
        <w:rPr>
          <w:rFonts w:hint="eastAsia" w:asciiTheme="minorEastAsia" w:hAnsiTheme="minorEastAsia" w:eastAsiaTheme="minorEastAsia" w:cstheme="minorEastAsia"/>
          <w:bCs/>
          <w:i w:val="0"/>
          <w:color w:val="auto"/>
          <w:sz w:val="24"/>
          <w:szCs w:val="24"/>
        </w:rPr>
        <w:t>四、结算方式</w:t>
      </w:r>
    </w:p>
    <w:p w14:paraId="1D6F9DEC">
      <w:pPr>
        <w:pStyle w:val="8"/>
        <w:ind w:firstLine="482" w:firstLineChars="2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rPr>
        <w:t xml:space="preserve"> 本合同价</w:t>
      </w:r>
      <w:r>
        <w:rPr>
          <w:rFonts w:hint="eastAsia" w:ascii="宋体" w:hAnsi="宋体" w:eastAsia="宋体" w:cs="宋体"/>
          <w:color w:val="auto"/>
          <w:kern w:val="2"/>
          <w:sz w:val="24"/>
          <w:szCs w:val="24"/>
          <w:highlight w:val="none"/>
          <w:u w:val="single"/>
          <w:lang w:val="en-US" w:eastAsia="zh-CN"/>
        </w:rPr>
        <w:t>采取单价包干</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结算时，按照造价咨询单位审定结算价作为最终合同结算金额</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（最终结算金额</w:t>
      </w:r>
      <w:r>
        <w:rPr>
          <w:rFonts w:hint="eastAsia" w:ascii="宋体" w:hAnsi="宋体" w:eastAsia="宋体" w:cs="宋体"/>
          <w:color w:val="auto"/>
          <w:kern w:val="2"/>
          <w:sz w:val="24"/>
          <w:szCs w:val="24"/>
          <w:highlight w:val="none"/>
          <w:u w:val="single"/>
          <w:lang w:val="en-US" w:eastAsia="zh-CN"/>
        </w:rPr>
        <w:t>=</w:t>
      </w:r>
      <w:r>
        <w:rPr>
          <w:rFonts w:hint="eastAsia" w:ascii="仿宋" w:hAnsi="仿宋" w:eastAsia="仿宋" w:cs="仿宋"/>
          <w:color w:val="auto"/>
          <w:kern w:val="2"/>
          <w:sz w:val="24"/>
          <w:szCs w:val="24"/>
          <w:highlight w:val="none"/>
          <w:u w:val="single"/>
          <w:lang w:val="en-US" w:eastAsia="zh-CN"/>
        </w:rPr>
        <w:t>∑</w:t>
      </w:r>
      <w:r>
        <w:rPr>
          <w:rFonts w:hint="eastAsia" w:ascii="宋体" w:hAnsi="宋体" w:eastAsia="宋体" w:cs="宋体"/>
          <w:color w:val="auto"/>
          <w:kern w:val="2"/>
          <w:sz w:val="24"/>
          <w:szCs w:val="24"/>
          <w:highlight w:val="none"/>
          <w:u w:val="single"/>
          <w:lang w:val="en-US" w:eastAsia="zh-CN"/>
        </w:rPr>
        <w:t>（中标单价*建设单位确认实际发生工程量）），一家天然气油管产权单位原则上产出一份安全评估报告，若一份报告中额外增加交叉或并行则按照单价增加相应费用。如两个或以上产权单位合在一份报告的，则按照总价的50%来核算。</w:t>
      </w:r>
      <w:r>
        <w:rPr>
          <w:rFonts w:hint="eastAsia" w:ascii="宋体" w:hAnsi="宋体" w:eastAsia="宋体" w:cs="宋体"/>
          <w:color w:val="auto"/>
          <w:kern w:val="2"/>
          <w:sz w:val="24"/>
          <w:szCs w:val="24"/>
          <w:highlight w:val="none"/>
          <w:u w:val="single"/>
        </w:rPr>
        <w:t>除合同约定可调整的情况外，</w:t>
      </w:r>
      <w:r>
        <w:rPr>
          <w:rFonts w:hint="eastAsia" w:ascii="宋体" w:hAnsi="宋体" w:eastAsia="宋体" w:cs="宋体"/>
          <w:color w:val="auto"/>
          <w:kern w:val="2"/>
          <w:sz w:val="24"/>
          <w:szCs w:val="24"/>
          <w:highlight w:val="none"/>
          <w:u w:val="single"/>
          <w:lang w:eastAsia="zh-CN"/>
        </w:rPr>
        <w:t>单价</w:t>
      </w:r>
      <w:r>
        <w:rPr>
          <w:rFonts w:hint="eastAsia" w:ascii="宋体" w:hAnsi="宋体" w:eastAsia="宋体" w:cs="宋体"/>
          <w:color w:val="auto"/>
          <w:kern w:val="2"/>
          <w:sz w:val="24"/>
          <w:szCs w:val="24"/>
          <w:highlight w:val="none"/>
          <w:u w:val="single"/>
        </w:rPr>
        <w:t>不予调整，</w:t>
      </w:r>
      <w:r>
        <w:rPr>
          <w:rFonts w:hint="eastAsia" w:ascii="宋体" w:hAnsi="宋体" w:eastAsia="宋体" w:cs="宋体"/>
          <w:color w:val="auto"/>
          <w:kern w:val="2"/>
          <w:sz w:val="24"/>
          <w:szCs w:val="24"/>
          <w:highlight w:val="none"/>
          <w:u w:val="single"/>
          <w:lang w:eastAsia="zh-CN"/>
        </w:rPr>
        <w:t>单价中已包含税金、管理费、风险等费用。</w:t>
      </w:r>
    </w:p>
    <w:p w14:paraId="1E5AF134">
      <w:pPr>
        <w:spacing w:before="156" w:beforeLines="50" w:after="156" w:afterLines="50" w:line="480" w:lineRule="auto"/>
        <w:rPr>
          <w:rFonts w:asciiTheme="minorEastAsia" w:hAnsiTheme="minorEastAsia" w:eastAsiaTheme="minorEastAsia" w:cstheme="minorEastAsia"/>
          <w:b/>
          <w:bCs/>
          <w:iCs/>
          <w:sz w:val="24"/>
          <w:szCs w:val="24"/>
        </w:rPr>
      </w:pPr>
      <w:r>
        <w:rPr>
          <w:rFonts w:hint="eastAsia" w:asciiTheme="minorEastAsia" w:hAnsiTheme="minorEastAsia" w:eastAsiaTheme="minorEastAsia" w:cstheme="minorEastAsia"/>
          <w:b/>
          <w:bCs/>
          <w:sz w:val="24"/>
          <w:szCs w:val="24"/>
        </w:rPr>
        <w:t>五、分包要求</w:t>
      </w:r>
    </w:p>
    <w:p w14:paraId="4A2D5F79">
      <w:pPr>
        <w:pStyle w:val="13"/>
        <w:spacing w:before="156" w:after="156"/>
        <w:ind w:firstLine="0" w:firstLineChars="0"/>
      </w:pPr>
      <w:r>
        <w:rPr>
          <w:rFonts w:ascii="Wingdings" w:hAnsi="Wingdings" w:cs="Wingdings"/>
        </w:rPr>
        <w:sym w:font="Wingdings" w:char="00FE"/>
      </w:r>
      <w:r>
        <w:rPr>
          <w:rFonts w:hint="eastAsia"/>
        </w:rPr>
        <w:t>不允许分包</w:t>
      </w:r>
    </w:p>
    <w:p w14:paraId="1D4AFBA0">
      <w:pPr>
        <w:pStyle w:val="13"/>
        <w:spacing w:before="156" w:after="156"/>
        <w:ind w:firstLine="0" w:firstLineChars="0"/>
      </w:pPr>
      <w:r>
        <w:rPr>
          <w:rFonts w:ascii="Wingdings" w:hAnsi="Wingdings" w:cs="Wingdings"/>
        </w:rPr>
        <w:sym w:font="Wingdings" w:char="00A8"/>
      </w:r>
      <w:r>
        <w:rPr>
          <w:rFonts w:hint="eastAsia"/>
        </w:rPr>
        <w:t>允许分包，但必须符合以下要求：</w:t>
      </w:r>
    </w:p>
    <w:p w14:paraId="2CF6EECD">
      <w:pPr>
        <w:spacing w:before="156" w:beforeLines="50" w:after="156" w:afterLines="50" w:line="480" w:lineRule="auto"/>
        <w:rPr>
          <w:rFonts w:ascii="Wingdings" w:hAnsi="Wingdings" w:cs="Wingdings" w:eastAsiaTheme="minorEastAsia"/>
          <w:b/>
          <w:bCs/>
          <w:iCs/>
          <w:sz w:val="24"/>
          <w:szCs w:val="24"/>
          <w:u w:val="single"/>
        </w:rPr>
      </w:pPr>
      <w:r>
        <w:rPr>
          <w:rFonts w:ascii="Wingdings" w:hAnsi="Wingdings" w:cs="Wingdings" w:eastAsiaTheme="minorEastAsia"/>
          <w:b/>
          <w:bCs/>
          <w:iCs/>
          <w:sz w:val="24"/>
          <w:szCs w:val="24"/>
          <w:u w:val="single"/>
        </w:rPr>
        <w:t></w:t>
      </w:r>
    </w:p>
    <w:p w14:paraId="3FB794E6">
      <w:pPr>
        <w:rPr>
          <w:rFonts w:ascii="宋体" w:hAnsi="宋体" w:cs="宋体"/>
          <w:sz w:val="24"/>
          <w:szCs w:val="24"/>
          <w:u w:val="single"/>
        </w:rPr>
      </w:pPr>
    </w:p>
    <w:p w14:paraId="6424500C">
      <w:pPr>
        <w:pStyle w:val="2"/>
        <w:numPr>
          <w:ilvl w:val="0"/>
          <w:numId w:val="4"/>
        </w:numPr>
        <w:spacing w:line="360" w:lineRule="auto"/>
        <w:jc w:val="left"/>
        <w:rPr>
          <w:rFonts w:asciiTheme="minorEastAsia" w:hAnsiTheme="minorEastAsia" w:eastAsiaTheme="minorEastAsia" w:cstheme="minorEastAsia"/>
          <w:b/>
          <w:bCs/>
          <w:snapToGrid w:val="0"/>
          <w:sz w:val="28"/>
          <w:szCs w:val="28"/>
        </w:rPr>
      </w:pPr>
      <w:r>
        <w:rPr>
          <w:rFonts w:hint="eastAsia" w:asciiTheme="minorEastAsia" w:hAnsiTheme="minorEastAsia" w:eastAsiaTheme="minorEastAsia" w:cstheme="minorEastAsia"/>
          <w:b/>
          <w:bCs/>
          <w:snapToGrid w:val="0"/>
          <w:sz w:val="28"/>
          <w:szCs w:val="28"/>
        </w:rPr>
        <w:t>技术标准、要求及图纸（对应招标文件 第五章）</w:t>
      </w:r>
    </w:p>
    <w:p w14:paraId="1B3AC371">
      <w:pPr>
        <w:pStyle w:val="4"/>
        <w:rPr>
          <w:rFonts w:asciiTheme="minorEastAsia" w:hAnsiTheme="minorEastAsia" w:eastAsiaTheme="minorEastAsia" w:cstheme="minorEastAsia"/>
          <w:i w:val="0"/>
          <w:iCs/>
          <w:color w:val="auto"/>
          <w:sz w:val="24"/>
          <w:szCs w:val="24"/>
        </w:rPr>
      </w:pPr>
      <w:r>
        <w:rPr>
          <w:rFonts w:hint="eastAsia" w:asciiTheme="minorEastAsia" w:hAnsiTheme="minorEastAsia" w:eastAsiaTheme="minorEastAsia" w:cstheme="minorEastAsia"/>
          <w:i w:val="0"/>
          <w:iCs/>
          <w:color w:val="auto"/>
          <w:sz w:val="24"/>
          <w:szCs w:val="24"/>
        </w:rPr>
        <w:t>一、技术及管理要求</w:t>
      </w:r>
    </w:p>
    <w:p w14:paraId="7766BABE">
      <w:pPr>
        <w:autoSpaceDE w:val="0"/>
        <w:autoSpaceDN w:val="0"/>
        <w:adjustRightInd w:val="0"/>
        <w:rPr>
          <w:rFonts w:ascii="宋体" w:hAnsi="宋体" w:cs="宋体"/>
          <w:sz w:val="24"/>
          <w:szCs w:val="24"/>
          <w:u w:val="single"/>
        </w:rPr>
      </w:pPr>
      <w:r>
        <w:rPr>
          <w:rFonts w:hint="eastAsia" w:asciiTheme="minorEastAsia" w:hAnsiTheme="minorEastAsia" w:eastAsiaTheme="minorEastAsia" w:cstheme="minorEastAsia"/>
          <w:iCs/>
          <w:kern w:val="0"/>
          <w:sz w:val="24"/>
          <w:szCs w:val="24"/>
          <w:lang w:val="zh-CN"/>
        </w:rPr>
        <w:t>（一）满足南方电网公司基建管理制度、建设单位的质量、环境和职业健康安全管理体系文件、其他有关制度和规定。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82B02"/>
    <w:multiLevelType w:val="singleLevel"/>
    <w:tmpl w:val="8FC82B02"/>
    <w:lvl w:ilvl="0" w:tentative="0">
      <w:start w:val="1"/>
      <w:numFmt w:val="decimal"/>
      <w:lvlText w:val="%1."/>
      <w:lvlJc w:val="left"/>
      <w:pPr>
        <w:tabs>
          <w:tab w:val="left" w:pos="312"/>
        </w:tabs>
      </w:pPr>
    </w:lvl>
  </w:abstractNum>
  <w:abstractNum w:abstractNumId="1">
    <w:nsid w:val="EA6993E1"/>
    <w:multiLevelType w:val="singleLevel"/>
    <w:tmpl w:val="EA6993E1"/>
    <w:lvl w:ilvl="0" w:tentative="0">
      <w:start w:val="3"/>
      <w:numFmt w:val="chineseCounting"/>
      <w:suff w:val="nothing"/>
      <w:lvlText w:val="%1、"/>
      <w:lvlJc w:val="left"/>
      <w:rPr>
        <w:rFonts w:hint="eastAsia"/>
      </w:rPr>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F737D8"/>
    <w:rsid w:val="000378CF"/>
    <w:rsid w:val="000A658A"/>
    <w:rsid w:val="001270A5"/>
    <w:rsid w:val="003C170C"/>
    <w:rsid w:val="005F6846"/>
    <w:rsid w:val="007A4AD7"/>
    <w:rsid w:val="008A1F4C"/>
    <w:rsid w:val="00BB6C3B"/>
    <w:rsid w:val="00C101DC"/>
    <w:rsid w:val="00C32EBC"/>
    <w:rsid w:val="00C52298"/>
    <w:rsid w:val="00CC5AE8"/>
    <w:rsid w:val="00F44E7B"/>
    <w:rsid w:val="00F759CA"/>
    <w:rsid w:val="00FE4059"/>
    <w:rsid w:val="04A24F71"/>
    <w:rsid w:val="076F3B3B"/>
    <w:rsid w:val="07CA37DF"/>
    <w:rsid w:val="0AB27D83"/>
    <w:rsid w:val="0B4A6210"/>
    <w:rsid w:val="0B6777FD"/>
    <w:rsid w:val="0BC07002"/>
    <w:rsid w:val="0D50678C"/>
    <w:rsid w:val="0D9A7878"/>
    <w:rsid w:val="0E2F4C02"/>
    <w:rsid w:val="0E3616E0"/>
    <w:rsid w:val="0E394169"/>
    <w:rsid w:val="0F81532F"/>
    <w:rsid w:val="107144D2"/>
    <w:rsid w:val="116419AD"/>
    <w:rsid w:val="11DF6CFE"/>
    <w:rsid w:val="13383335"/>
    <w:rsid w:val="13CF27F0"/>
    <w:rsid w:val="14440D4B"/>
    <w:rsid w:val="14781EB9"/>
    <w:rsid w:val="14B666F3"/>
    <w:rsid w:val="15056A61"/>
    <w:rsid w:val="170F1478"/>
    <w:rsid w:val="17722603"/>
    <w:rsid w:val="18E57496"/>
    <w:rsid w:val="1A36428D"/>
    <w:rsid w:val="1A386933"/>
    <w:rsid w:val="1A4F176B"/>
    <w:rsid w:val="1A926B55"/>
    <w:rsid w:val="1B663F82"/>
    <w:rsid w:val="1BEB5FE0"/>
    <w:rsid w:val="1C2D4629"/>
    <w:rsid w:val="1C43636C"/>
    <w:rsid w:val="1C8618B6"/>
    <w:rsid w:val="1D904223"/>
    <w:rsid w:val="1F653C49"/>
    <w:rsid w:val="1FF914D4"/>
    <w:rsid w:val="20735046"/>
    <w:rsid w:val="21035D38"/>
    <w:rsid w:val="216F4D5B"/>
    <w:rsid w:val="21C11DC8"/>
    <w:rsid w:val="22105252"/>
    <w:rsid w:val="224927CC"/>
    <w:rsid w:val="23613DD0"/>
    <w:rsid w:val="23B738BA"/>
    <w:rsid w:val="24E67795"/>
    <w:rsid w:val="24F737D8"/>
    <w:rsid w:val="2525523D"/>
    <w:rsid w:val="25521AB5"/>
    <w:rsid w:val="26EB3B6A"/>
    <w:rsid w:val="291D5E51"/>
    <w:rsid w:val="298E792B"/>
    <w:rsid w:val="2BE07E0A"/>
    <w:rsid w:val="2CA17C08"/>
    <w:rsid w:val="2DDF66E3"/>
    <w:rsid w:val="2E3564EE"/>
    <w:rsid w:val="2F471247"/>
    <w:rsid w:val="2FF65FF8"/>
    <w:rsid w:val="300D195C"/>
    <w:rsid w:val="30BF37B5"/>
    <w:rsid w:val="313B0851"/>
    <w:rsid w:val="31A1649A"/>
    <w:rsid w:val="31C955A9"/>
    <w:rsid w:val="32432DBE"/>
    <w:rsid w:val="33B200AF"/>
    <w:rsid w:val="33C75702"/>
    <w:rsid w:val="33E61BE2"/>
    <w:rsid w:val="361736AD"/>
    <w:rsid w:val="36D200CF"/>
    <w:rsid w:val="379951F8"/>
    <w:rsid w:val="38382DC3"/>
    <w:rsid w:val="38C95067"/>
    <w:rsid w:val="38DE045C"/>
    <w:rsid w:val="3987396D"/>
    <w:rsid w:val="3B0F6973"/>
    <w:rsid w:val="3B595AEE"/>
    <w:rsid w:val="3BF24D81"/>
    <w:rsid w:val="3BFE7BEA"/>
    <w:rsid w:val="3C4750A3"/>
    <w:rsid w:val="3C4A35F1"/>
    <w:rsid w:val="420455E6"/>
    <w:rsid w:val="42E73C50"/>
    <w:rsid w:val="42FA73ED"/>
    <w:rsid w:val="44982260"/>
    <w:rsid w:val="44D414C9"/>
    <w:rsid w:val="46472D5E"/>
    <w:rsid w:val="467A4AAB"/>
    <w:rsid w:val="485D3F87"/>
    <w:rsid w:val="496A657E"/>
    <w:rsid w:val="49843C09"/>
    <w:rsid w:val="4B3A1BDA"/>
    <w:rsid w:val="4BF83760"/>
    <w:rsid w:val="4C5B4768"/>
    <w:rsid w:val="4C8349B8"/>
    <w:rsid w:val="4EEA6A00"/>
    <w:rsid w:val="504766FD"/>
    <w:rsid w:val="52E852EC"/>
    <w:rsid w:val="552A0C96"/>
    <w:rsid w:val="55BB16B6"/>
    <w:rsid w:val="55C3156A"/>
    <w:rsid w:val="55FE08EB"/>
    <w:rsid w:val="560A4CB8"/>
    <w:rsid w:val="577F210C"/>
    <w:rsid w:val="5782183A"/>
    <w:rsid w:val="57BD355E"/>
    <w:rsid w:val="58D21C48"/>
    <w:rsid w:val="594B3AFE"/>
    <w:rsid w:val="5B0320E2"/>
    <w:rsid w:val="5B8B11A7"/>
    <w:rsid w:val="5B9E2EC4"/>
    <w:rsid w:val="5BBF0EC2"/>
    <w:rsid w:val="5BCD08F5"/>
    <w:rsid w:val="5CD10D7E"/>
    <w:rsid w:val="5EF41BAB"/>
    <w:rsid w:val="60002310"/>
    <w:rsid w:val="608606DE"/>
    <w:rsid w:val="610E324A"/>
    <w:rsid w:val="61F31EFD"/>
    <w:rsid w:val="623F04E7"/>
    <w:rsid w:val="62777CAD"/>
    <w:rsid w:val="63066BC7"/>
    <w:rsid w:val="63B36E9D"/>
    <w:rsid w:val="63D0487B"/>
    <w:rsid w:val="63E547BF"/>
    <w:rsid w:val="641033CC"/>
    <w:rsid w:val="64672037"/>
    <w:rsid w:val="648D1477"/>
    <w:rsid w:val="64911DA0"/>
    <w:rsid w:val="6498033F"/>
    <w:rsid w:val="652E1C0D"/>
    <w:rsid w:val="65945D8D"/>
    <w:rsid w:val="66C35559"/>
    <w:rsid w:val="67727157"/>
    <w:rsid w:val="67821047"/>
    <w:rsid w:val="67846F1C"/>
    <w:rsid w:val="67D57489"/>
    <w:rsid w:val="68570F93"/>
    <w:rsid w:val="68CA04BF"/>
    <w:rsid w:val="6A287B5E"/>
    <w:rsid w:val="6A736F31"/>
    <w:rsid w:val="6B303A1A"/>
    <w:rsid w:val="6BD66B78"/>
    <w:rsid w:val="6C704794"/>
    <w:rsid w:val="6CDF11F4"/>
    <w:rsid w:val="6DAA2FDF"/>
    <w:rsid w:val="6DF95579"/>
    <w:rsid w:val="6E121228"/>
    <w:rsid w:val="6F8447F5"/>
    <w:rsid w:val="70D1495F"/>
    <w:rsid w:val="70ED510D"/>
    <w:rsid w:val="712F63C0"/>
    <w:rsid w:val="72717CD1"/>
    <w:rsid w:val="73102557"/>
    <w:rsid w:val="743E1546"/>
    <w:rsid w:val="74614F7E"/>
    <w:rsid w:val="74695E39"/>
    <w:rsid w:val="7470321B"/>
    <w:rsid w:val="754C6F3B"/>
    <w:rsid w:val="75B11AFF"/>
    <w:rsid w:val="75D32619"/>
    <w:rsid w:val="76307412"/>
    <w:rsid w:val="768D126A"/>
    <w:rsid w:val="76F00AAF"/>
    <w:rsid w:val="78027C8F"/>
    <w:rsid w:val="780B6A75"/>
    <w:rsid w:val="79DE1A15"/>
    <w:rsid w:val="79F83E18"/>
    <w:rsid w:val="7A727AC5"/>
    <w:rsid w:val="7B3B3264"/>
    <w:rsid w:val="7B902004"/>
    <w:rsid w:val="7C9A06C5"/>
    <w:rsid w:val="7CDA3409"/>
    <w:rsid w:val="7CED7DC5"/>
    <w:rsid w:val="7D0F76D8"/>
    <w:rsid w:val="7DDD591F"/>
    <w:rsid w:val="7E3420E0"/>
    <w:rsid w:val="7F1B3618"/>
    <w:rsid w:val="7F5524E5"/>
    <w:rsid w:val="7F6C7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0"/>
    </w:r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spacing w:after="120"/>
    </w:p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alloon Text"/>
    <w:basedOn w:val="1"/>
    <w:link w:val="21"/>
    <w:qFormat/>
    <w:uiPriority w:val="0"/>
    <w:rPr>
      <w:sz w:val="18"/>
      <w:szCs w:val="18"/>
    </w:rPr>
  </w:style>
  <w:style w:type="paragraph" w:styleId="11">
    <w:name w:val="footer"/>
    <w:basedOn w:val="1"/>
    <w:link w:val="23"/>
    <w:qFormat/>
    <w:uiPriority w:val="0"/>
    <w:pPr>
      <w:tabs>
        <w:tab w:val="center" w:pos="4153"/>
        <w:tab w:val="right" w:pos="8306"/>
      </w:tabs>
      <w:snapToGrid w:val="0"/>
      <w:jc w:val="left"/>
    </w:pPr>
    <w:rPr>
      <w:sz w:val="18"/>
      <w:szCs w:val="18"/>
    </w:rPr>
  </w:style>
  <w:style w:type="paragraph" w:styleId="12">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First Indent"/>
    <w:basedOn w:val="7"/>
    <w:qFormat/>
    <w:uiPriority w:val="0"/>
    <w:pPr>
      <w:spacing w:beforeLines="50" w:afterLines="50" w:line="360" w:lineRule="auto"/>
      <w:ind w:firstLine="200" w:firstLineChars="200"/>
    </w:pPr>
    <w:rPr>
      <w:rFonts w:ascii="Times New Roman" w:hAnsi="Times New Roman"/>
      <w:sz w:val="24"/>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正文首行缩进1"/>
    <w:basedOn w:val="1"/>
    <w:qFormat/>
    <w:uiPriority w:val="0"/>
    <w:pPr>
      <w:spacing w:line="360" w:lineRule="auto"/>
      <w:ind w:firstLine="200" w:firstLineChars="200"/>
    </w:pPr>
    <w:rPr>
      <w:sz w:val="24"/>
      <w:szCs w:val="24"/>
    </w:rPr>
  </w:style>
  <w:style w:type="character" w:customStyle="1" w:styleId="20">
    <w:name w:val="font11"/>
    <w:basedOn w:val="16"/>
    <w:qFormat/>
    <w:uiPriority w:val="0"/>
    <w:rPr>
      <w:rFonts w:hint="eastAsia" w:ascii="宋体" w:hAnsi="宋体" w:eastAsia="宋体" w:cs="宋体"/>
      <w:color w:val="000000"/>
      <w:sz w:val="22"/>
      <w:szCs w:val="22"/>
      <w:u w:val="none"/>
    </w:rPr>
  </w:style>
  <w:style w:type="character" w:customStyle="1" w:styleId="21">
    <w:name w:val="批注框文本 字符"/>
    <w:basedOn w:val="16"/>
    <w:link w:val="10"/>
    <w:qFormat/>
    <w:uiPriority w:val="0"/>
    <w:rPr>
      <w:rFonts w:ascii="Calibri" w:hAnsi="Calibri"/>
      <w:kern w:val="2"/>
      <w:sz w:val="18"/>
      <w:szCs w:val="18"/>
    </w:rPr>
  </w:style>
  <w:style w:type="character" w:customStyle="1" w:styleId="22">
    <w:name w:val="页眉 字符"/>
    <w:basedOn w:val="16"/>
    <w:link w:val="12"/>
    <w:qFormat/>
    <w:uiPriority w:val="0"/>
    <w:rPr>
      <w:rFonts w:ascii="Calibri" w:hAnsi="Calibri"/>
      <w:kern w:val="2"/>
      <w:sz w:val="18"/>
      <w:szCs w:val="18"/>
    </w:rPr>
  </w:style>
  <w:style w:type="character" w:customStyle="1" w:styleId="23">
    <w:name w:val="页脚 字符"/>
    <w:basedOn w:val="16"/>
    <w:link w:val="11"/>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3</Pages>
  <Words>1403</Words>
  <Characters>1556</Characters>
  <Lines>17</Lines>
  <Paragraphs>4</Paragraphs>
  <TotalTime>2</TotalTime>
  <ScaleCrop>false</ScaleCrop>
  <LinksUpToDate>false</LinksUpToDate>
  <CharactersWithSpaces>1729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2024-03-08T03:21:00Z</dcterms:created>
  <dc:creator>maja</dc:creator>
  <cp:lastModifiedBy>马骏安</cp:lastModifiedBy>
  <cp:lastPrinted>2025-06-25T07:59:00Z</cp:lastPrinted>
  <dcterms:modified xsi:type="dcterms:W3CDTF">2025-06-27T07:03:30Z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D12658EDA3E84F3B864EF29EB4A4ADDA</vt:lpwstr>
  </property>
  <property fmtid="{D5CDD505-2E9C-101B-9397-08002B2CF9AE}" pid="4" name="KSOTemplateDocerSaveRecord">
    <vt:lpwstr>eyJoZGlkIjoiNGQxZGUyZmQ5MDU5MjhiNzUxNWY4N2Q0ZGU2Y2VhOTgiLCJ1c2VySWQiOiI3MDM5OTYzMzMifQ==</vt:lpwstr>
  </property>
</Properties>
</file>