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32A80">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标的4标包1.110千伏星汇输变电工程绿色建造技术及装配式技术咨询</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02905A69">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339755D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72BF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5423987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14:paraId="146E868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14:paraId="6072932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15F3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776" w:type="dxa"/>
            <w:noWrap w:val="0"/>
            <w:vAlign w:val="center"/>
          </w:tcPr>
          <w:p w14:paraId="34B3F20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0B28257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250" w:type="dxa"/>
            <w:noWrap w:val="0"/>
            <w:vAlign w:val="center"/>
          </w:tcPr>
          <w:p w14:paraId="2B5B1C9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bookmarkStart w:id="1" w:name="ywzh"/>
            <w:r>
              <w:rPr>
                <w:rFonts w:hint="eastAsia" w:ascii="宋体" w:hAnsi="宋体" w:eastAsia="宋体" w:cs="宋体"/>
                <w:sz w:val="24"/>
                <w:szCs w:val="24"/>
                <w:highlight w:val="none"/>
              </w:rPr>
              <w:t>广供电基〔202</w:t>
            </w:r>
            <w:r>
              <w:rPr>
                <w:rFonts w:hint="eastAsia" w:hAnsi="宋体" w:cs="宋体"/>
                <w:sz w:val="24"/>
                <w:szCs w:val="24"/>
                <w:highlight w:val="none"/>
                <w:lang w:val="en-US" w:eastAsia="zh-CN"/>
              </w:rPr>
              <w:t>4</w:t>
            </w:r>
            <w:r>
              <w:rPr>
                <w:rFonts w:hint="eastAsia" w:ascii="宋体" w:hAnsi="宋体" w:eastAsia="宋体" w:cs="宋体"/>
                <w:sz w:val="24"/>
                <w:szCs w:val="24"/>
                <w:highlight w:val="none"/>
              </w:rPr>
              <w:t>〕1</w:t>
            </w:r>
            <w:r>
              <w:rPr>
                <w:rFonts w:hint="eastAsia" w:hAnsi="宋体" w:cs="宋体"/>
                <w:sz w:val="24"/>
                <w:szCs w:val="24"/>
                <w:highlight w:val="none"/>
                <w:lang w:val="en-US" w:eastAsia="zh-CN"/>
              </w:rPr>
              <w:t>18</w:t>
            </w:r>
            <w:r>
              <w:rPr>
                <w:rFonts w:hint="eastAsia" w:ascii="宋体" w:hAnsi="宋体" w:eastAsia="宋体" w:cs="宋体"/>
                <w:sz w:val="24"/>
                <w:szCs w:val="24"/>
                <w:highlight w:val="none"/>
              </w:rPr>
              <w:t>号</w:t>
            </w:r>
            <w:bookmarkEnd w:id="1"/>
          </w:p>
        </w:tc>
      </w:tr>
      <w:tr w14:paraId="7EBC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exact"/>
          <w:jc w:val="center"/>
        </w:trPr>
        <w:tc>
          <w:tcPr>
            <w:tcW w:w="776" w:type="dxa"/>
            <w:noWrap w:val="0"/>
            <w:vAlign w:val="center"/>
          </w:tcPr>
          <w:p w14:paraId="4370CBE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21B0069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00B42F0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广供电资〔2025〕3号</w:t>
            </w:r>
          </w:p>
        </w:tc>
      </w:tr>
      <w:tr w14:paraId="1CC4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04BDCB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6B74E1C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0F69B10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17B0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BEDD87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F80607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191C274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广州市番禺区</w:t>
            </w:r>
          </w:p>
        </w:tc>
      </w:tr>
      <w:tr w14:paraId="47ED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exact"/>
          <w:jc w:val="center"/>
        </w:trPr>
        <w:tc>
          <w:tcPr>
            <w:tcW w:w="776" w:type="dxa"/>
            <w:noWrap w:val="0"/>
            <w:vAlign w:val="center"/>
          </w:tcPr>
          <w:p w14:paraId="03346BA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5D24DE1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14:paraId="4A7AAE9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宋体" w:hAnsi="宋体" w:eastAsia="宋体" w:cs="宋体"/>
                <w:bCs/>
                <w:color w:val="auto"/>
                <w:kern w:val="0"/>
                <w:sz w:val="21"/>
                <w:szCs w:val="21"/>
                <w:highlight w:val="none"/>
                <w:u w:val="no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合同签订之日起至2026年12月30日，实际服务期以委托函上载明的时间为准。</w:t>
            </w:r>
          </w:p>
        </w:tc>
      </w:tr>
    </w:tbl>
    <w:p w14:paraId="6D7EA33B">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19C294CA">
      <w:pPr>
        <w:keepNext w:val="0"/>
        <w:keepLines w:val="0"/>
        <w:pageBreakBefore w:val="0"/>
        <w:widowControl w:val="0"/>
        <w:kinsoku/>
        <w:wordWrap/>
        <w:overflowPunct/>
        <w:topLinePunct w:val="0"/>
        <w:bidi w:val="0"/>
        <w:snapToGrid/>
        <w:spacing w:before="157" w:beforeLines="50" w:after="157" w:afterLines="50" w:line="480" w:lineRule="auto"/>
        <w:ind w:firstLine="420" w:firstLineChars="0"/>
        <w:textAlignment w:val="auto"/>
        <w:rPr>
          <w:rFonts w:hint="eastAsia"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eastAsia" w:ascii="Times New Roman" w:hAnsi="Times New Roman" w:cs="Times New Roman" w:eastAsiaTheme="minorEastAsia"/>
          <w:b w:val="0"/>
          <w:bCs w:val="0"/>
          <w:i w:val="0"/>
          <w:iCs/>
          <w:color w:val="auto"/>
          <w:kern w:val="2"/>
          <w:sz w:val="24"/>
          <w:szCs w:val="24"/>
          <w:highlight w:val="none"/>
          <w:u w:val="single"/>
          <w:lang w:val="en-US" w:eastAsia="zh-CN" w:bidi="ar-SA"/>
        </w:rPr>
        <w:t>根据《关于印发广州供电局坚持“中国第一、世界最好”深化一流企业建设工作方案（2025-2027年）的通知》(广供电企〔2025〕5号)、《110千伏星汇变电站绿色低碳建设第二次协调线上会议纪要》（基纪〔2025〕71号）要求，以及网省公司生态强企工作要求，需对番禺区星汇输变电工程变电站开展国家绿色工业建筑三星技术咨询及装配式技术咨询工作。</w:t>
      </w:r>
    </w:p>
    <w:p w14:paraId="5CA92A5E">
      <w:pPr>
        <w:keepNext w:val="0"/>
        <w:keepLines w:val="0"/>
        <w:pageBreakBefore w:val="0"/>
        <w:widowControl w:val="0"/>
        <w:kinsoku/>
        <w:wordWrap/>
        <w:overflowPunct/>
        <w:topLinePunct w:val="0"/>
        <w:bidi w:val="0"/>
        <w:snapToGrid/>
        <w:spacing w:before="157" w:beforeLines="50" w:after="157" w:afterLines="50" w:line="480" w:lineRule="auto"/>
        <w:ind w:firstLine="420" w:firstLineChars="0"/>
        <w:textAlignment w:val="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eastAsia" w:ascii="Times New Roman" w:hAnsi="Times New Roman" w:cs="Times New Roman" w:eastAsiaTheme="minorEastAsia"/>
          <w:b w:val="0"/>
          <w:bCs w:val="0"/>
          <w:i w:val="0"/>
          <w:iCs/>
          <w:color w:val="auto"/>
          <w:kern w:val="2"/>
          <w:sz w:val="24"/>
          <w:szCs w:val="24"/>
          <w:highlight w:val="none"/>
          <w:u w:val="single"/>
          <w:lang w:val="en-US" w:eastAsia="zh-CN" w:bidi="ar-SA"/>
        </w:rPr>
        <w:t>110kV星汇变电站位于广州市大学城内，主要为广州大学城区域供电，建成后可以满足其大学城范围内负荷增长的需要，缓解周边谷围站、儒林站的供电压力，提高大学城电网的供电能力，促进地区社会经济的发展。站内含配电装置楼建筑一座，建筑面积3130平方米，变电站实验楼一座，建筑面积1920平方米 。</w:t>
      </w:r>
    </w:p>
    <w:p w14:paraId="499371E1">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46B448F4">
      <w:pPr>
        <w:pStyle w:val="2"/>
        <w:spacing w:line="360" w:lineRule="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（一）对建筑进行绿色低碳研究改进，保证配电装置楼区域“绿色、零碳”的可能性；具体内容包括但不仅限于：绿色工业建筑设计咨询、专项图纸深化等。</w:t>
      </w:r>
    </w:p>
    <w:p w14:paraId="409D7B46">
      <w:pPr>
        <w:pStyle w:val="2"/>
        <w:spacing w:line="360" w:lineRule="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（二）参与绿色工业建筑预认证技术支撑和具体指导。其中星汇变电站认证目标为：国家绿色工业建筑预认证三星级</w:t>
      </w:r>
    </w:p>
    <w:p w14:paraId="4FFF7FF8">
      <w:pPr>
        <w:pStyle w:val="2"/>
        <w:spacing w:line="360" w:lineRule="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eastAsia" w:ascii="Times New Roman" w:hAnsi="Times New Roman" w:cs="Times New Roman" w:eastAsiaTheme="minorEastAsia"/>
          <w:b w:val="0"/>
          <w:bCs w:val="0"/>
          <w:i w:val="0"/>
          <w:iCs/>
          <w:color w:val="auto"/>
          <w:kern w:val="2"/>
          <w:sz w:val="24"/>
          <w:szCs w:val="24"/>
          <w:highlight w:val="none"/>
          <w:u w:val="single"/>
          <w:lang w:val="en-US" w:eastAsia="zh-CN" w:bidi="ar-SA"/>
        </w:rPr>
        <w:t>（三）对星汇变电站内实验楼开展装配式建筑技术咨询工作，协助星汇变电站通过装配式建筑星级认证工作</w:t>
      </w:r>
    </w:p>
    <w:p w14:paraId="72623AA3">
      <w:pPr>
        <w:pStyle w:val="2"/>
        <w:rPr>
          <w:rFonts w:hint="eastAsia"/>
          <w:b w:val="0"/>
          <w:bCs w:val="0"/>
          <w:lang w:val="en-US" w:eastAsia="zh-CN"/>
        </w:rPr>
      </w:pPr>
    </w:p>
    <w:p w14:paraId="04B00BE2">
      <w:pPr>
        <w:pStyle w:val="4"/>
        <w:keepNext w:val="0"/>
        <w:keepLines w:val="0"/>
        <w:pageBreakBefore w:val="0"/>
        <w:numPr>
          <w:ilvl w:val="0"/>
          <w:numId w:val="2"/>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报价表及报价要求</w:t>
      </w:r>
    </w:p>
    <w:p w14:paraId="79884E7A">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tbl>
      <w:tblPr>
        <w:tblStyle w:val="11"/>
        <w:tblpPr w:leftFromText="180" w:rightFromText="180" w:vertAnchor="text" w:horzAnchor="page" w:tblpX="1352" w:tblpY="66"/>
        <w:tblOverlap w:val="never"/>
        <w:tblW w:w="92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2232"/>
        <w:gridCol w:w="699"/>
        <w:gridCol w:w="968"/>
        <w:gridCol w:w="920"/>
        <w:gridCol w:w="694"/>
        <w:gridCol w:w="1024"/>
        <w:gridCol w:w="1049"/>
        <w:gridCol w:w="1056"/>
      </w:tblGrid>
      <w:tr w14:paraId="5400B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651" w:type="dxa"/>
            <w:vMerge w:val="restart"/>
            <w:tcBorders>
              <w:top w:val="single" w:color="000000" w:sz="4" w:space="0"/>
              <w:left w:val="single" w:color="000000" w:sz="4" w:space="0"/>
              <w:right w:val="single" w:color="000000" w:sz="4" w:space="0"/>
            </w:tcBorders>
            <w:shd w:val="clear" w:color="auto" w:fill="auto"/>
            <w:noWrap/>
            <w:vAlign w:val="center"/>
          </w:tcPr>
          <w:p w14:paraId="3E2A6A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232" w:type="dxa"/>
            <w:vMerge w:val="restart"/>
            <w:tcBorders>
              <w:top w:val="single" w:color="000000" w:sz="4" w:space="0"/>
              <w:left w:val="single" w:color="000000" w:sz="4" w:space="0"/>
              <w:right w:val="single" w:color="000000" w:sz="4" w:space="0"/>
            </w:tcBorders>
            <w:shd w:val="clear" w:color="auto" w:fill="auto"/>
            <w:noWrap/>
            <w:vAlign w:val="center"/>
          </w:tcPr>
          <w:p w14:paraId="5A6220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工程或费用名称</w:t>
            </w:r>
          </w:p>
        </w:tc>
        <w:tc>
          <w:tcPr>
            <w:tcW w:w="699" w:type="dxa"/>
            <w:vMerge w:val="restart"/>
            <w:tcBorders>
              <w:top w:val="single" w:color="000000" w:sz="4" w:space="0"/>
              <w:left w:val="single" w:color="000000" w:sz="4" w:space="0"/>
              <w:right w:val="single" w:color="000000" w:sz="4" w:space="0"/>
            </w:tcBorders>
            <w:shd w:val="clear" w:color="auto" w:fill="auto"/>
            <w:noWrap/>
            <w:vAlign w:val="center"/>
          </w:tcPr>
          <w:p w14:paraId="42D3AABF">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预计</w:t>
            </w:r>
          </w:p>
          <w:p w14:paraId="7B4440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数量</w:t>
            </w:r>
          </w:p>
        </w:tc>
        <w:tc>
          <w:tcPr>
            <w:tcW w:w="1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0EF0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w:t>
            </w:r>
          </w:p>
        </w:tc>
        <w:tc>
          <w:tcPr>
            <w:tcW w:w="694" w:type="dxa"/>
            <w:vMerge w:val="restart"/>
            <w:tcBorders>
              <w:top w:val="single" w:color="000000" w:sz="4" w:space="0"/>
              <w:left w:val="single" w:color="000000" w:sz="4" w:space="0"/>
              <w:right w:val="single" w:color="000000" w:sz="4" w:space="0"/>
            </w:tcBorders>
            <w:shd w:val="clear" w:color="auto" w:fill="auto"/>
            <w:vAlign w:val="center"/>
          </w:tcPr>
          <w:p w14:paraId="75BDA3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2C5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w:t>
            </w:r>
          </w:p>
        </w:tc>
        <w:tc>
          <w:tcPr>
            <w:tcW w:w="1056" w:type="dxa"/>
            <w:vMerge w:val="restart"/>
            <w:tcBorders>
              <w:top w:val="single" w:color="000000" w:sz="4" w:space="0"/>
              <w:left w:val="single" w:color="auto" w:sz="4" w:space="0"/>
              <w:right w:val="single" w:color="000000" w:sz="4" w:space="0"/>
            </w:tcBorders>
            <w:shd w:val="clear" w:color="auto" w:fill="auto"/>
            <w:noWrap/>
            <w:vAlign w:val="center"/>
          </w:tcPr>
          <w:p w14:paraId="4EE254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14:paraId="73E6C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651" w:type="dxa"/>
            <w:vMerge w:val="continue"/>
            <w:tcBorders>
              <w:left w:val="single" w:color="000000" w:sz="4" w:space="0"/>
              <w:bottom w:val="single" w:color="000000" w:sz="4" w:space="0"/>
              <w:right w:val="single" w:color="000000" w:sz="4" w:space="0"/>
            </w:tcBorders>
            <w:shd w:val="clear" w:color="auto" w:fill="auto"/>
            <w:noWrap/>
            <w:vAlign w:val="center"/>
          </w:tcPr>
          <w:p w14:paraId="21E79DFF">
            <w:pPr>
              <w:keepNext w:val="0"/>
              <w:keepLines w:val="0"/>
              <w:widowControl/>
              <w:suppressLineNumbers w:val="0"/>
              <w:jc w:val="center"/>
              <w:textAlignment w:val="center"/>
              <w:rPr>
                <w:highlight w:val="none"/>
              </w:rPr>
            </w:pPr>
          </w:p>
        </w:tc>
        <w:tc>
          <w:tcPr>
            <w:tcW w:w="2232" w:type="dxa"/>
            <w:vMerge w:val="continue"/>
            <w:tcBorders>
              <w:left w:val="single" w:color="000000" w:sz="4" w:space="0"/>
              <w:bottom w:val="nil"/>
              <w:right w:val="single" w:color="000000" w:sz="4" w:space="0"/>
            </w:tcBorders>
            <w:shd w:val="clear" w:color="auto" w:fill="auto"/>
            <w:noWrap/>
            <w:vAlign w:val="center"/>
          </w:tcPr>
          <w:p w14:paraId="0D4D3D42">
            <w:pPr>
              <w:keepNext w:val="0"/>
              <w:keepLines w:val="0"/>
              <w:widowControl/>
              <w:suppressLineNumbers w:val="0"/>
              <w:jc w:val="center"/>
              <w:textAlignment w:val="center"/>
              <w:rPr>
                <w:highlight w:val="none"/>
              </w:rPr>
            </w:pPr>
          </w:p>
        </w:tc>
        <w:tc>
          <w:tcPr>
            <w:tcW w:w="699" w:type="dxa"/>
            <w:vMerge w:val="continue"/>
            <w:tcBorders>
              <w:left w:val="single" w:color="000000" w:sz="4" w:space="0"/>
              <w:bottom w:val="single" w:color="000000" w:sz="4" w:space="0"/>
              <w:right w:val="single" w:color="000000" w:sz="4" w:space="0"/>
            </w:tcBorders>
            <w:shd w:val="clear" w:color="auto" w:fill="auto"/>
            <w:noWrap/>
            <w:vAlign w:val="center"/>
          </w:tcPr>
          <w:p w14:paraId="4734F191">
            <w:pPr>
              <w:keepNext w:val="0"/>
              <w:keepLines w:val="0"/>
              <w:widowControl/>
              <w:suppressLineNumbers w:val="0"/>
              <w:jc w:val="center"/>
              <w:textAlignment w:val="center"/>
              <w:rPr>
                <w:highlight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2883">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D32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694" w:type="dxa"/>
            <w:vMerge w:val="continue"/>
            <w:tcBorders>
              <w:left w:val="single" w:color="000000" w:sz="4" w:space="0"/>
              <w:bottom w:val="single" w:color="000000" w:sz="4" w:space="0"/>
              <w:right w:val="single" w:color="000000" w:sz="4" w:space="0"/>
            </w:tcBorders>
            <w:shd w:val="clear" w:color="auto" w:fill="auto"/>
            <w:vAlign w:val="center"/>
          </w:tcPr>
          <w:p w14:paraId="3595DB5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14:paraId="6DAF55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D8F5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1056" w:type="dxa"/>
            <w:vMerge w:val="continue"/>
            <w:tcBorders>
              <w:left w:val="single" w:color="auto" w:sz="4" w:space="0"/>
              <w:bottom w:val="single" w:color="000000" w:sz="4" w:space="0"/>
              <w:right w:val="single" w:color="000000" w:sz="4" w:space="0"/>
            </w:tcBorders>
            <w:shd w:val="clear" w:color="auto" w:fill="auto"/>
            <w:noWrap/>
            <w:vAlign w:val="center"/>
          </w:tcPr>
          <w:p w14:paraId="09A196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14:paraId="6E4B6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E9E8D">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CFE3">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绿色工业建筑三星级预认证咨询服务</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50C8">
            <w:pPr>
              <w:jc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1</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829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u w:val="none"/>
                <w:lang w:val="en-US" w:eastAsia="zh-CN" w:bidi="ar"/>
              </w:rPr>
              <w:t>310000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E2E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u w:val="none"/>
                <w:lang w:val="en-US" w:eastAsia="zh-CN" w:bidi="ar"/>
              </w:rPr>
              <w:t>310000</w:t>
            </w:r>
          </w:p>
        </w:tc>
        <w:tc>
          <w:tcPr>
            <w:tcW w:w="694" w:type="dxa"/>
            <w:vMerge w:val="restart"/>
            <w:tcBorders>
              <w:top w:val="single" w:color="000000" w:sz="4" w:space="0"/>
              <w:left w:val="single" w:color="000000" w:sz="4" w:space="0"/>
              <w:right w:val="single" w:color="000000" w:sz="4" w:space="0"/>
            </w:tcBorders>
            <w:shd w:val="clear" w:color="auto" w:fill="auto"/>
            <w:vAlign w:val="center"/>
          </w:tcPr>
          <w:p w14:paraId="7F396AB9">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024" w:type="dxa"/>
            <w:tcBorders>
              <w:top w:val="single" w:color="auto" w:sz="4" w:space="0"/>
              <w:left w:val="single" w:color="000000" w:sz="4" w:space="0"/>
              <w:bottom w:val="single" w:color="000000" w:sz="4" w:space="0"/>
              <w:right w:val="single" w:color="000000" w:sz="4" w:space="0"/>
            </w:tcBorders>
            <w:shd w:val="clear" w:color="auto" w:fill="auto"/>
            <w:vAlign w:val="center"/>
          </w:tcPr>
          <w:p w14:paraId="53E29A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bookmarkStart w:id="2" w:name="_GoBack"/>
            <w:bookmarkEnd w:id="2"/>
          </w:p>
        </w:tc>
        <w:tc>
          <w:tcPr>
            <w:tcW w:w="104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43320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2714">
            <w:pPr>
              <w:jc w:val="center"/>
              <w:rPr>
                <w:rFonts w:hint="eastAsia" w:ascii="宋体" w:hAnsi="宋体" w:eastAsia="宋体" w:cs="宋体"/>
                <w:i w:val="0"/>
                <w:iCs w:val="0"/>
                <w:color w:val="000000"/>
                <w:sz w:val="20"/>
                <w:szCs w:val="20"/>
                <w:highlight w:val="none"/>
                <w:u w:val="none"/>
              </w:rPr>
            </w:pPr>
          </w:p>
        </w:tc>
      </w:tr>
      <w:tr w14:paraId="0B3A1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BBBDB">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40D0">
            <w:pPr>
              <w:keepNext w:val="0"/>
              <w:keepLines w:val="0"/>
              <w:widowControl/>
              <w:suppressLineNumbers w:val="0"/>
              <w:jc w:val="left"/>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绿色工业建筑三星级预认证、认证</w:t>
            </w:r>
            <w:r>
              <w:rPr>
                <w:rFonts w:hint="eastAsia" w:ascii="宋体" w:hAnsi="宋体" w:eastAsia="宋体" w:cs="宋体"/>
                <w:color w:val="000000"/>
                <w:kern w:val="0"/>
                <w:sz w:val="20"/>
                <w:szCs w:val="20"/>
                <w:lang w:val="en-US" w:eastAsia="zh-CN" w:bidi="ar"/>
              </w:rPr>
              <w:t>第三方评审</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3077">
            <w:pPr>
              <w:jc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1</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16D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CBDD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000</w:t>
            </w:r>
          </w:p>
        </w:tc>
        <w:tc>
          <w:tcPr>
            <w:tcW w:w="694" w:type="dxa"/>
            <w:vMerge w:val="continue"/>
            <w:tcBorders>
              <w:left w:val="single" w:color="000000" w:sz="4" w:space="0"/>
              <w:right w:val="single" w:color="000000" w:sz="4" w:space="0"/>
            </w:tcBorders>
            <w:shd w:val="clear" w:color="auto" w:fill="auto"/>
            <w:vAlign w:val="center"/>
          </w:tcPr>
          <w:p w14:paraId="6E621642">
            <w:pPr>
              <w:jc w:val="center"/>
              <w:rPr>
                <w:rFonts w:hint="eastAsia" w:ascii="宋体" w:hAnsi="宋体" w:eastAsia="宋体" w:cs="宋体"/>
                <w:i w:val="0"/>
                <w:iCs w:val="0"/>
                <w:color w:val="000000"/>
                <w:sz w:val="20"/>
                <w:szCs w:val="20"/>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9A0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D4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4995">
            <w:pPr>
              <w:jc w:val="center"/>
              <w:rPr>
                <w:rFonts w:hint="eastAsia" w:ascii="宋体" w:hAnsi="宋体" w:eastAsia="宋体" w:cs="宋体"/>
                <w:i w:val="0"/>
                <w:iCs w:val="0"/>
                <w:color w:val="000000"/>
                <w:sz w:val="20"/>
                <w:szCs w:val="20"/>
                <w:highlight w:val="none"/>
                <w:u w:val="none"/>
              </w:rPr>
            </w:pPr>
          </w:p>
        </w:tc>
      </w:tr>
      <w:tr w14:paraId="054D2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73E0">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w:t>
            </w: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0D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装配式建筑预认证（设计认证）咨询服务</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188D">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FB9B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87333</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53D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87333</w:t>
            </w:r>
          </w:p>
        </w:tc>
        <w:tc>
          <w:tcPr>
            <w:tcW w:w="694" w:type="dxa"/>
            <w:vMerge w:val="continue"/>
            <w:tcBorders>
              <w:left w:val="single" w:color="000000" w:sz="4" w:space="0"/>
              <w:right w:val="single" w:color="000000" w:sz="4" w:space="0"/>
            </w:tcBorders>
            <w:shd w:val="clear" w:color="auto" w:fill="auto"/>
            <w:vAlign w:val="center"/>
          </w:tcPr>
          <w:p w14:paraId="7CD6383E">
            <w:pPr>
              <w:rPr>
                <w:rFonts w:hint="eastAsia" w:ascii="宋体" w:hAnsi="宋体" w:eastAsia="宋体" w:cs="宋体"/>
                <w:i w:val="0"/>
                <w:iCs w:val="0"/>
                <w:color w:val="000000"/>
                <w:sz w:val="20"/>
                <w:szCs w:val="20"/>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4F281">
            <w:pPr>
              <w:jc w:val="center"/>
              <w:rPr>
                <w:rFonts w:hint="default" w:ascii="宋体" w:hAnsi="宋体" w:eastAsia="宋体" w:cs="宋体"/>
                <w:i w:val="0"/>
                <w:iCs w:val="0"/>
                <w:color w:val="000000"/>
                <w:sz w:val="20"/>
                <w:szCs w:val="20"/>
                <w:highlight w:val="none"/>
                <w:u w:val="none"/>
                <w:lang w:val="en-US"/>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529C">
            <w:pPr>
              <w:jc w:val="center"/>
              <w:rPr>
                <w:rFonts w:hint="default" w:ascii="宋体" w:hAnsi="宋体" w:eastAsia="宋体" w:cs="宋体"/>
                <w:i w:val="0"/>
                <w:iCs w:val="0"/>
                <w:color w:val="000000"/>
                <w:sz w:val="20"/>
                <w:szCs w:val="20"/>
                <w:highlight w:val="none"/>
                <w:u w:val="none"/>
                <w:lang w:val="en-US"/>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36359">
            <w:pPr>
              <w:rPr>
                <w:rFonts w:hint="eastAsia" w:ascii="宋体" w:hAnsi="宋体" w:eastAsia="宋体" w:cs="宋体"/>
                <w:i w:val="0"/>
                <w:iCs w:val="0"/>
                <w:color w:val="000000"/>
                <w:sz w:val="20"/>
                <w:szCs w:val="20"/>
                <w:highlight w:val="none"/>
                <w:u w:val="none"/>
              </w:rPr>
            </w:pPr>
          </w:p>
        </w:tc>
      </w:tr>
      <w:tr w14:paraId="60A7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1184">
            <w:pPr>
              <w:jc w:val="center"/>
              <w:rPr>
                <w:rFonts w:hint="eastAsia" w:ascii="宋体" w:hAnsi="宋体" w:eastAsia="宋体" w:cs="宋体"/>
                <w:i w:val="0"/>
                <w:iCs w:val="0"/>
                <w:color w:val="000000"/>
                <w:sz w:val="20"/>
                <w:szCs w:val="20"/>
                <w:highlight w:val="none"/>
                <w:u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2FDE1">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合计（小写）：</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A8F2">
            <w:pPr>
              <w:jc w:val="center"/>
              <w:rPr>
                <w:rFonts w:hint="eastAsia" w:ascii="宋体" w:hAnsi="宋体" w:eastAsia="宋体" w:cs="宋体"/>
                <w:i w:val="0"/>
                <w:iCs w:val="0"/>
                <w:color w:val="000000"/>
                <w:kern w:val="2"/>
                <w:sz w:val="20"/>
                <w:szCs w:val="20"/>
                <w:highlight w:val="none"/>
                <w:u w:val="none"/>
                <w:lang w:val="en-US" w:eastAsia="zh-CN" w:bidi="ar-SA"/>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AE70E">
            <w:pPr>
              <w:jc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497333</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E6B1">
            <w:pPr>
              <w:jc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497333</w:t>
            </w:r>
          </w:p>
        </w:tc>
        <w:tc>
          <w:tcPr>
            <w:tcW w:w="694" w:type="dxa"/>
            <w:tcBorders>
              <w:left w:val="single" w:color="000000" w:sz="4" w:space="0"/>
              <w:bottom w:val="single" w:color="000000" w:sz="4" w:space="0"/>
              <w:right w:val="single" w:color="000000" w:sz="4" w:space="0"/>
            </w:tcBorders>
            <w:shd w:val="clear" w:color="auto" w:fill="auto"/>
            <w:vAlign w:val="center"/>
          </w:tcPr>
          <w:p w14:paraId="56638D79">
            <w:pPr>
              <w:rPr>
                <w:rFonts w:hint="eastAsia" w:ascii="宋体" w:hAnsi="宋体" w:eastAsia="宋体" w:cs="宋体"/>
                <w:i w:val="0"/>
                <w:iCs w:val="0"/>
                <w:color w:val="000000"/>
                <w:sz w:val="20"/>
                <w:szCs w:val="20"/>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C812">
            <w:pPr>
              <w:jc w:val="center"/>
              <w:rPr>
                <w:rFonts w:hint="eastAsia" w:ascii="宋体" w:hAnsi="宋体" w:cs="宋体"/>
                <w:i w:val="0"/>
                <w:iCs w:val="0"/>
                <w:color w:val="000000"/>
                <w:kern w:val="0"/>
                <w:sz w:val="20"/>
                <w:szCs w:val="20"/>
                <w:u w:val="none"/>
                <w:lang w:val="en-US" w:eastAsia="zh-CN" w:bidi="ar"/>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5B8F">
            <w:pPr>
              <w:jc w:val="center"/>
              <w:rPr>
                <w:rFonts w:hint="eastAsia" w:ascii="宋体" w:hAnsi="宋体" w:cs="宋体"/>
                <w:i w:val="0"/>
                <w:iCs w:val="0"/>
                <w:color w:val="000000"/>
                <w:kern w:val="0"/>
                <w:sz w:val="20"/>
                <w:szCs w:val="20"/>
                <w:u w:val="none"/>
                <w:lang w:val="en-US" w:eastAsia="zh-CN" w:bidi="ar"/>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68C71">
            <w:pPr>
              <w:rPr>
                <w:rFonts w:hint="eastAsia" w:ascii="宋体" w:hAnsi="宋体" w:eastAsia="宋体" w:cs="宋体"/>
                <w:i w:val="0"/>
                <w:iCs w:val="0"/>
                <w:color w:val="000000"/>
                <w:sz w:val="20"/>
                <w:szCs w:val="20"/>
                <w:highlight w:val="none"/>
                <w:u w:val="none"/>
              </w:rPr>
            </w:pPr>
          </w:p>
        </w:tc>
      </w:tr>
    </w:tbl>
    <w:p w14:paraId="4CD49109">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7F6360B2">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78E9E09E">
      <w:pPr>
        <w:pStyle w:val="8"/>
        <w:numPr>
          <w:ilvl w:val="0"/>
          <w:numId w:val="3"/>
        </w:numPr>
        <w:jc w:val="left"/>
        <w:rPr>
          <w:rFonts w:ascii="宋体" w:hAnsi="宋体" w:eastAsia="宋体" w:cs="宋体"/>
          <w:b w:val="0"/>
          <w:bCs w:val="0"/>
          <w:color w:val="auto"/>
          <w:sz w:val="24"/>
          <w:szCs w:val="24"/>
          <w:highlight w:val="none"/>
        </w:rPr>
      </w:pPr>
      <w:r>
        <w:rPr>
          <w:rFonts w:ascii="宋体" w:hAnsi="宋体" w:eastAsia="宋体" w:cs="宋体"/>
          <w:b w:val="0"/>
          <w:bCs w:val="0"/>
          <w:color w:val="auto"/>
          <w:sz w:val="24"/>
          <w:szCs w:val="24"/>
          <w:highlight w:val="none"/>
        </w:rPr>
        <w:t>投标下浮率不低于0%为有效报价；当投标下浮率＞</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15%</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rPr>
        <w:t>时应附成本分析报告，充分说明单价和费用的组成、降低成本的合理措施及在其他工程中应用过的经验等，经评审通过后方可视为有效报价。</w:t>
      </w:r>
    </w:p>
    <w:p w14:paraId="59E2BD03">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2.按下浮率报价（保留两位小数，如8.88%），同时填报投标报价（投标报价单价=限价单价×（1-投标下浮率），投标报价合价=投标报价单价×预计采购数量，四舍五入保留两位小数）。当投标报价与投标下浮率计算结果不一致时，以投标下浮率为准，按上述公式修订投标报价。</w:t>
      </w:r>
    </w:p>
    <w:p w14:paraId="61270563">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3.价格分计算时，投标人评标价按（100-投标人填写的下浮数值）参与计算。如：下浮率为1.88％时，评标价按（100-1.88）参与计算。</w:t>
      </w:r>
    </w:p>
    <w:p w14:paraId="5102973E">
      <w:pPr>
        <w:numPr>
          <w:ilvl w:val="0"/>
          <w:numId w:val="0"/>
        </w:numPr>
        <w:ind w:left="240" w:leftChars="0"/>
        <w:rPr>
          <w:rFonts w:hint="default"/>
          <w:highlight w:val="none"/>
          <w:lang w:val="en-US" w:eastAsia="zh-CN"/>
        </w:rPr>
      </w:pPr>
    </w:p>
    <w:p w14:paraId="0CCC70F1">
      <w:pPr>
        <w:rPr>
          <w:rFonts w:hint="eastAsia"/>
          <w:highlight w:val="none"/>
          <w:lang w:val="en-US" w:eastAsia="zh-CN"/>
        </w:rPr>
      </w:pPr>
    </w:p>
    <w:p w14:paraId="5DB106B3">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6E87B3BA">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bCs/>
          <w:color w:val="auto"/>
          <w:kern w:val="2"/>
          <w:sz w:val="24"/>
          <w:szCs w:val="24"/>
          <w:u w:val="single"/>
          <w:lang w:val="en-US" w:eastAsia="zh-CN" w:bidi="ar-SA"/>
        </w:rPr>
        <w:t>结算方式：本工程合同价总价包干。结算时总价包干部分，除合同约定可调整的情况外，结算不予调整，中标合同价款中的漏项、错项结算时视为已包括在其他子项的报价中，不予调整。</w:t>
      </w:r>
    </w:p>
    <w:p w14:paraId="5862692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05CF5BF">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1104AD66">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00DF3748">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600AE200">
      <w:pPr>
        <w:rPr>
          <w:rFonts w:hint="eastAsia" w:ascii="宋体" w:hAnsi="宋体" w:eastAsia="宋体" w:cs="宋体"/>
          <w:color w:val="auto"/>
          <w:kern w:val="2"/>
          <w:sz w:val="24"/>
          <w:szCs w:val="24"/>
          <w:highlight w:val="none"/>
          <w:u w:val="single"/>
          <w:lang w:val="en-US" w:eastAsia="zh-CN" w:bidi="ar-SA"/>
        </w:rPr>
      </w:pPr>
    </w:p>
    <w:p w14:paraId="76ECEC43">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59DA6073">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4E97FEB">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20306FE8">
      <w:pPr>
        <w:pStyle w:val="2"/>
        <w:rPr>
          <w:rFonts w:hint="eastAsia" w:asciiTheme="minorEastAsia" w:hAnsiTheme="minorEastAsia" w:eastAsiaTheme="minorEastAsia" w:cstheme="minorEastAsia"/>
          <w:i w:val="0"/>
          <w:iCs/>
          <w:color w:val="auto"/>
          <w:sz w:val="24"/>
          <w:szCs w:val="24"/>
          <w:highlight w:val="none"/>
        </w:rPr>
      </w:pPr>
    </w:p>
    <w:p w14:paraId="234598A4">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7413BFA9">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03F2B7F1">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2947290C">
      <w:pPr>
        <w:pStyle w:val="2"/>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14:paraId="01626750">
      <w:pPr>
        <w:rPr>
          <w:rFonts w:hint="eastAsia" w:ascii="宋体" w:hAnsi="宋体" w:eastAsia="宋体" w:cs="宋体"/>
          <w:color w:val="auto"/>
          <w:sz w:val="24"/>
          <w:szCs w:val="24"/>
          <w:highlight w:val="none"/>
          <w:u w:val="single"/>
          <w:vertAlign w:val="baseline"/>
          <w:lang w:val="en-US" w:eastAsia="zh-CN"/>
        </w:rPr>
      </w:pPr>
    </w:p>
    <w:p w14:paraId="356A26D1">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993E1"/>
    <w:multiLevelType w:val="singleLevel"/>
    <w:tmpl w:val="EA6993E1"/>
    <w:lvl w:ilvl="0" w:tentative="0">
      <w:start w:val="3"/>
      <w:numFmt w:val="chineseCounting"/>
      <w:suff w:val="nothing"/>
      <w:lvlText w:val="%1、"/>
      <w:lvlJc w:val="left"/>
      <w:rPr>
        <w:rFonts w:hint="eastAsia"/>
      </w:rPr>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12846F37"/>
    <w:multiLevelType w:val="singleLevel"/>
    <w:tmpl w:val="12846F37"/>
    <w:lvl w:ilvl="0" w:tentative="0">
      <w:start w:val="1"/>
      <w:numFmt w:val="decimal"/>
      <w:lvlText w:val="%1."/>
      <w:lvlJc w:val="left"/>
      <w:pPr>
        <w:tabs>
          <w:tab w:val="left" w:pos="312"/>
        </w:tabs>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ZDk4ZTRkZmYxMGY4NzIyMjYyOGUwMmRiNWIyMmUifQ=="/>
    <w:docVar w:name="KSO_WPS_MARK_KEY" w:val="e9dd9a9f-50da-49ca-9ef0-4059ad3a7d3f"/>
  </w:docVars>
  <w:rsids>
    <w:rsidRoot w:val="24F737D8"/>
    <w:rsid w:val="001270A5"/>
    <w:rsid w:val="007A4AD7"/>
    <w:rsid w:val="01A969D9"/>
    <w:rsid w:val="04A24F71"/>
    <w:rsid w:val="076F3B3B"/>
    <w:rsid w:val="07CA37DF"/>
    <w:rsid w:val="098771DA"/>
    <w:rsid w:val="0B4A6210"/>
    <w:rsid w:val="0BC07002"/>
    <w:rsid w:val="0E2F4C02"/>
    <w:rsid w:val="0E3616E0"/>
    <w:rsid w:val="0E394169"/>
    <w:rsid w:val="0F81532F"/>
    <w:rsid w:val="107144D2"/>
    <w:rsid w:val="108C3C57"/>
    <w:rsid w:val="10A900CE"/>
    <w:rsid w:val="116419AD"/>
    <w:rsid w:val="11DF6CFE"/>
    <w:rsid w:val="1312711C"/>
    <w:rsid w:val="13383335"/>
    <w:rsid w:val="13675202"/>
    <w:rsid w:val="14440D4B"/>
    <w:rsid w:val="14531E16"/>
    <w:rsid w:val="14781EB9"/>
    <w:rsid w:val="14B666F3"/>
    <w:rsid w:val="15056A61"/>
    <w:rsid w:val="15D26260"/>
    <w:rsid w:val="17722603"/>
    <w:rsid w:val="18E57496"/>
    <w:rsid w:val="1A386933"/>
    <w:rsid w:val="1A4F176B"/>
    <w:rsid w:val="1B663F82"/>
    <w:rsid w:val="1BB83FE1"/>
    <w:rsid w:val="1C2D4629"/>
    <w:rsid w:val="1C43636C"/>
    <w:rsid w:val="1C8618B6"/>
    <w:rsid w:val="1D203131"/>
    <w:rsid w:val="1D904223"/>
    <w:rsid w:val="1F653C49"/>
    <w:rsid w:val="1FF914D4"/>
    <w:rsid w:val="20735046"/>
    <w:rsid w:val="216F4D5B"/>
    <w:rsid w:val="21C11DC8"/>
    <w:rsid w:val="234D2235"/>
    <w:rsid w:val="23AA7A3B"/>
    <w:rsid w:val="23B738BA"/>
    <w:rsid w:val="24E67795"/>
    <w:rsid w:val="24F737D8"/>
    <w:rsid w:val="2525523D"/>
    <w:rsid w:val="26156A20"/>
    <w:rsid w:val="26EB3B6A"/>
    <w:rsid w:val="27292DFC"/>
    <w:rsid w:val="27D05EB9"/>
    <w:rsid w:val="291D5E51"/>
    <w:rsid w:val="2BB17731"/>
    <w:rsid w:val="2BE07E0A"/>
    <w:rsid w:val="2CA17C08"/>
    <w:rsid w:val="2D1242B7"/>
    <w:rsid w:val="2DDF66E3"/>
    <w:rsid w:val="2FF65FF8"/>
    <w:rsid w:val="300D195C"/>
    <w:rsid w:val="3069477A"/>
    <w:rsid w:val="30BF37B5"/>
    <w:rsid w:val="30D222E6"/>
    <w:rsid w:val="313B0851"/>
    <w:rsid w:val="31A1649A"/>
    <w:rsid w:val="31C955A9"/>
    <w:rsid w:val="33B200AF"/>
    <w:rsid w:val="33C75702"/>
    <w:rsid w:val="33E61BE2"/>
    <w:rsid w:val="361736AD"/>
    <w:rsid w:val="36D200CF"/>
    <w:rsid w:val="379116C4"/>
    <w:rsid w:val="379951F8"/>
    <w:rsid w:val="38382DC3"/>
    <w:rsid w:val="38DE045C"/>
    <w:rsid w:val="3987396D"/>
    <w:rsid w:val="3B595AEE"/>
    <w:rsid w:val="3BF24D81"/>
    <w:rsid w:val="3BFE7BEA"/>
    <w:rsid w:val="3C4750A3"/>
    <w:rsid w:val="3C4A35F1"/>
    <w:rsid w:val="3C841AEB"/>
    <w:rsid w:val="40534DDD"/>
    <w:rsid w:val="420455E6"/>
    <w:rsid w:val="42E73C50"/>
    <w:rsid w:val="44982260"/>
    <w:rsid w:val="44D414C9"/>
    <w:rsid w:val="46472D5E"/>
    <w:rsid w:val="485D3F87"/>
    <w:rsid w:val="48C958A4"/>
    <w:rsid w:val="496A657E"/>
    <w:rsid w:val="49843C09"/>
    <w:rsid w:val="4B3A1BDA"/>
    <w:rsid w:val="4BF83760"/>
    <w:rsid w:val="4C5B4768"/>
    <w:rsid w:val="4C8349B8"/>
    <w:rsid w:val="504766FD"/>
    <w:rsid w:val="552A0C96"/>
    <w:rsid w:val="55BB16B6"/>
    <w:rsid w:val="55C3156A"/>
    <w:rsid w:val="560A4CB8"/>
    <w:rsid w:val="5782183A"/>
    <w:rsid w:val="57BD355E"/>
    <w:rsid w:val="58D21C48"/>
    <w:rsid w:val="590B43BE"/>
    <w:rsid w:val="5B0320E2"/>
    <w:rsid w:val="5B8B11A7"/>
    <w:rsid w:val="5B9E2EC4"/>
    <w:rsid w:val="5CD10D7E"/>
    <w:rsid w:val="5D2A5D3F"/>
    <w:rsid w:val="60002310"/>
    <w:rsid w:val="608606DE"/>
    <w:rsid w:val="610E324A"/>
    <w:rsid w:val="61E17EA8"/>
    <w:rsid w:val="61F31EFD"/>
    <w:rsid w:val="63066BC7"/>
    <w:rsid w:val="63D0487B"/>
    <w:rsid w:val="64672037"/>
    <w:rsid w:val="64911DA0"/>
    <w:rsid w:val="65827FF7"/>
    <w:rsid w:val="65945D8D"/>
    <w:rsid w:val="66C35559"/>
    <w:rsid w:val="67D57489"/>
    <w:rsid w:val="68570F93"/>
    <w:rsid w:val="685F5E45"/>
    <w:rsid w:val="6A287B5E"/>
    <w:rsid w:val="6B303A1A"/>
    <w:rsid w:val="6C704794"/>
    <w:rsid w:val="6DAA2FDF"/>
    <w:rsid w:val="6DF95579"/>
    <w:rsid w:val="6E121228"/>
    <w:rsid w:val="6F8447F5"/>
    <w:rsid w:val="6FCC544E"/>
    <w:rsid w:val="70D1495F"/>
    <w:rsid w:val="70ED510D"/>
    <w:rsid w:val="712F63C0"/>
    <w:rsid w:val="72717CD1"/>
    <w:rsid w:val="743E1546"/>
    <w:rsid w:val="74614F7E"/>
    <w:rsid w:val="74695E39"/>
    <w:rsid w:val="754C6F3B"/>
    <w:rsid w:val="75B11AFF"/>
    <w:rsid w:val="75D32619"/>
    <w:rsid w:val="76307412"/>
    <w:rsid w:val="768D126A"/>
    <w:rsid w:val="780B6A75"/>
    <w:rsid w:val="79F83E18"/>
    <w:rsid w:val="7CED7DC5"/>
    <w:rsid w:val="7D0F76D8"/>
    <w:rsid w:val="7E3420E0"/>
    <w:rsid w:val="7F1B3618"/>
    <w:rsid w:val="7F5F0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1300</Words>
  <Characters>1444</Characters>
  <Lines>0</Lines>
  <Paragraphs>0</Paragraphs>
  <TotalTime>19</TotalTime>
  <ScaleCrop>false</ScaleCrop>
  <LinksUpToDate>false</LinksUpToDate>
  <CharactersWithSpaces>1454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2025-05-28T07:42:00Z</cp:lastPrinted>
  <dcterms:modified xsi:type="dcterms:W3CDTF">2025-06-30T07:26:00Z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459E657DC0D04A6FBEBC57EE0B67ADA2</vt:lpwstr>
  </property>
  <property fmtid="{D5CDD505-2E9C-101B-9397-08002B2CF9AE}" pid="4" name="KSOTemplateDocerSaveRecord">
    <vt:lpwstr>eyJoZGlkIjoiYzBhNDRiMWEyNzgyMzNiNGQ2YWM5MGU3Mjg0NWEwNzIiLCJ1c2VySWQiOiI3MDM5OTYzMzMifQ==</vt:lpwstr>
  </property>
</Properties>
</file>