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316"/>
        </w:tabs>
        <w:spacing w:before="3600" w:beforeLines="1500" w:line="324" w:lineRule="auto"/>
        <w:jc w:val="center"/>
        <w:outlineLvl w:val="0"/>
        <w:rPr>
          <w:sz w:val="21"/>
          <w:szCs w:val="24"/>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decimal"/>
          <w:cols w:space="720" w:num="1"/>
          <w:docGrid w:type="lines" w:linePitch="312" w:charSpace="0"/>
        </w:sectPr>
      </w:pPr>
      <w:r>
        <w:rPr>
          <w:rFonts w:hint="eastAsia" w:ascii="仿宋" w:hAnsi="仿宋" w:eastAsia="仿宋" w:cs="仿宋"/>
          <w:b/>
          <w:kern w:val="0"/>
          <w:sz w:val="48"/>
          <w:szCs w:val="48"/>
          <w:lang w:val="en-US" w:eastAsia="zh-CN" w:bidi="zh-CN"/>
        </w:rPr>
        <w:t>技术规范书</w:t>
      </w:r>
      <w:bookmarkStart w:id="2" w:name="_GoBack"/>
      <w:bookmarkEnd w:id="2"/>
    </w:p>
    <w:p>
      <w:pPr>
        <w:spacing w:line="360" w:lineRule="auto"/>
        <w:ind w:firstLine="0" w:firstLineChars="0"/>
        <w:jc w:val="center"/>
        <w:rPr>
          <w:rFonts w:hint="eastAsia" w:ascii="宋体" w:hAnsi="宋体" w:eastAsia="宋体" w:cs="Times New Roman"/>
          <w:b/>
          <w:bCs/>
          <w:sz w:val="24"/>
          <w:szCs w:val="22"/>
        </w:rPr>
      </w:pPr>
      <w:bookmarkStart w:id="0" w:name="_Toc9668"/>
      <w:r>
        <w:rPr>
          <w:rFonts w:hint="eastAsia" w:ascii="宋体" w:hAnsi="宋体" w:eastAsia="宋体" w:cs="Times New Roman"/>
          <w:b/>
          <w:bCs/>
          <w:sz w:val="24"/>
          <w:szCs w:val="22"/>
        </w:rPr>
        <w:t>海南商业航天发射场DVR技术要求</w:t>
      </w:r>
      <w:bookmarkEnd w:id="0"/>
    </w:p>
    <w:p>
      <w:pPr>
        <w:keepNext/>
        <w:keepLines/>
        <w:widowControl w:val="0"/>
        <w:spacing w:line="360" w:lineRule="auto"/>
        <w:ind w:firstLine="0" w:firstLineChars="0"/>
        <w:outlineLvl w:val="1"/>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1 规范要求</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GB/T 14598.26-2015</w:t>
      </w:r>
      <w:r>
        <w:rPr>
          <w:rFonts w:hint="eastAsia" w:ascii="宋体" w:hAnsi="宋体" w:eastAsia="宋体" w:cs="Times New Roman"/>
          <w:sz w:val="24"/>
          <w:szCs w:val="22"/>
        </w:rPr>
        <w:tab/>
      </w:r>
      <w:r>
        <w:rPr>
          <w:rFonts w:hint="eastAsia" w:ascii="宋体" w:hAnsi="宋体" w:eastAsia="宋体" w:cs="Times New Roman"/>
          <w:sz w:val="24"/>
          <w:szCs w:val="22"/>
        </w:rPr>
        <w:t>《量度继电器和保护装置 第22-3部分：电气骚扰试验辐射电磁场抗扰度》</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DL/T 1229-2013《动态电压恢复装置技术规范》</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GB/T 4797.1-2005 《电工电子产品自然环境条件温度和湿度》</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12325-2008 《电能质量 供电电压偏差》</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12326-2022 《电能质量 电压波动和闪变》</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4798.3-2022《环境条件分类 第3部分：有气候防护场所固定使用》</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7251.1-2023《低压成套开关设备和控制设备 第1部分：总则》</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4942.2-2021《旋转电机整体结构的防护等级（IP代码）分级》</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25295-2010‌《电气设备安全设计导则》（基础通用）</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19517-2022‌《国家电气设备安全技术规范》（强制性要求）</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JB/T 10216-2013《电控配电用电缆桥架》</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GB/T 30137-2013 《电能质量 电压暂降与短时中断》</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本技术规范书所使用的标准如遇与供货方所执行的标准发生矛盾时，按较高标准执行。</w:t>
      </w:r>
    </w:p>
    <w:p>
      <w:pPr>
        <w:keepNext/>
        <w:keepLines/>
        <w:widowControl w:val="0"/>
        <w:spacing w:line="360" w:lineRule="auto"/>
        <w:ind w:firstLine="0" w:firstLineChars="0"/>
        <w:outlineLvl w:val="1"/>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2技术要求</w:t>
      </w:r>
    </w:p>
    <w:p>
      <w:pPr>
        <w:keepNext/>
        <w:keepLines/>
        <w:widowControl w:val="0"/>
        <w:spacing w:line="360" w:lineRule="auto"/>
        <w:ind w:firstLine="0" w:firstLineChars="0"/>
        <w:outlineLvl w:val="2"/>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2.1 设备工作原理</w:t>
      </w: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动态电压恢复器是储能型动态电压快速恢复装置，设备由电网分离器模块，双向逆变器模块，超级电容储能模块构成。</w:t>
      </w: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在电网不发生异常时，电网通过模块中的反并联静态开关模块为负载供电，此时设备的逆变器部分为待机状态，与电网同步电压和频率，当电网侧发生电压暂降或骤升时，逆变器开始工作，通过强制关断静态开关来完成快速电压源切换工作，并释放超级电容中的能量为负载提供短时能源。</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系统电压恢复正常时，动态电压恢复器同步电网参数并柔性退出，电网分离器中的静态开关导通，继续为负载侧供电，逆变器为超级电容充电。</w:t>
      </w: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动态电压恢复器设备发生故障时，应具备快速故障旁路，确保旁路开关闭合</w:t>
      </w:r>
    </w:p>
    <w:p>
      <w:pPr>
        <w:keepNext/>
        <w:keepLines/>
        <w:widowControl w:val="0"/>
        <w:spacing w:line="360" w:lineRule="auto"/>
        <w:ind w:firstLine="0" w:firstLineChars="0"/>
        <w:outlineLvl w:val="2"/>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2.2 设备主要技术参数</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设备为三相五线制，A/B/C/N/PE 额定电压400V，50HZ</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补偿输出精度：设定值的±2%</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准许三相不平衡负载100%</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负载满载状态下电压暂降/中断保护时间：不低于5秒</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最大保护暂降范围0-90%</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暂降保护触发阈值可调精度1V ，有效值、瞬时值可选</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连续补偿间隔小于5s （第一次补偿完全放完电后距下次补偿的时间小于5秒）</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设备暂降保护切换时间：≤2ms</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设备能耗≤0.8%</w:t>
      </w:r>
    </w:p>
    <w:p>
      <w:pPr>
        <w:numPr>
          <w:ilvl w:val="0"/>
          <w:numId w:val="1"/>
        </w:numPr>
        <w:spacing w:line="360" w:lineRule="auto"/>
        <w:ind w:left="372" w:leftChars="177" w:firstLine="200"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晶闸管热备状态下，满载并联均流偏差小于10%</w:t>
      </w:r>
    </w:p>
    <w:p>
      <w:pPr>
        <w:keepNext/>
        <w:keepLines/>
        <w:widowControl w:val="0"/>
        <w:spacing w:line="360" w:lineRule="auto"/>
        <w:ind w:firstLine="0" w:firstLineChars="0"/>
        <w:outlineLvl w:val="2"/>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2.3 设备环境要求</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工作温度：最小工作温度0℃,无凝露，最大工作温度45℃；工作平均温度30℃。</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工作湿度：允许工作湿度95%以下，年平均值湿度80%，无凝露，满足盐雾环境运行要求。</w:t>
      </w:r>
    </w:p>
    <w:p>
      <w:pPr>
        <w:keepNext/>
        <w:keepLines/>
        <w:widowControl w:val="0"/>
        <w:spacing w:line="360" w:lineRule="auto"/>
        <w:ind w:firstLine="0" w:firstLineChars="0"/>
        <w:outlineLvl w:val="2"/>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2.4 设备技术要求</w:t>
      </w:r>
    </w:p>
    <w:p>
      <w:pPr>
        <w:numPr>
          <w:ilvl w:val="0"/>
          <w:numId w:val="2"/>
        </w:numPr>
        <w:spacing w:line="360" w:lineRule="auto"/>
        <w:ind w:firstLine="425" w:firstLineChars="0"/>
        <w:jc w:val="left"/>
        <w:rPr>
          <w:rFonts w:hint="eastAsia" w:ascii="宋体" w:hAnsi="宋体" w:eastAsia="宋体" w:cs="宋体"/>
          <w:sz w:val="24"/>
          <w:szCs w:val="22"/>
        </w:rPr>
      </w:pPr>
      <w:r>
        <w:rPr>
          <w:rFonts w:hint="eastAsia" w:ascii="宋体" w:hAnsi="宋体" w:eastAsia="宋体" w:cs="宋体"/>
          <w:sz w:val="24"/>
          <w:szCs w:val="24"/>
        </w:rPr>
        <w:t>当电网电压波动（电压暂降，暂升，短时中断）时，设备系统自动启动，保证敏感负荷无扰动继续工作。电网恢复时，稳压系统无缝退出，避免恢复时刻冲击。</w:t>
      </w:r>
    </w:p>
    <w:p>
      <w:pPr>
        <w:numPr>
          <w:ilvl w:val="0"/>
          <w:numId w:val="2"/>
        </w:numPr>
        <w:spacing w:line="360" w:lineRule="auto"/>
        <w:ind w:firstLine="425" w:firstLineChars="0"/>
        <w:jc w:val="left"/>
        <w:rPr>
          <w:rFonts w:hint="eastAsia" w:ascii="宋体" w:hAnsi="宋体" w:eastAsia="宋体" w:cs="宋体"/>
          <w:sz w:val="24"/>
          <w:szCs w:val="22"/>
        </w:rPr>
      </w:pPr>
      <w:r>
        <w:rPr>
          <w:rFonts w:hint="eastAsia" w:ascii="宋体" w:hAnsi="宋体" w:eastAsia="宋体" w:cs="宋体"/>
          <w:sz w:val="24"/>
          <w:szCs w:val="24"/>
        </w:rPr>
        <w:t>★</w:t>
      </w:r>
      <w:r>
        <w:rPr>
          <w:rFonts w:hint="eastAsia" w:ascii="宋体" w:hAnsi="宋体" w:eastAsia="宋体" w:cs="宋体"/>
          <w:sz w:val="24"/>
          <w:szCs w:val="22"/>
        </w:rPr>
        <w:t>设备中的晶闸管触发回路要求采用双冗余设计，单触发系统故障，只做报警，不影响系统正常工作；</w:t>
      </w:r>
    </w:p>
    <w:p>
      <w:pPr>
        <w:numPr>
          <w:ilvl w:val="0"/>
          <w:numId w:val="2"/>
        </w:numPr>
        <w:spacing w:line="360" w:lineRule="auto"/>
        <w:ind w:firstLine="425" w:firstLineChars="0"/>
        <w:jc w:val="left"/>
        <w:rPr>
          <w:rFonts w:hint="eastAsia" w:ascii="宋体" w:hAnsi="宋体" w:eastAsia="宋体" w:cs="宋体"/>
          <w:sz w:val="24"/>
          <w:szCs w:val="22"/>
        </w:rPr>
      </w:pPr>
      <w:r>
        <w:rPr>
          <w:rFonts w:hint="eastAsia" w:ascii="宋体" w:hAnsi="宋体" w:eastAsia="宋体" w:cs="宋体"/>
          <w:sz w:val="24"/>
          <w:szCs w:val="22"/>
        </w:rPr>
        <w:t>为保证设备工作的系统效率，以及设备的电压输出精度，逆变器输出侧采用三相四线直接并网的技术方案，输出侧不配置变压器。</w:t>
      </w:r>
    </w:p>
    <w:p>
      <w:pPr>
        <w:numPr>
          <w:ilvl w:val="0"/>
          <w:numId w:val="2"/>
        </w:numPr>
        <w:spacing w:line="360" w:lineRule="auto"/>
        <w:ind w:firstLine="425" w:firstLineChars="0"/>
        <w:jc w:val="left"/>
        <w:rPr>
          <w:rFonts w:hint="eastAsia" w:ascii="宋体" w:hAnsi="宋体" w:eastAsia="宋体" w:cs="宋体"/>
          <w:sz w:val="24"/>
          <w:szCs w:val="22"/>
        </w:rPr>
      </w:pPr>
      <w:r>
        <w:rPr>
          <w:rFonts w:hint="eastAsia" w:ascii="宋体" w:hAnsi="宋体" w:eastAsia="宋体" w:cs="宋体"/>
          <w:sz w:val="24"/>
          <w:szCs w:val="24"/>
        </w:rPr>
        <w:t>★整机响应时间（从发生晃电到恢复至额定电压的时间）：＜2ms，需提供国家电控配电设备质量检验检测中心型式试验报告检测数据。</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过载能力：不低于110%，持续不低于30s。</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设备需具备自动旁路设计，可靠性高，保证元件出现故障时，不影响被保护设备的正常工作。</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柜内所有设备（包括继电器、控制开关、断路器、指示灯及其他独立安装的设备）需均有铭牌或标签，方便识别。</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防护等级：IP20以上。</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设备采用标准的完整功能模块设计，设备整体构造简洁，模块统一，替代性强的特点，模块包括电网分离器模块、三相四线输出的逆变器模块和超级电容模块，不接受一体机、塔式机。</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宋体"/>
          <w:sz w:val="24"/>
          <w:szCs w:val="24"/>
        </w:rPr>
        <w:t>★</w:t>
      </w:r>
      <w:r>
        <w:rPr>
          <w:rFonts w:hint="eastAsia" w:ascii="宋体" w:hAnsi="宋体" w:eastAsia="宋体" w:cs="Times New Roman"/>
          <w:sz w:val="24"/>
          <w:szCs w:val="22"/>
        </w:rPr>
        <w:t>DVR系统应采用充分冗余的分布式控制设计，逆变器模块部署数量为N+1设计，任意模块故障，整机均可以正常工作。</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提供超级电容储能系统的设计方案，要求充分考虑超容内阻压降损耗，直流功率损耗等。</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设备须配备必要的保护，保护动作时不影响负荷的正常供电，应包含但不限于以下故障保护：</w:t>
      </w:r>
    </w:p>
    <w:p>
      <w:pPr>
        <w:spacing w:line="360" w:lineRule="auto"/>
        <w:ind w:left="295"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晶闸管过载、晶闸管过流、晶闸管过压、晶闸管过温、晶闸管故障、晶闸管触发脉冲故障、控制电源故障、旁路异常、整体过温、IGBT故障、IGBT过温、直流母线过压、欠压、超容过压、超容欠压、超容过温。</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人机界面应采用不小于10英寸的屏幕，系统应显示充分的信息，以便于运行维护人员观察设备运行状况，定位故障原因，至少应具备的功能有：运行状态显示，主接线图显示，事件记录和显示查询功能，录波功能和显示，功率半导体器件或换流模块的状态信息显示等。</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设备状态界面支持对设备各个模块工况和温度实时显示，超级电容能量存储状态实时显示，以及断路器检修旁路工作状态的实时显示。</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电压暂降/骤升保护记录应有对电压暂降发生时间、持续时间、暂降低深度，暂降后的各相相电压有效值以及是否有效保护的记录。</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设备应具备智能锁功能，登陆界面需要正确输入密码后才可以执行。</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后台通讯部分采用RJ45/（RS485）端口，4G端口，TCP/IP协议，可将实时状态、告警信息、暂降事件、录波信息进行后台传输。设备通讯采光通路为主备冗余模式，任意线路故障，均不影响设备的正常保护工作。</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柜体的框架和外壳采用优质冷轧钢板，柜内隔板、侧板、框架采用敷铝锌钢板制作，板材厚度不小于2.0mm，框架及外壳应有足够的强度，除应满足柜内设备的安装要求外，还应能承受设备内外主电路短路时电动力和热效应。</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柜体需配备外部装置的启动、急停按钮。</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柜体的框架和外壳采用优质冷轧钢板，框架及外壳应有足够的强度，除应满足柜内设备的安装要求外，还应能承受设备内外主电路短路时电动力和热效应，保证在正常搬运、吊装、运输过程中由于受潮、低碰撞等因素造成设备变形损坏。柜体本身应配有散热或排风装置。</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设备具备独立设计的散热风道，即：功率模块、晶闸管及其它主要发热器件均需独立散热设计，保证装置长时间运行的高可靠性。</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装置牢靠，保证在正常搬运、吊装、运输过程中由于受潮、低碰撞等因素造成设备变形损坏。</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柜体本身应配有散热或排风装置，整体系统IP等级达到IP21。</w:t>
      </w:r>
    </w:p>
    <w:p>
      <w:pPr>
        <w:numPr>
          <w:ilvl w:val="0"/>
          <w:numId w:val="2"/>
        </w:numPr>
        <w:spacing w:line="360" w:lineRule="auto"/>
        <w:ind w:firstLine="425" w:firstLineChars="0"/>
        <w:jc w:val="left"/>
        <w:rPr>
          <w:rFonts w:hint="eastAsia" w:ascii="宋体" w:hAnsi="宋体" w:eastAsia="宋体" w:cs="Times New Roman"/>
          <w:sz w:val="24"/>
          <w:szCs w:val="22"/>
        </w:rPr>
      </w:pPr>
      <w:r>
        <w:rPr>
          <w:rFonts w:hint="eastAsia" w:ascii="宋体" w:hAnsi="宋体" w:eastAsia="宋体" w:cs="Times New Roman"/>
          <w:sz w:val="24"/>
          <w:szCs w:val="22"/>
        </w:rPr>
        <w:t>涂层颜色：RAL7035。</w:t>
      </w:r>
    </w:p>
    <w:p>
      <w:pPr>
        <w:numPr>
          <w:ilvl w:val="0"/>
          <w:numId w:val="3"/>
        </w:numPr>
        <w:spacing w:line="360" w:lineRule="auto"/>
        <w:ind w:firstLine="720" w:firstLineChars="300"/>
        <w:jc w:val="left"/>
        <w:rPr>
          <w:rFonts w:ascii="宋体" w:hAnsi="宋体" w:eastAsia="宋体" w:cs="Times New Roman"/>
          <w:sz w:val="24"/>
          <w:szCs w:val="22"/>
        </w:rPr>
      </w:pPr>
      <w:r>
        <w:rPr>
          <w:rFonts w:ascii="宋体" w:hAnsi="宋体" w:eastAsia="宋体" w:cs="Times New Roman"/>
          <w:sz w:val="24"/>
          <w:szCs w:val="22"/>
        </w:rPr>
        <w:t>进线方式下进下出。</w:t>
      </w:r>
    </w:p>
    <w:p>
      <w:pPr>
        <w:numPr>
          <w:ilvl w:val="0"/>
          <w:numId w:val="3"/>
        </w:numPr>
        <w:spacing w:line="360" w:lineRule="auto"/>
        <w:ind w:firstLine="720" w:firstLineChars="300"/>
        <w:jc w:val="left"/>
        <w:rPr>
          <w:rFonts w:hint="eastAsia" w:ascii="宋体" w:hAnsi="宋体" w:eastAsia="宋体" w:cs="Times New Roman"/>
          <w:sz w:val="24"/>
          <w:szCs w:val="22"/>
        </w:rPr>
      </w:pPr>
      <w:r>
        <w:rPr>
          <w:rFonts w:hint="eastAsia" w:ascii="宋体" w:hAnsi="宋体" w:eastAsia="宋体" w:cs="Times New Roman"/>
          <w:sz w:val="24"/>
          <w:szCs w:val="22"/>
        </w:rPr>
        <w:t>核心器件选型</w:t>
      </w:r>
    </w:p>
    <w:p>
      <w:pPr>
        <w:numPr>
          <w:ilvl w:val="-1"/>
          <w:numId w:val="0"/>
        </w:numPr>
        <w:spacing w:line="360" w:lineRule="auto"/>
        <w:ind w:firstLine="1200" w:firstLineChars="500"/>
        <w:jc w:val="left"/>
        <w:rPr>
          <w:rFonts w:hint="eastAsia" w:ascii="宋体" w:hAnsi="宋体" w:eastAsia="宋体" w:cs="Times New Roman"/>
          <w:sz w:val="24"/>
          <w:szCs w:val="22"/>
        </w:rPr>
      </w:pPr>
      <w:r>
        <w:rPr>
          <w:rFonts w:hint="eastAsia" w:ascii="宋体" w:hAnsi="宋体" w:eastAsia="宋体" w:cs="Times New Roman"/>
          <w:sz w:val="24"/>
          <w:szCs w:val="22"/>
          <w:lang w:eastAsia="zh-CN"/>
        </w:rPr>
        <w:t>（</w:t>
      </w:r>
      <w:r>
        <w:rPr>
          <w:rFonts w:hint="eastAsia" w:ascii="宋体" w:hAnsi="宋体" w:eastAsia="宋体" w:cs="Times New Roman"/>
          <w:sz w:val="24"/>
          <w:szCs w:val="22"/>
          <w:lang w:val="en-US" w:eastAsia="zh-CN"/>
        </w:rPr>
        <w:t>1</w:t>
      </w:r>
      <w:r>
        <w:rPr>
          <w:rFonts w:hint="eastAsia" w:ascii="宋体" w:hAnsi="宋体" w:eastAsia="宋体" w:cs="Times New Roman"/>
          <w:sz w:val="24"/>
          <w:szCs w:val="22"/>
          <w:lang w:eastAsia="zh-CN"/>
        </w:rPr>
        <w:t>）</w:t>
      </w:r>
      <w:r>
        <w:rPr>
          <w:rFonts w:hint="eastAsia" w:ascii="宋体" w:hAnsi="宋体" w:eastAsia="宋体" w:cs="Times New Roman"/>
          <w:sz w:val="24"/>
          <w:szCs w:val="22"/>
        </w:rPr>
        <w:t>储能单元:超级电容储能，充放电循环次数不少于100万次，要求设计寿命 10年以上;</w:t>
      </w:r>
    </w:p>
    <w:p>
      <w:pPr>
        <w:numPr>
          <w:ilvl w:val="-1"/>
          <w:numId w:val="0"/>
        </w:numPr>
        <w:spacing w:line="360" w:lineRule="auto"/>
        <w:ind w:firstLine="1200" w:firstLineChars="500"/>
        <w:jc w:val="left"/>
        <w:rPr>
          <w:rFonts w:hint="eastAsia" w:ascii="宋体" w:hAnsi="宋体" w:eastAsia="宋体" w:cs="Times New Roman"/>
          <w:sz w:val="24"/>
          <w:szCs w:val="22"/>
        </w:rPr>
      </w:pPr>
      <w:r>
        <w:rPr>
          <w:rFonts w:hint="eastAsia" w:ascii="宋体" w:hAnsi="宋体" w:eastAsia="宋体" w:cs="Times New Roman"/>
          <w:sz w:val="24"/>
          <w:szCs w:val="22"/>
          <w:lang w:eastAsia="zh-CN"/>
        </w:rPr>
        <w:t>（</w:t>
      </w:r>
      <w:r>
        <w:rPr>
          <w:rFonts w:hint="eastAsia" w:ascii="宋体" w:hAnsi="宋体" w:eastAsia="宋体" w:cs="Times New Roman"/>
          <w:sz w:val="24"/>
          <w:szCs w:val="22"/>
          <w:lang w:val="en-US" w:eastAsia="zh-CN"/>
        </w:rPr>
        <w:t>2</w:t>
      </w:r>
      <w:r>
        <w:rPr>
          <w:rFonts w:hint="eastAsia" w:ascii="宋体" w:hAnsi="宋体" w:eastAsia="宋体" w:cs="Times New Roman"/>
          <w:sz w:val="24"/>
          <w:szCs w:val="22"/>
          <w:lang w:eastAsia="zh-CN"/>
        </w:rPr>
        <w:t>）</w:t>
      </w:r>
      <w:r>
        <w:rPr>
          <w:rFonts w:hint="eastAsia" w:ascii="宋体" w:hAnsi="宋体" w:eastAsia="宋体" w:cs="Times New Roman"/>
          <w:sz w:val="24"/>
          <w:szCs w:val="22"/>
        </w:rPr>
        <w:t xml:space="preserve"> IGBT:优选用英飞凌、西门康或同等质量的品牌;</w:t>
      </w:r>
    </w:p>
    <w:p>
      <w:pPr>
        <w:numPr>
          <w:ilvl w:val="-1"/>
          <w:numId w:val="0"/>
        </w:numPr>
        <w:spacing w:line="360" w:lineRule="auto"/>
        <w:ind w:firstLine="1200" w:firstLineChars="500"/>
        <w:jc w:val="left"/>
        <w:rPr>
          <w:rFonts w:hint="eastAsia" w:ascii="宋体" w:hAnsi="宋体" w:eastAsia="宋体" w:cs="Times New Roman"/>
          <w:sz w:val="24"/>
          <w:szCs w:val="22"/>
        </w:rPr>
      </w:pPr>
      <w:r>
        <w:rPr>
          <w:rFonts w:hint="eastAsia" w:ascii="宋体" w:hAnsi="宋体" w:eastAsia="宋体" w:cs="Times New Roman"/>
          <w:sz w:val="24"/>
          <w:szCs w:val="22"/>
          <w:lang w:eastAsia="zh-CN"/>
        </w:rPr>
        <w:t>（</w:t>
      </w:r>
      <w:r>
        <w:rPr>
          <w:rFonts w:hint="eastAsia" w:ascii="宋体" w:hAnsi="宋体" w:eastAsia="宋体" w:cs="Times New Roman"/>
          <w:sz w:val="24"/>
          <w:szCs w:val="22"/>
          <w:lang w:val="en-US" w:eastAsia="zh-CN"/>
        </w:rPr>
        <w:t>3</w:t>
      </w:r>
      <w:r>
        <w:rPr>
          <w:rFonts w:hint="eastAsia" w:ascii="宋体" w:hAnsi="宋体" w:eastAsia="宋体" w:cs="Times New Roman"/>
          <w:sz w:val="24"/>
          <w:szCs w:val="22"/>
          <w:lang w:eastAsia="zh-CN"/>
        </w:rPr>
        <w:t>）</w:t>
      </w:r>
      <w:r>
        <w:rPr>
          <w:rFonts w:hint="eastAsia" w:ascii="宋体" w:hAnsi="宋体" w:eastAsia="宋体" w:cs="Times New Roman"/>
          <w:sz w:val="24"/>
          <w:szCs w:val="22"/>
        </w:rPr>
        <w:t>晶闸管:优选用台基、中车或同等质量的品牌;</w:t>
      </w:r>
    </w:p>
    <w:p>
      <w:pPr>
        <w:numPr>
          <w:ilvl w:val="-1"/>
          <w:numId w:val="0"/>
        </w:numPr>
        <w:spacing w:line="360" w:lineRule="auto"/>
        <w:ind w:firstLine="1200" w:firstLineChars="500"/>
        <w:jc w:val="left"/>
        <w:rPr>
          <w:rFonts w:hint="eastAsia" w:ascii="宋体" w:hAnsi="宋体" w:eastAsia="宋体" w:cs="Times New Roman"/>
          <w:sz w:val="24"/>
          <w:szCs w:val="22"/>
        </w:rPr>
      </w:pPr>
      <w:r>
        <w:rPr>
          <w:rFonts w:hint="eastAsia" w:ascii="宋体" w:hAnsi="宋体" w:eastAsia="宋体" w:cs="Times New Roman"/>
          <w:sz w:val="24"/>
          <w:szCs w:val="22"/>
          <w:lang w:eastAsia="zh-CN"/>
        </w:rPr>
        <w:t>（</w:t>
      </w:r>
      <w:r>
        <w:rPr>
          <w:rFonts w:hint="eastAsia" w:ascii="宋体" w:hAnsi="宋体" w:eastAsia="宋体" w:cs="Times New Roman"/>
          <w:sz w:val="24"/>
          <w:szCs w:val="22"/>
          <w:lang w:val="en-US" w:eastAsia="zh-CN"/>
        </w:rPr>
        <w:t>4</w:t>
      </w:r>
      <w:r>
        <w:rPr>
          <w:rFonts w:hint="eastAsia" w:ascii="宋体" w:hAnsi="宋体" w:eastAsia="宋体" w:cs="Times New Roman"/>
          <w:sz w:val="24"/>
          <w:szCs w:val="22"/>
          <w:lang w:eastAsia="zh-CN"/>
        </w:rPr>
        <w:t>）</w:t>
      </w:r>
      <w:r>
        <w:rPr>
          <w:rFonts w:hint="eastAsia" w:ascii="宋体" w:hAnsi="宋体" w:eastAsia="宋体" w:cs="Times New Roman"/>
          <w:sz w:val="24"/>
          <w:szCs w:val="22"/>
        </w:rPr>
        <w:t>配电柜双电源开关等元器件需选用国内外一线优质品牌。</w:t>
      </w:r>
    </w:p>
    <w:p>
      <w:pPr>
        <w:keepNext/>
        <w:keepLines/>
        <w:widowControl w:val="0"/>
        <w:spacing w:line="360" w:lineRule="auto"/>
        <w:ind w:firstLine="0" w:firstLineChars="0"/>
        <w:outlineLvl w:val="2"/>
        <w:rPr>
          <w:rFonts w:hint="eastAsia"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2.5  防腐要求</w:t>
      </w:r>
    </w:p>
    <w:p>
      <w:pPr>
        <w:widowControl w:val="0"/>
        <w:spacing w:after="0" w:line="360" w:lineRule="auto"/>
        <w:ind w:firstLine="480" w:firstLineChars="200"/>
        <w:jc w:val="left"/>
        <w:rPr>
          <w:rFonts w:ascii="宋体" w:hAnsi="宋体" w:eastAsia="宋体" w:cs="Times New Roman"/>
          <w:kern w:val="2"/>
          <w:sz w:val="24"/>
          <w:szCs w:val="22"/>
          <w:lang w:val="en-US" w:eastAsia="zh-CN" w:bidi="ar-SA"/>
        </w:rPr>
      </w:pPr>
      <w:r>
        <w:rPr>
          <w:rFonts w:ascii="宋体" w:hAnsi="宋体" w:eastAsia="宋体" w:cs="Times New Roman"/>
          <w:kern w:val="2"/>
          <w:sz w:val="24"/>
          <w:szCs w:val="22"/>
          <w:lang w:val="en-US" w:eastAsia="zh-CN" w:bidi="ar-SA"/>
        </w:rPr>
        <w:t>本项目所有电气设备的金属构架、电气元件、集成电路板，装置整体均须考虑防腐、防潮设计，以适应高温高湿高盐雾的海洋性气候环境。</w:t>
      </w:r>
    </w:p>
    <w:p>
      <w:pPr>
        <w:widowControl w:val="0"/>
        <w:spacing w:after="0" w:line="360" w:lineRule="auto"/>
        <w:ind w:firstLine="480" w:firstLineChars="200"/>
        <w:jc w:val="left"/>
        <w:rPr>
          <w:rFonts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w:t>
      </w:r>
      <w:r>
        <w:rPr>
          <w:rFonts w:hint="eastAsia" w:ascii="宋体" w:hAnsi="宋体" w:eastAsia="宋体" w:cs="宋体"/>
          <w:kern w:val="2"/>
          <w:sz w:val="24"/>
          <w:szCs w:val="24"/>
          <w:lang w:val="en-US" w:eastAsia="zh-CN" w:bidi="ar-SA"/>
        </w:rPr>
        <w:t>★</w:t>
      </w:r>
      <w:r>
        <w:rPr>
          <w:rFonts w:hint="eastAsia" w:ascii="宋体" w:hAnsi="宋体" w:eastAsia="宋体" w:cs="Times New Roman"/>
          <w:kern w:val="2"/>
          <w:sz w:val="24"/>
          <w:szCs w:val="22"/>
          <w:lang w:val="en-US" w:eastAsia="zh-CN" w:bidi="ar-SA"/>
        </w:rPr>
        <w:t>本项目中所有电气设备的所有电路板须做三防处理。所有电气设备及其元部件，其材质及表面处理工艺，应能适应高温高湿高盐雾的海洋气候特点，并满足文昌滨海C4强度的腐蚀环境使用要求和防潮措施；</w:t>
      </w:r>
    </w:p>
    <w:p>
      <w:pPr>
        <w:widowControl w:val="0"/>
        <w:spacing w:after="0" w:line="360" w:lineRule="auto"/>
        <w:ind w:firstLine="480" w:firstLineChars="200"/>
        <w:jc w:val="left"/>
        <w:rPr>
          <w:rFonts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2）DVR、双电源转换开关柜等装置自身应具备自动加热除湿功能。</w:t>
      </w:r>
    </w:p>
    <w:p>
      <w:pPr>
        <w:widowControl w:val="0"/>
        <w:spacing w:after="0" w:line="360" w:lineRule="auto"/>
        <w:ind w:firstLine="480" w:firstLineChars="200"/>
        <w:jc w:val="left"/>
        <w:rPr>
          <w:rFonts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3）高低压配电柜板材采用优质覆铝锌钢板，厚度不小于2mm。</w:t>
      </w:r>
    </w:p>
    <w:p>
      <w:pPr>
        <w:keepNext/>
        <w:keepLines/>
        <w:widowControl w:val="0"/>
        <w:spacing w:line="360" w:lineRule="auto"/>
        <w:ind w:firstLine="0" w:firstLineChars="0"/>
        <w:outlineLvl w:val="2"/>
        <w:rPr>
          <w:rFonts w:hint="eastAsia"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2.6 设备安装要求</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1）配电柜内铜牌安装</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柜内铜牌安装，必须符合设计要求。</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铜牌应镀锡，表面应光滑平整，不应有裂纹、变形和扭曲缺陷。</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金属紧固件及卡件，必须符合设计要求，应是镀锌制品的标准件。</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绝缘材料及瓷件的型号、规格、电压等级应符合设计要求。外观质量无损伤及裂纹、绝缘良好。</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铜牌采用螺栓连接时，螺栓、平垫、弹簧垫必须匹配齐全，螺栓紧固后丝扣应露出螺母外3-5mm。</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铜牌相序排列必须符合规范要求。安装应平整、整齐、美观。</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2）配电柜内二次回路结线</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按照电气原理图检查柜内二次回路结线是否正确。</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控制线校线后要套上线号，将每根芯线煨成圈，用镀锌螺丝、垫圈、弹簧垫连接在每个端子板上。并应严格控制端子板上的接线数量，每侧一般一端子压一根线，最多不超过两根，必须在两根线间应加垫圈。多股线应涮锡，严禁产生断股缺陷。</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3）配电柜内馈电电缆安装</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馈线电缆进入柜内要做热缩电缆头，相线要套热缩相色带，电缆头制作好后，要牢固固定在柜底部电缆支架上。相线过长要加装绝缘橡胶垫用卡子固定在柜体上。</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电缆头与设备连接时相序颜色要一致。</w:t>
      </w: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16mm2以上的导线要用压线鼻子和设备连接。电缆头的相线要顺直，不要受外力扭曲。压线鼻子和设备连接要用套筒扳手紧固，力矩要适宜。</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4）配电柜双电源开关灯元器件需选用国内外一线优质品牌。</w:t>
      </w:r>
    </w:p>
    <w:p>
      <w:pPr>
        <w:keepNext/>
        <w:keepLines/>
        <w:widowControl w:val="0"/>
        <w:spacing w:line="360" w:lineRule="auto"/>
        <w:ind w:firstLine="0" w:firstLineChars="0"/>
        <w:outlineLvl w:val="2"/>
        <w:rPr>
          <w:rFonts w:ascii="等线 Light" w:hAnsi="等线 Light" w:eastAsia="宋体" w:cs="Times New Roman"/>
          <w:b/>
          <w:bCs/>
          <w:kern w:val="2"/>
          <w:sz w:val="24"/>
          <w:szCs w:val="32"/>
          <w:lang w:val="en-US" w:eastAsia="zh-CN" w:bidi="ar-SA"/>
        </w:rPr>
      </w:pPr>
      <w:r>
        <w:rPr>
          <w:rFonts w:hint="eastAsia" w:ascii="等线 Light" w:hAnsi="等线 Light" w:eastAsia="宋体" w:cs="Times New Roman"/>
          <w:b/>
          <w:bCs/>
          <w:kern w:val="2"/>
          <w:sz w:val="24"/>
          <w:szCs w:val="32"/>
          <w:lang w:val="en-US" w:eastAsia="zh-CN" w:bidi="ar-SA"/>
        </w:rPr>
        <w:t>2.7 设备检验及型式试验标准</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设备最低标准应符合DL/T1229-2013   《动态电压恢复器技术规范》</w:t>
      </w:r>
    </w:p>
    <w:p>
      <w:pPr>
        <w:keepNext/>
        <w:keepLines/>
        <w:widowControl w:val="0"/>
        <w:spacing w:line="360" w:lineRule="auto"/>
        <w:ind w:firstLine="0" w:firstLineChars="0"/>
        <w:outlineLvl w:val="0"/>
        <w:rPr>
          <w:rFonts w:ascii="宋体" w:hAnsi="宋体" w:eastAsia="宋体" w:cs="Times New Roman"/>
          <w:b/>
          <w:bCs/>
          <w:kern w:val="44"/>
          <w:sz w:val="24"/>
          <w:szCs w:val="44"/>
          <w:lang w:val="en-US" w:eastAsia="zh-CN" w:bidi="ar-SA"/>
        </w:rPr>
      </w:pPr>
      <w:r>
        <w:rPr>
          <w:rFonts w:hint="eastAsia" w:ascii="宋体" w:hAnsi="宋体" w:eastAsia="宋体" w:cs="Times New Roman"/>
          <w:b/>
          <w:bCs/>
          <w:kern w:val="44"/>
          <w:sz w:val="24"/>
          <w:szCs w:val="44"/>
          <w:lang w:val="en-US" w:eastAsia="zh-CN" w:bidi="ar-SA"/>
        </w:rPr>
        <w:t>3 分工界面</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DVR装置的安装、调试由乙方负责，与相关方的主要分工界面如下：</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1)</w:t>
      </w:r>
      <w:r>
        <w:rPr>
          <w:rFonts w:hint="eastAsia" w:ascii="宋体" w:hAnsi="宋体" w:eastAsia="宋体" w:cs="Times New Roman"/>
          <w:sz w:val="24"/>
          <w:szCs w:val="22"/>
        </w:rPr>
        <w:tab/>
      </w:r>
      <w:r>
        <w:rPr>
          <w:rFonts w:hint="eastAsia" w:ascii="宋体" w:hAnsi="宋体" w:eastAsia="宋体" w:cs="Times New Roman"/>
          <w:sz w:val="24"/>
          <w:szCs w:val="22"/>
        </w:rPr>
        <w:t>甲方负责设备安装、调试期间的条件保障，包括设备装卸货场地、临时贮存场地等，所产生的相关费用由乙方负责；</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2)</w:t>
      </w:r>
      <w:r>
        <w:rPr>
          <w:rFonts w:hint="eastAsia" w:ascii="宋体" w:hAnsi="宋体" w:eastAsia="宋体" w:cs="Times New Roman"/>
          <w:sz w:val="24"/>
          <w:szCs w:val="22"/>
        </w:rPr>
        <w:tab/>
      </w:r>
      <w:r>
        <w:rPr>
          <w:rFonts w:hint="eastAsia" w:ascii="宋体" w:hAnsi="宋体" w:eastAsia="宋体" w:cs="Times New Roman"/>
          <w:sz w:val="24"/>
          <w:szCs w:val="22"/>
        </w:rPr>
        <w:t xml:space="preserve">乙方负责设备到场的就位、安装、系统接入的工程实施和设备的调试; </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3)</w:t>
      </w:r>
      <w:r>
        <w:rPr>
          <w:rFonts w:hint="eastAsia" w:ascii="宋体" w:hAnsi="宋体" w:eastAsia="宋体" w:cs="Times New Roman"/>
          <w:sz w:val="24"/>
          <w:szCs w:val="22"/>
        </w:rPr>
        <w:tab/>
      </w:r>
      <w:r>
        <w:rPr>
          <w:rFonts w:hint="eastAsia" w:ascii="宋体" w:hAnsi="宋体" w:eastAsia="宋体" w:cs="Times New Roman"/>
          <w:sz w:val="24"/>
          <w:szCs w:val="22"/>
        </w:rPr>
        <w:t>乙方负责甲方工程师的系统培训；</w:t>
      </w:r>
    </w:p>
    <w:p>
      <w:pPr>
        <w:keepNext/>
        <w:keepLines/>
        <w:widowControl w:val="0"/>
        <w:spacing w:line="360" w:lineRule="auto"/>
        <w:ind w:firstLine="0" w:firstLineChars="0"/>
        <w:outlineLvl w:val="0"/>
        <w:rPr>
          <w:rFonts w:hint="eastAsia" w:ascii="宋体" w:hAnsi="宋体" w:eastAsia="宋体" w:cs="Times New Roman"/>
          <w:b/>
          <w:bCs/>
          <w:kern w:val="44"/>
          <w:sz w:val="24"/>
          <w:szCs w:val="44"/>
          <w:lang w:val="en-US" w:eastAsia="zh-CN" w:bidi="ar-SA"/>
        </w:rPr>
      </w:pPr>
      <w:r>
        <w:rPr>
          <w:rFonts w:hint="eastAsia" w:ascii="宋体" w:hAnsi="宋体" w:eastAsia="宋体" w:cs="Times New Roman"/>
          <w:b/>
          <w:bCs/>
          <w:kern w:val="44"/>
          <w:sz w:val="24"/>
          <w:szCs w:val="44"/>
          <w:lang w:val="en-US" w:eastAsia="zh-CN" w:bidi="ar-SA"/>
        </w:rPr>
        <w:t>4 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动态电压恢复装置应为技术成熟产品，必须取得国家电控配电设备质量检验检测中心出具的型式试验检验报告。投标人需要在投标文件中提供检验报告，且报告所检测内容，应能体现、覆盖此次招标设备的技术规格。</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1)</w:t>
      </w:r>
      <w:r>
        <w:rPr>
          <w:rFonts w:hint="eastAsia" w:ascii="宋体" w:hAnsi="宋体" w:eastAsia="宋体" w:cs="Times New Roman"/>
          <w:sz w:val="24"/>
          <w:szCs w:val="22"/>
        </w:rPr>
        <w:tab/>
      </w:r>
      <w:r>
        <w:rPr>
          <w:rFonts w:hint="eastAsia" w:ascii="宋体" w:hAnsi="宋体" w:eastAsia="宋体" w:cs="Times New Roman"/>
          <w:sz w:val="24"/>
          <w:szCs w:val="22"/>
        </w:rPr>
        <w:t>甲方编制项目《验收大纲》，作为本项目验收的依据。乙方编制《系统安装、调试细则》，经评审后，作为系统安装、调试的技术依据。</w:t>
      </w:r>
    </w:p>
    <w:p>
      <w:pPr>
        <w:spacing w:line="360" w:lineRule="auto"/>
        <w:ind w:firstLine="480" w:firstLineChars="200"/>
        <w:jc w:val="left"/>
        <w:rPr>
          <w:rFonts w:hint="eastAsia" w:ascii="宋体" w:hAnsi="宋体" w:eastAsia="宋体" w:cs="Times New Roman"/>
          <w:sz w:val="24"/>
          <w:szCs w:val="22"/>
        </w:rPr>
      </w:pPr>
      <w:r>
        <w:rPr>
          <w:rFonts w:hint="eastAsia" w:ascii="宋体" w:hAnsi="宋体" w:eastAsia="宋体" w:cs="Times New Roman"/>
          <w:sz w:val="24"/>
          <w:szCs w:val="22"/>
        </w:rPr>
        <w:t>2)</w:t>
      </w:r>
      <w:r>
        <w:rPr>
          <w:rFonts w:hint="eastAsia" w:ascii="宋体" w:hAnsi="宋体" w:eastAsia="宋体" w:cs="Times New Roman"/>
          <w:sz w:val="24"/>
          <w:szCs w:val="22"/>
        </w:rPr>
        <w:tab/>
      </w:r>
      <w:r>
        <w:rPr>
          <w:rFonts w:hint="eastAsia" w:ascii="宋体" w:hAnsi="宋体" w:eastAsia="宋体" w:cs="Times New Roman"/>
          <w:sz w:val="24"/>
          <w:szCs w:val="22"/>
        </w:rPr>
        <w:t>到货安装、调试完成后，乙方完成设备安装、调试报告，甲方完成设备测试报告，并形成到货验收结论。</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试验报告至少要包括以下检测内容且报告内容不低于以下要求：</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1、电气间隙和爬电距离验证。</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2、介电强度试验。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★3、测量精度试验：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要求相对误差≤1%。</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★4、保护功能测试：</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包含：过电流保护，直流母线过压、欠压保护，功率半导体器件故障保护，控制系统故障保护，冷却系统保护，上电自检，晶闸管短路故障保护，主控制器与晶闸管驱动板通讯故障保护，显示记录功能检查，DSP程序异常复位保护，系统采样信号异常保护，控制系统电源异常保护。</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5、 EMC试验。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★6、空载电压发生试验：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要求电压补偿精度≤1.5%，电压谐波≤2.2%。</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★7、响应时间测试：</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要求电压恢复时间＜2ms</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★8、自动补偿试验：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要求输出电压不平衡度≤0.5%，频率跟踪误差≤0.02Hz，电压补偿度≥99%，电压补偿精度≤2%。</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9、额定补偿时间测试：</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要求不小于额定补偿时间。</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★10、损耗试验：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要求损耗≤1%。</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★11、电压损失试验：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要求电压损失≤2.5%。</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★12、最小补偿间隔时间：</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要求≤5s。</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13、短时电流耐受试验。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14、温升及过载能力试验。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★15、噪声测量：</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要求≤70dB。</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★16、连续通电试验：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装置按照正常工作接入电路，使装置按实际工作状态下连续运行，每隔半小时手动进行一次补偿试验，持续 72 小时，装置各种动作、功能及程序正确无误。</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★17、耐湿热性能环境试验：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要求在此情况下电压测量相对误差≤1%，电流测量相对误差≤1%。</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★18、补偿退出角度试验：</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装置按照正常工作接入电路，用电压发生器模拟电压暂降，电压发生器恢复正常电网电压，装置在逆变运行状态，待电网电压恢复正常时，退出补偿时刻相角差小于5度。</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3）设备必须是制造商原厂产品，不接受贴牌。在设备制造过程中，招标人有权派出监造人员到制造商工厂对设备的生产制造进行监造。具体监造人员数量和监造时间由招标人确定，制造商应提供相应接待和服务。监造内容包含但不限于核查产品相关图纸、技术标准、制造工艺、关键器件等。</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4）在设备出厂前，招标人有权派出监造人员进行出厂功能检验（厂验）。厂验内容应包括但不限于试运行、电压暂降补偿测试、模拟设备异常时切自动旁路功能、旁路与补偿回路切换功能、带负载能力测试及补偿能力测试等。</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keepNext/>
        <w:keepLines/>
        <w:widowControl w:val="0"/>
        <w:spacing w:line="240" w:lineRule="auto"/>
        <w:ind w:firstLine="0" w:firstLineChars="0"/>
        <w:outlineLvl w:val="0"/>
        <w:rPr>
          <w:rFonts w:hint="eastAsia" w:ascii="宋体" w:hAnsi="宋体" w:eastAsia="宋体" w:cs="Times New Roman"/>
          <w:b/>
          <w:bCs/>
          <w:kern w:val="44"/>
          <w:sz w:val="24"/>
          <w:szCs w:val="44"/>
          <w:lang w:val="en-US" w:eastAsia="zh-CN" w:bidi="ar-SA"/>
        </w:rPr>
      </w:pPr>
      <w:r>
        <w:rPr>
          <w:rFonts w:hint="eastAsia" w:ascii="宋体" w:hAnsi="宋体" w:eastAsia="宋体" w:cs="Times New Roman"/>
          <w:b/>
          <w:bCs/>
          <w:kern w:val="44"/>
          <w:sz w:val="24"/>
          <w:szCs w:val="44"/>
          <w:lang w:val="en-US" w:eastAsia="zh-CN" w:bidi="ar-SA"/>
        </w:rPr>
        <w:t>5 其他要求</w:t>
      </w: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系统经双方测试合格并通过验收评审后，乙方向甲方移交系统实物和设备使用手册等相关技术资料，文件清单包含但不局限于附件1。</w:t>
      </w: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备品备件要求：</w:t>
      </w:r>
    </w:p>
    <w:p>
      <w:pPr>
        <w:numPr>
          <w:ilvl w:val="0"/>
          <w:numId w:val="4"/>
        </w:numPr>
        <w:spacing w:line="360" w:lineRule="auto"/>
        <w:ind w:firstLine="426" w:firstLineChars="0"/>
        <w:jc w:val="left"/>
        <w:rPr>
          <w:rFonts w:hint="eastAsia" w:ascii="宋体" w:hAnsi="宋体" w:eastAsia="宋体" w:cs="Times New Roman"/>
          <w:sz w:val="24"/>
          <w:szCs w:val="22"/>
        </w:rPr>
      </w:pPr>
      <w:r>
        <w:rPr>
          <w:rFonts w:hint="eastAsia" w:ascii="宋体" w:hAnsi="宋体" w:eastAsia="宋体" w:cs="Times New Roman"/>
          <w:sz w:val="24"/>
          <w:szCs w:val="22"/>
        </w:rPr>
        <w:t>提供能保证设备正常安装、调试和运行必需的材料和工具。</w:t>
      </w:r>
    </w:p>
    <w:p>
      <w:pPr>
        <w:numPr>
          <w:ilvl w:val="0"/>
          <w:numId w:val="4"/>
        </w:numPr>
        <w:spacing w:line="360" w:lineRule="auto"/>
        <w:ind w:firstLine="426" w:firstLineChars="0"/>
        <w:jc w:val="left"/>
        <w:rPr>
          <w:rFonts w:hint="eastAsia" w:ascii="宋体" w:hAnsi="宋体" w:eastAsia="宋体" w:cs="Times New Roman"/>
          <w:sz w:val="24"/>
          <w:szCs w:val="22"/>
        </w:rPr>
      </w:pPr>
      <w:r>
        <w:rPr>
          <w:rFonts w:hint="eastAsia" w:ascii="宋体" w:hAnsi="宋体" w:eastAsia="宋体" w:cs="Times New Roman"/>
          <w:sz w:val="24"/>
          <w:szCs w:val="22"/>
        </w:rPr>
        <w:t>保证供应链不中断，以保障设备的连续正常运转。</w:t>
      </w:r>
    </w:p>
    <w:p>
      <w:pPr>
        <w:numPr>
          <w:ilvl w:val="0"/>
          <w:numId w:val="4"/>
        </w:numPr>
        <w:spacing w:line="360" w:lineRule="auto"/>
        <w:ind w:firstLine="426" w:firstLineChars="0"/>
        <w:jc w:val="left"/>
        <w:rPr>
          <w:rFonts w:hint="eastAsia" w:ascii="宋体" w:hAnsi="宋体" w:eastAsia="宋体" w:cs="Times New Roman"/>
          <w:sz w:val="24"/>
          <w:szCs w:val="22"/>
        </w:rPr>
      </w:pPr>
      <w:r>
        <w:rPr>
          <w:rFonts w:hint="eastAsia" w:ascii="宋体" w:hAnsi="宋体" w:eastAsia="宋体" w:cs="Times New Roman"/>
          <w:sz w:val="24"/>
          <w:szCs w:val="22"/>
        </w:rPr>
        <w:t>提供设备正常维修用的专用工具。</w:t>
      </w:r>
    </w:p>
    <w:p>
      <w:pPr>
        <w:numPr>
          <w:ilvl w:val="0"/>
          <w:numId w:val="4"/>
        </w:numPr>
        <w:spacing w:line="360" w:lineRule="auto"/>
        <w:ind w:firstLine="426" w:firstLineChars="0"/>
        <w:jc w:val="left"/>
        <w:rPr>
          <w:rFonts w:hint="eastAsia" w:ascii="宋体" w:hAnsi="宋体" w:eastAsia="宋体" w:cs="Times New Roman"/>
          <w:sz w:val="24"/>
          <w:szCs w:val="22"/>
        </w:rPr>
      </w:pPr>
      <w:r>
        <w:rPr>
          <w:rFonts w:hint="eastAsia" w:ascii="宋体" w:hAnsi="宋体" w:eastAsia="宋体" w:cs="Times New Roman"/>
          <w:sz w:val="24"/>
          <w:szCs w:val="22"/>
        </w:rPr>
        <w:t>提供主要部件的详细清单，包括非标件规格尺寸、标准件的型号。</w:t>
      </w:r>
    </w:p>
    <w:p>
      <w:pPr>
        <w:numPr>
          <w:ilvl w:val="0"/>
          <w:numId w:val="4"/>
        </w:numPr>
        <w:spacing w:line="360" w:lineRule="auto"/>
        <w:ind w:firstLine="426" w:firstLineChars="0"/>
        <w:jc w:val="left"/>
        <w:rPr>
          <w:rFonts w:hint="eastAsia" w:ascii="宋体" w:hAnsi="宋体" w:eastAsia="宋体" w:cs="Times New Roman"/>
          <w:sz w:val="24"/>
          <w:szCs w:val="22"/>
        </w:rPr>
      </w:pPr>
      <w:r>
        <w:rPr>
          <w:rFonts w:hint="eastAsia" w:ascii="宋体" w:hAnsi="宋体" w:eastAsia="宋体" w:cs="Times New Roman"/>
          <w:sz w:val="24"/>
          <w:szCs w:val="22"/>
        </w:rPr>
        <w:t>无论是在质保期内还是质保期外，以最优惠的价格提供配件及易损件。</w:t>
      </w:r>
    </w:p>
    <w:p>
      <w:pPr>
        <w:numPr>
          <w:ilvl w:val="0"/>
          <w:numId w:val="4"/>
        </w:numPr>
        <w:spacing w:line="360" w:lineRule="auto"/>
        <w:ind w:firstLine="426" w:firstLineChars="0"/>
        <w:jc w:val="left"/>
        <w:rPr>
          <w:rFonts w:hint="eastAsia" w:ascii="宋体" w:hAnsi="宋体" w:eastAsia="宋体" w:cs="Times New Roman"/>
          <w:sz w:val="24"/>
          <w:szCs w:val="22"/>
        </w:rPr>
      </w:pPr>
      <w:r>
        <w:rPr>
          <w:rFonts w:hint="eastAsia" w:ascii="宋体" w:hAnsi="宋体" w:eastAsia="宋体" w:cs="Times New Roman"/>
          <w:sz w:val="24"/>
          <w:szCs w:val="22"/>
        </w:rPr>
        <w:t>提供能保证设备正常安装、调试和运行必需的材料和工具。</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7）中标方在合同生效后一周提供有关的系统图、原理图、外形排列等，在使用方审核确认后方可生产。</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8）中标方需提供动态电压保护系统技术资料、使用说明书、出厂性能测试报告、合格证等。</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9）最终交付资料：图纸资料纸质档、电子档各1份。</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10）质保期为2年，在质保期内成套设备中任何部分属于质量问题而损坏的，投标人均应免费修理及更换。</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11）质保期满后，中标方提供终生维修服务及技术支持，设备维修只收取更换的零配件成本及合理差旅、人工费用。</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12）无论在保修期内还是保修期外，系统设备如出现故障，投标人在接到用户电话或传真后，2小时内出具初步解决方案，在12小时内赶到现场，并于24小时内修复完成。</w:t>
      </w: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0" w:firstLineChars="0"/>
        <w:jc w:val="left"/>
        <w:rPr>
          <w:rFonts w:hint="eastAsia" w:ascii="宋体" w:hAnsi="宋体" w:eastAsia="宋体" w:cs="Times New Roman"/>
          <w:kern w:val="2"/>
          <w:sz w:val="24"/>
          <w:szCs w:val="22"/>
          <w:lang w:val="en-US" w:eastAsia="zh-CN" w:bidi="ar-SA"/>
        </w:rPr>
      </w:pPr>
    </w:p>
    <w:p>
      <w:pPr>
        <w:widowControl w:val="0"/>
        <w:spacing w:after="0" w:line="360" w:lineRule="auto"/>
        <w:ind w:firstLine="0" w:firstLineChars="0"/>
        <w:jc w:val="left"/>
        <w:rPr>
          <w:rFonts w:hint="eastAsia" w:ascii="宋体" w:hAnsi="宋体" w:eastAsia="宋体" w:cs="Times New Roman"/>
          <w:kern w:val="2"/>
          <w:sz w:val="24"/>
          <w:szCs w:val="22"/>
          <w:lang w:val="en-US" w:eastAsia="zh-CN" w:bidi="ar-SA"/>
        </w:rPr>
      </w:pPr>
    </w:p>
    <w:p>
      <w:pPr>
        <w:spacing w:line="360" w:lineRule="auto"/>
        <w:ind w:firstLine="480" w:firstLineChars="200"/>
        <w:jc w:val="left"/>
        <w:rPr>
          <w:rFonts w:ascii="宋体" w:hAnsi="宋体" w:eastAsia="宋体" w:cs="Times New Roman"/>
          <w:sz w:val="24"/>
          <w:szCs w:val="22"/>
        </w:rPr>
      </w:pPr>
      <w:r>
        <w:rPr>
          <w:rFonts w:hint="eastAsia" w:ascii="宋体" w:hAnsi="宋体" w:eastAsia="宋体" w:cs="Times New Roman"/>
          <w:sz w:val="24"/>
          <w:szCs w:val="22"/>
        </w:rPr>
        <w:t>附表1  设备产品资料清单</w:t>
      </w:r>
    </w:p>
    <w:p>
      <w:pPr>
        <w:spacing w:line="360" w:lineRule="auto"/>
        <w:ind w:firstLine="480" w:firstLineChars="200"/>
        <w:jc w:val="left"/>
        <w:rPr>
          <w:rFonts w:hint="eastAsia" w:ascii="宋体" w:hAnsi="宋体" w:eastAsia="宋体" w:cs="Times New Roman"/>
          <w:sz w:val="24"/>
          <w:szCs w:val="22"/>
        </w:rPr>
      </w:pPr>
    </w:p>
    <w:tbl>
      <w:tblPr>
        <w:tblStyle w:val="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456"/>
        <w:gridCol w:w="5394"/>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06"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序号</w:t>
            </w:r>
          </w:p>
        </w:tc>
        <w:tc>
          <w:tcPr>
            <w:tcW w:w="854"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项目分类</w:t>
            </w:r>
          </w:p>
        </w:tc>
        <w:tc>
          <w:tcPr>
            <w:tcW w:w="316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资料名称</w:t>
            </w:r>
          </w:p>
        </w:tc>
        <w:tc>
          <w:tcPr>
            <w:tcW w:w="47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restar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技术文件</w:t>
            </w: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产品说明书</w:t>
            </w:r>
          </w:p>
        </w:tc>
        <w:tc>
          <w:tcPr>
            <w:tcW w:w="475" w:type="pct"/>
            <w:vMerge w:val="restar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技术交底文件</w:t>
            </w:r>
          </w:p>
        </w:tc>
        <w:tc>
          <w:tcPr>
            <w:tcW w:w="475"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设备一二次图</w:t>
            </w:r>
          </w:p>
        </w:tc>
        <w:tc>
          <w:tcPr>
            <w:tcW w:w="475"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设备结构图</w:t>
            </w:r>
          </w:p>
        </w:tc>
        <w:tc>
          <w:tcPr>
            <w:tcW w:w="475"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售后服务文件</w:t>
            </w:r>
          </w:p>
        </w:tc>
        <w:tc>
          <w:tcPr>
            <w:tcW w:w="47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设备出厂测试文件</w:t>
            </w:r>
          </w:p>
        </w:tc>
        <w:tc>
          <w:tcPr>
            <w:tcW w:w="47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产品合格证</w:t>
            </w:r>
          </w:p>
        </w:tc>
        <w:tc>
          <w:tcPr>
            <w:tcW w:w="47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restar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安装调试</w:t>
            </w:r>
          </w:p>
        </w:tc>
        <w:tc>
          <w:tcPr>
            <w:tcW w:w="3165" w:type="pct"/>
            <w:noWrap w:val="0"/>
            <w:vAlign w:val="center"/>
          </w:tcPr>
          <w:p>
            <w:pPr>
              <w:widowControl w:val="0"/>
              <w:spacing w:line="360" w:lineRule="auto"/>
              <w:ind w:firstLine="0" w:firstLineChars="0"/>
              <w:jc w:val="center"/>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项目工程实施方案详述</w:t>
            </w:r>
          </w:p>
        </w:tc>
        <w:tc>
          <w:tcPr>
            <w:tcW w:w="47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pct"/>
            <w:noWrap w:val="0"/>
            <w:vAlign w:val="center"/>
          </w:tcPr>
          <w:p>
            <w:pPr>
              <w:widowControl w:val="0"/>
              <w:numPr>
                <w:ilvl w:val="0"/>
                <w:numId w:val="5"/>
              </w:numPr>
              <w:spacing w:line="360" w:lineRule="auto"/>
              <w:ind w:left="284" w:hanging="284" w:firstLineChars="0"/>
              <w:jc w:val="center"/>
              <w:rPr>
                <w:rFonts w:hint="eastAsia" w:ascii="宋体" w:hAnsi="宋体" w:eastAsia="宋体" w:cs="Times New Roman"/>
                <w:kern w:val="2"/>
                <w:sz w:val="21"/>
                <w:szCs w:val="21"/>
                <w:lang w:val="en-US" w:eastAsia="zh-CN" w:bidi="ar-SA"/>
              </w:rPr>
            </w:pPr>
          </w:p>
        </w:tc>
        <w:tc>
          <w:tcPr>
            <w:tcW w:w="854" w:type="pct"/>
            <w:vMerge w:val="continue"/>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c>
          <w:tcPr>
            <w:tcW w:w="316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安装调试总结报告</w:t>
            </w:r>
          </w:p>
        </w:tc>
        <w:tc>
          <w:tcPr>
            <w:tcW w:w="475" w:type="pct"/>
            <w:noWrap w:val="0"/>
            <w:vAlign w:val="center"/>
          </w:tcPr>
          <w:p>
            <w:pPr>
              <w:widowControl w:val="0"/>
              <w:spacing w:line="360" w:lineRule="auto"/>
              <w:ind w:firstLine="0" w:firstLineChars="0"/>
              <w:jc w:val="center"/>
              <w:rPr>
                <w:rFonts w:hint="eastAsia" w:ascii="宋体" w:hAnsi="宋体" w:eastAsia="宋体" w:cs="Times New Roman"/>
                <w:kern w:val="2"/>
                <w:sz w:val="21"/>
                <w:szCs w:val="21"/>
                <w:lang w:val="en-US" w:eastAsia="zh-CN" w:bidi="ar-SA"/>
              </w:rPr>
            </w:pPr>
          </w:p>
        </w:tc>
      </w:tr>
    </w:tbl>
    <w:p>
      <w:pPr>
        <w:spacing w:line="360" w:lineRule="auto"/>
        <w:ind w:firstLine="0" w:firstLineChars="0"/>
        <w:jc w:val="left"/>
        <w:rPr>
          <w:rFonts w:hint="eastAsia" w:ascii="宋体" w:hAnsi="宋体" w:eastAsia="宋体" w:cs="Times New Roman"/>
          <w:sz w:val="24"/>
          <w:szCs w:val="22"/>
        </w:rPr>
      </w:pPr>
      <w:bookmarkStart w:id="1" w:name="_Toc17411"/>
    </w:p>
    <w:bookmarkEnd w:id="1"/>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p>
    <w:p>
      <w:pPr>
        <w:widowControl w:val="0"/>
        <w:spacing w:after="0" w:line="360" w:lineRule="auto"/>
        <w:ind w:firstLine="480" w:firstLineChars="200"/>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附表2 设备采购清单</w:t>
      </w:r>
    </w:p>
    <w:tbl>
      <w:tblPr>
        <w:tblStyle w:val="2"/>
        <w:tblW w:w="5000" w:type="pct"/>
        <w:jc w:val="center"/>
        <w:tblLayout w:type="autofit"/>
        <w:tblCellMar>
          <w:top w:w="0" w:type="dxa"/>
          <w:left w:w="108" w:type="dxa"/>
          <w:bottom w:w="0" w:type="dxa"/>
          <w:right w:w="108" w:type="dxa"/>
        </w:tblCellMar>
      </w:tblPr>
      <w:tblGrid>
        <w:gridCol w:w="913"/>
        <w:gridCol w:w="2976"/>
        <w:gridCol w:w="2594"/>
        <w:gridCol w:w="735"/>
        <w:gridCol w:w="1304"/>
      </w:tblGrid>
      <w:tr>
        <w:tblPrEx>
          <w:tblCellMar>
            <w:top w:w="0" w:type="dxa"/>
            <w:left w:w="108" w:type="dxa"/>
            <w:bottom w:w="0" w:type="dxa"/>
            <w:right w:w="108" w:type="dxa"/>
          </w:tblCellMar>
        </w:tblPrEx>
        <w:trPr>
          <w:trHeight w:val="490"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序号</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项目名称</w:t>
            </w:r>
          </w:p>
        </w:tc>
        <w:tc>
          <w:tcPr>
            <w:tcW w:w="1522"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项目特征描述</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单位</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工程量</w:t>
            </w:r>
          </w:p>
        </w:tc>
      </w:tr>
      <w:tr>
        <w:tblPrEx>
          <w:tblCellMar>
            <w:top w:w="0" w:type="dxa"/>
            <w:left w:w="108" w:type="dxa"/>
            <w:bottom w:w="0" w:type="dxa"/>
            <w:right w:w="108" w:type="dxa"/>
          </w:tblCellMar>
        </w:tblPrEx>
        <w:trPr>
          <w:trHeight w:val="488"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一</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b/>
                <w:bCs/>
                <w:kern w:val="2"/>
                <w:sz w:val="21"/>
                <w:szCs w:val="21"/>
                <w:lang w:val="en-US" w:eastAsia="zh-CN" w:bidi="ar-SA"/>
              </w:rPr>
              <w:t>DVR采购</w:t>
            </w:r>
          </w:p>
        </w:tc>
        <w:tc>
          <w:tcPr>
            <w:tcW w:w="1522"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2" w:firstLineChars="200"/>
              <w:jc w:val="center"/>
              <w:rPr>
                <w:rFonts w:hint="eastAsia" w:ascii="宋体" w:hAnsi="宋体" w:eastAsia="宋体" w:cs="Times New Roman"/>
                <w:b/>
                <w:bCs/>
                <w:kern w:val="2"/>
                <w:sz w:val="21"/>
                <w:szCs w:val="21"/>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2" w:firstLineChars="200"/>
              <w:jc w:val="center"/>
              <w:rPr>
                <w:rFonts w:hint="eastAsia" w:ascii="宋体" w:hAnsi="宋体" w:eastAsia="宋体" w:cs="Times New Roman"/>
                <w:b/>
                <w:bCs/>
                <w:kern w:val="2"/>
                <w:sz w:val="21"/>
                <w:szCs w:val="21"/>
                <w:lang w:val="en-US" w:eastAsia="zh-CN" w:bidi="ar-SA"/>
              </w:rPr>
            </w:pPr>
          </w:p>
        </w:tc>
      </w:tr>
      <w:tr>
        <w:tblPrEx>
          <w:tblCellMar>
            <w:top w:w="0" w:type="dxa"/>
            <w:left w:w="108" w:type="dxa"/>
            <w:bottom w:w="0" w:type="dxa"/>
            <w:right w:w="108" w:type="dxa"/>
          </w:tblCellMar>
        </w:tblPrEx>
        <w:trPr>
          <w:trHeight w:val="488"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动态电压恢复装置（DVR）</w:t>
            </w:r>
          </w:p>
        </w:tc>
        <w:tc>
          <w:tcPr>
            <w:tcW w:w="1522"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350KVA</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套</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w:t>
            </w:r>
          </w:p>
        </w:tc>
      </w:tr>
      <w:tr>
        <w:tblPrEx>
          <w:tblCellMar>
            <w:top w:w="0" w:type="dxa"/>
            <w:left w:w="108" w:type="dxa"/>
            <w:bottom w:w="0" w:type="dxa"/>
            <w:right w:w="108" w:type="dxa"/>
          </w:tblCellMar>
        </w:tblPrEx>
        <w:trPr>
          <w:trHeight w:val="623"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动态电压恢复装置（DVR）</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400KVA</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套</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r>
      <w:tr>
        <w:tblPrEx>
          <w:tblCellMar>
            <w:top w:w="0" w:type="dxa"/>
            <w:left w:w="108" w:type="dxa"/>
            <w:bottom w:w="0" w:type="dxa"/>
            <w:right w:w="108" w:type="dxa"/>
          </w:tblCellMar>
        </w:tblPrEx>
        <w:trPr>
          <w:trHeight w:val="623"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动态电压恢复装置（DVR）</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500KVA</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套</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r>
      <w:tr>
        <w:tblPrEx>
          <w:tblCellMar>
            <w:top w:w="0" w:type="dxa"/>
            <w:left w:w="108" w:type="dxa"/>
            <w:bottom w:w="0" w:type="dxa"/>
            <w:right w:w="108" w:type="dxa"/>
          </w:tblCellMar>
        </w:tblPrEx>
        <w:trPr>
          <w:trHeight w:val="623"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b/>
                <w:bCs/>
                <w:kern w:val="2"/>
                <w:sz w:val="21"/>
                <w:szCs w:val="21"/>
                <w:lang w:val="en-US" w:eastAsia="zh-CN" w:bidi="ar-SA"/>
              </w:rPr>
              <w:t>二</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b/>
                <w:bCs/>
                <w:kern w:val="2"/>
                <w:sz w:val="21"/>
                <w:szCs w:val="21"/>
                <w:lang w:val="en-US" w:eastAsia="zh-CN" w:bidi="ar-SA"/>
              </w:rPr>
              <w:t>煤油加注系统</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p>
        </w:tc>
      </w:tr>
      <w:tr>
        <w:tblPrEx>
          <w:tblCellMar>
            <w:top w:w="0" w:type="dxa"/>
            <w:left w:w="108" w:type="dxa"/>
            <w:bottom w:w="0" w:type="dxa"/>
            <w:right w:w="108" w:type="dxa"/>
          </w:tblCellMar>
        </w:tblPrEx>
        <w:trPr>
          <w:trHeight w:val="623"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电缆</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WDZ-YJV-4*95+1*50</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米</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92</w:t>
            </w:r>
          </w:p>
        </w:tc>
      </w:tr>
      <w:tr>
        <w:tblPrEx>
          <w:tblCellMar>
            <w:top w:w="0" w:type="dxa"/>
            <w:left w:w="108" w:type="dxa"/>
            <w:bottom w:w="0" w:type="dxa"/>
            <w:right w:w="108" w:type="dxa"/>
          </w:tblCellMar>
        </w:tblPrEx>
        <w:trPr>
          <w:trHeight w:val="671"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览沟盖板</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览沟盖板加工</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米</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5</w:t>
            </w:r>
          </w:p>
        </w:tc>
      </w:tr>
      <w:tr>
        <w:tblPrEx>
          <w:tblCellMar>
            <w:top w:w="0" w:type="dxa"/>
            <w:left w:w="108" w:type="dxa"/>
            <w:bottom w:w="0" w:type="dxa"/>
            <w:right w:w="108" w:type="dxa"/>
          </w:tblCellMar>
        </w:tblPrEx>
        <w:trPr>
          <w:trHeight w:val="635"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三</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二号工位整流罩空调</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p>
        </w:tc>
      </w:tr>
      <w:tr>
        <w:tblPrEx>
          <w:tblCellMar>
            <w:top w:w="0" w:type="dxa"/>
            <w:left w:w="108" w:type="dxa"/>
            <w:bottom w:w="0" w:type="dxa"/>
            <w:right w:w="108" w:type="dxa"/>
          </w:tblCellMar>
        </w:tblPrEx>
        <w:trPr>
          <w:trHeight w:val="589"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电缆</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WDZ-YJY 4*150+1*70</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米</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478</w:t>
            </w:r>
          </w:p>
        </w:tc>
      </w:tr>
      <w:tr>
        <w:tblPrEx>
          <w:tblCellMar>
            <w:top w:w="0" w:type="dxa"/>
            <w:left w:w="108" w:type="dxa"/>
            <w:bottom w:w="0" w:type="dxa"/>
            <w:right w:w="108" w:type="dxa"/>
          </w:tblCellMar>
        </w:tblPrEx>
        <w:trPr>
          <w:trHeight w:val="472"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桥架</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400*200*2mm</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米</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26</w:t>
            </w:r>
          </w:p>
        </w:tc>
      </w:tr>
      <w:tr>
        <w:tblPrEx>
          <w:tblCellMar>
            <w:top w:w="0" w:type="dxa"/>
            <w:left w:w="108" w:type="dxa"/>
            <w:bottom w:w="0" w:type="dxa"/>
            <w:right w:w="108" w:type="dxa"/>
          </w:tblCellMar>
        </w:tblPrEx>
        <w:trPr>
          <w:trHeight w:val="635"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双电源开关柜</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1800*600*800</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r>
      <w:tr>
        <w:tblPrEx>
          <w:tblCellMar>
            <w:top w:w="0" w:type="dxa"/>
            <w:left w:w="108" w:type="dxa"/>
            <w:bottom w:w="0" w:type="dxa"/>
            <w:right w:w="108" w:type="dxa"/>
          </w:tblCellMar>
        </w:tblPrEx>
        <w:trPr>
          <w:trHeight w:val="635"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四</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一号工位整流罩空调</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420" w:firstLineChars="200"/>
              <w:jc w:val="center"/>
              <w:rPr>
                <w:rFonts w:hint="eastAsia" w:ascii="宋体" w:hAnsi="宋体" w:eastAsia="宋体" w:cs="Times New Roman"/>
                <w:kern w:val="2"/>
                <w:sz w:val="21"/>
                <w:szCs w:val="21"/>
                <w:lang w:val="en-US" w:eastAsia="zh-CN" w:bidi="ar-SA"/>
              </w:rPr>
            </w:pPr>
          </w:p>
        </w:tc>
      </w:tr>
      <w:tr>
        <w:tblPrEx>
          <w:tblCellMar>
            <w:top w:w="0" w:type="dxa"/>
            <w:left w:w="108" w:type="dxa"/>
            <w:bottom w:w="0" w:type="dxa"/>
            <w:right w:w="108" w:type="dxa"/>
          </w:tblCellMar>
        </w:tblPrEx>
        <w:trPr>
          <w:trHeight w:val="632"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4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电缆</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WDZ-YJY 4*150+1*70</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米</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144</w:t>
            </w:r>
          </w:p>
        </w:tc>
      </w:tr>
      <w:tr>
        <w:tblPrEx>
          <w:tblCellMar>
            <w:top w:w="0" w:type="dxa"/>
            <w:left w:w="108" w:type="dxa"/>
            <w:bottom w:w="0" w:type="dxa"/>
            <w:right w:w="108" w:type="dxa"/>
          </w:tblCellMar>
        </w:tblPrEx>
        <w:trPr>
          <w:trHeight w:val="635" w:hRule="atLeast"/>
          <w:jc w:val="center"/>
        </w:trPr>
        <w:tc>
          <w:tcPr>
            <w:tcW w:w="536"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1746"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桥架</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400*200*2mm</w:t>
            </w:r>
          </w:p>
        </w:tc>
        <w:tc>
          <w:tcPr>
            <w:tcW w:w="431"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米</w:t>
            </w:r>
          </w:p>
        </w:tc>
        <w:tc>
          <w:tcPr>
            <w:tcW w:w="765" w:type="pct"/>
            <w:tcBorders>
              <w:top w:val="single" w:color="000000" w:sz="4" w:space="0"/>
              <w:left w:val="single" w:color="000000" w:sz="4" w:space="0"/>
              <w:bottom w:val="single" w:color="000000" w:sz="4" w:space="0"/>
              <w:right w:val="single" w:color="000000" w:sz="4" w:space="0"/>
            </w:tcBorders>
            <w:noWrap/>
            <w:vAlign w:val="center"/>
          </w:tcPr>
          <w:p>
            <w:pPr>
              <w:widowControl w:val="0"/>
              <w:spacing w:after="0" w:line="360" w:lineRule="auto"/>
              <w:ind w:firstLine="0" w:firstLineChars="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8</w:t>
            </w:r>
          </w:p>
        </w:tc>
      </w:tr>
    </w:tbl>
    <w:p>
      <w:pPr>
        <w:widowControl w:val="0"/>
        <w:spacing w:after="0" w:line="360" w:lineRule="auto"/>
        <w:ind w:firstLine="480" w:firstLineChars="200"/>
        <w:jc w:val="left"/>
        <w:rPr>
          <w:rFonts w:ascii="宋体" w:hAnsi="宋体" w:eastAsia="宋体" w:cs="Times New Roman"/>
          <w:kern w:val="2"/>
          <w:sz w:val="24"/>
          <w:szCs w:val="22"/>
          <w:lang w:val="en-US" w:eastAsia="zh-CN" w:bidi="ar-S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240" w:lineRule="auto"/>
      <w:ind w:firstLine="360" w:firstLineChars="200"/>
      <w:jc w:val="both"/>
      <w:rPr>
        <w:rFonts w:ascii="宋体" w:hAnsi="宋体" w:eastAsia="宋体" w:cs="Times New Roman"/>
        <w:kern w:val="2"/>
        <w:sz w:val="18"/>
        <w:szCs w:val="18"/>
        <w:lang w:val="en-US" w:eastAsia="zh-CN" w:bidi="ar-SA"/>
      </w:rPr>
    </w:pPr>
    <w:r>
      <w:rPr>
        <w:rFonts w:ascii="宋体" w:hAnsi="宋体"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widowControl w:val="0"/>
                            <w:snapToGrid w:val="0"/>
                            <w:spacing w:line="240" w:lineRule="auto"/>
                            <w:ind w:firstLine="360" w:firstLineChars="200"/>
                            <w:rPr>
                              <w:rFonts w:ascii="宋体" w:hAnsi="宋体" w:eastAsia="宋体" w:cs="Times New Roman"/>
                              <w:kern w:val="2"/>
                              <w:sz w:val="18"/>
                              <w:szCs w:val="18"/>
                              <w:lang w:val="en-US" w:eastAsia="zh-CN" w:bidi="ar-SA"/>
                            </w:rPr>
                          </w:pPr>
                          <w:r>
                            <w:rPr>
                              <w:rFonts w:ascii="宋体" w:hAnsi="宋体" w:eastAsia="宋体" w:cs="Times New Roman"/>
                              <w:kern w:val="2"/>
                              <w:sz w:val="18"/>
                              <w:szCs w:val="18"/>
                              <w:lang w:val="en-US" w:eastAsia="zh-CN" w:bidi="ar-SA"/>
                            </w:rPr>
                            <w:fldChar w:fldCharType="begin"/>
                          </w:r>
                          <w:r>
                            <w:rPr>
                              <w:rFonts w:ascii="宋体" w:hAnsi="宋体" w:eastAsia="宋体" w:cs="Times New Roman"/>
                              <w:kern w:val="2"/>
                              <w:sz w:val="18"/>
                              <w:szCs w:val="18"/>
                              <w:lang w:val="en-US" w:eastAsia="zh-CN" w:bidi="ar-SA"/>
                            </w:rPr>
                            <w:instrText xml:space="preserve"> PAGE  \* MERGEFORMAT </w:instrText>
                          </w:r>
                          <w:r>
                            <w:rPr>
                              <w:rFonts w:ascii="宋体" w:hAnsi="宋体" w:eastAsia="宋体" w:cs="Times New Roman"/>
                              <w:kern w:val="2"/>
                              <w:sz w:val="18"/>
                              <w:szCs w:val="18"/>
                              <w:lang w:val="en-US" w:eastAsia="zh-CN" w:bidi="ar-SA"/>
                            </w:rPr>
                            <w:fldChar w:fldCharType="separate"/>
                          </w:r>
                          <w:r>
                            <w:rPr>
                              <w:rFonts w:ascii="宋体" w:hAnsi="宋体" w:eastAsia="宋体" w:cs="Times New Roman"/>
                              <w:kern w:val="2"/>
                              <w:sz w:val="18"/>
                              <w:szCs w:val="18"/>
                              <w:lang w:val="en-US" w:eastAsia="zh-CN" w:bidi="ar-SA"/>
                            </w:rPr>
                            <w:t>DCXXVII</w:t>
                          </w:r>
                          <w:r>
                            <w:rPr>
                              <w:rFonts w:ascii="宋体" w:hAnsi="宋体"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hScrZ9IBAACkAwAADgAAAAAAAAABACAAAAAfAQAA&#10;ZHJzL2Uyb0RvYy54bWxQSwUGAAAAAAYABgBZAQAAYwUAAAAA&#10;">
              <v:fill on="f" focussize="0,0"/>
              <v:stroke on="f" weight="0.5pt"/>
              <v:imagedata o:title=""/>
              <o:lock v:ext="edit" aspectratio="f"/>
              <v:textbox inset="0mm,0mm,0mm,0mm" style="mso-fit-shape-to-text:t;">
                <w:txbxContent>
                  <w:p>
                    <w:pPr>
                      <w:widowControl w:val="0"/>
                      <w:snapToGrid w:val="0"/>
                      <w:spacing w:line="240" w:lineRule="auto"/>
                      <w:ind w:firstLine="360" w:firstLineChars="200"/>
                      <w:rPr>
                        <w:rFonts w:ascii="宋体" w:hAnsi="宋体" w:eastAsia="宋体" w:cs="Times New Roman"/>
                        <w:kern w:val="2"/>
                        <w:sz w:val="18"/>
                        <w:szCs w:val="18"/>
                        <w:lang w:val="en-US" w:eastAsia="zh-CN" w:bidi="ar-SA"/>
                      </w:rPr>
                    </w:pPr>
                    <w:r>
                      <w:rPr>
                        <w:rFonts w:ascii="宋体" w:hAnsi="宋体" w:eastAsia="宋体" w:cs="Times New Roman"/>
                        <w:kern w:val="2"/>
                        <w:sz w:val="18"/>
                        <w:szCs w:val="18"/>
                        <w:lang w:val="en-US" w:eastAsia="zh-CN" w:bidi="ar-SA"/>
                      </w:rPr>
                      <w:fldChar w:fldCharType="begin"/>
                    </w:r>
                    <w:r>
                      <w:rPr>
                        <w:rFonts w:ascii="宋体" w:hAnsi="宋体" w:eastAsia="宋体" w:cs="Times New Roman"/>
                        <w:kern w:val="2"/>
                        <w:sz w:val="18"/>
                        <w:szCs w:val="18"/>
                        <w:lang w:val="en-US" w:eastAsia="zh-CN" w:bidi="ar-SA"/>
                      </w:rPr>
                      <w:instrText xml:space="preserve"> PAGE  \* MERGEFORMAT </w:instrText>
                    </w:r>
                    <w:r>
                      <w:rPr>
                        <w:rFonts w:ascii="宋体" w:hAnsi="宋体" w:eastAsia="宋体" w:cs="Times New Roman"/>
                        <w:kern w:val="2"/>
                        <w:sz w:val="18"/>
                        <w:szCs w:val="18"/>
                        <w:lang w:val="en-US" w:eastAsia="zh-CN" w:bidi="ar-SA"/>
                      </w:rPr>
                      <w:fldChar w:fldCharType="separate"/>
                    </w:r>
                    <w:r>
                      <w:rPr>
                        <w:rFonts w:ascii="宋体" w:hAnsi="宋体" w:eastAsia="宋体" w:cs="Times New Roman"/>
                        <w:kern w:val="2"/>
                        <w:sz w:val="18"/>
                        <w:szCs w:val="18"/>
                        <w:lang w:val="en-US" w:eastAsia="zh-CN" w:bidi="ar-SA"/>
                      </w:rPr>
                      <w:t>DCXXVII</w:t>
                    </w:r>
                    <w:r>
                      <w:rPr>
                        <w:rFonts w:ascii="宋体" w:hAnsi="宋体" w:eastAsia="宋体" w:cs="Times New Roman"/>
                        <w:kern w:val="2"/>
                        <w:sz w:val="18"/>
                        <w:szCs w:val="18"/>
                        <w:lang w:val="en-US" w:eastAsia="zh-CN" w:bidi="ar-SA"/>
                      </w:rPr>
                      <w:fldChar w:fldCharType="end"/>
                    </w:r>
                  </w:p>
                </w:txbxContent>
              </v:textbox>
            </v:shape>
          </w:pict>
        </mc:Fallback>
      </mc:AlternateContent>
    </w:r>
  </w:p>
  <w:p>
    <w:pPr>
      <w:widowControl w:val="0"/>
      <w:snapToGrid w:val="0"/>
      <w:spacing w:line="240" w:lineRule="auto"/>
      <w:ind w:firstLine="360" w:firstLineChars="200"/>
      <w:rPr>
        <w:rFonts w:ascii="宋体" w:hAnsi="宋体"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widowControl w:val="0"/>
      <w:snapToGrid w:val="0"/>
      <w:spacing w:line="240" w:lineRule="auto"/>
      <w:ind w:firstLine="480" w:firstLineChars="200"/>
      <w:rPr>
        <w:rFonts w:ascii="宋体" w:hAnsi="宋体" w:eastAsia="宋体" w:cs="Times New Roman"/>
        <w:kern w:val="2"/>
        <w:sz w:val="18"/>
        <w:szCs w:val="18"/>
        <w:lang w:val="en-US" w:eastAsia="zh-CN" w:bidi="ar-SA"/>
      </w:rPr>
    </w:pPr>
    <w:r>
      <w:rPr>
        <w:rFonts w:ascii="宋体" w:hAnsi="宋体" w:eastAsia="宋体" w:cs="Times New Roman"/>
        <w:kern w:val="2"/>
        <w:sz w:val="24"/>
        <w:szCs w:val="22"/>
        <w:lang w:val="en-US" w:eastAsia="zh-CN" w:bidi="ar-SA"/>
      </w:rPr>
      <w:fldChar w:fldCharType="begin"/>
    </w:r>
    <w:r>
      <w:rPr>
        <w:rFonts w:ascii="宋体" w:hAnsi="宋体" w:eastAsia="宋体" w:cs="Times New Roman"/>
        <w:kern w:val="2"/>
        <w:sz w:val="24"/>
        <w:szCs w:val="22"/>
        <w:lang w:val="en-US" w:eastAsia="zh-CN" w:bidi="ar-SA"/>
      </w:rPr>
      <w:instrText xml:space="preserve">PAGE  </w:instrText>
    </w:r>
    <w:r>
      <w:rPr>
        <w:rFonts w:ascii="宋体" w:hAnsi="宋体" w:eastAsia="宋体" w:cs="Times New Roman"/>
        <w:kern w:val="2"/>
        <w:sz w:val="24"/>
        <w:szCs w:val="22"/>
        <w:lang w:val="en-US" w:eastAsia="zh-CN" w:bidi="ar-SA"/>
      </w:rPr>
      <w:fldChar w:fldCharType="end"/>
    </w:r>
  </w:p>
  <w:p>
    <w:pPr>
      <w:widowControl w:val="0"/>
      <w:snapToGrid w:val="0"/>
      <w:spacing w:line="240" w:lineRule="auto"/>
      <w:ind w:firstLine="360" w:firstLineChars="200"/>
      <w:rPr>
        <w:rFonts w:ascii="宋体" w:hAnsi="宋体"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240" w:lineRule="auto"/>
      <w:ind w:firstLine="360" w:firstLineChars="200"/>
      <w:rPr>
        <w:rFonts w:hint="eastAsia" w:ascii="宋体" w:hAnsi="宋体"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240" w:lineRule="auto"/>
      <w:ind w:firstLine="360" w:firstLineChars="200"/>
      <w:jc w:val="center"/>
      <w:rPr>
        <w:rFonts w:hint="eastAsia" w:ascii="宋体" w:hAnsi="宋体"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240" w:lineRule="auto"/>
      <w:ind w:firstLine="360" w:firstLineChars="200"/>
      <w:jc w:val="center"/>
      <w:rPr>
        <w:rFonts w:hint="eastAsia" w:ascii="宋体" w:hAnsi="宋体"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240" w:lineRule="auto"/>
      <w:ind w:firstLine="360" w:firstLineChars="200"/>
      <w:jc w:val="center"/>
      <w:rPr>
        <w:rFonts w:hint="eastAsia" w:ascii="宋体" w:hAnsi="宋体"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A9EF01"/>
    <w:multiLevelType w:val="singleLevel"/>
    <w:tmpl w:val="F6A9EF01"/>
    <w:lvl w:ilvl="0" w:tentative="0">
      <w:start w:val="25"/>
      <w:numFmt w:val="decimal"/>
      <w:suff w:val="nothing"/>
      <w:lvlText w:val="%1）"/>
      <w:lvlJc w:val="left"/>
    </w:lvl>
  </w:abstractNum>
  <w:abstractNum w:abstractNumId="1">
    <w:nsid w:val="1D167F50"/>
    <w:multiLevelType w:val="multilevel"/>
    <w:tmpl w:val="1D167F50"/>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
    <w:nsid w:val="244E088B"/>
    <w:multiLevelType w:val="multilevel"/>
    <w:tmpl w:val="244E088B"/>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6E447F39"/>
    <w:multiLevelType w:val="multilevel"/>
    <w:tmpl w:val="6E447F39"/>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7F8C6DA4"/>
    <w:multiLevelType w:val="multilevel"/>
    <w:tmpl w:val="7F8C6DA4"/>
    <w:lvl w:ilvl="0" w:tentative="0">
      <w:start w:val="1"/>
      <w:numFmt w:val="decimal"/>
      <w:suff w:val="nothing"/>
      <w:lvlText w:val="%1)"/>
      <w:lvlJc w:val="left"/>
      <w:pPr>
        <w:ind w:left="295" w:firstLine="0"/>
      </w:pPr>
      <w:rPr>
        <w:rFonts w:hint="eastAsia"/>
      </w:rPr>
    </w:lvl>
    <w:lvl w:ilvl="1" w:tentative="0">
      <w:start w:val="1"/>
      <w:numFmt w:val="lowerLetter"/>
      <w:lvlText w:val="%2)"/>
      <w:lvlJc w:val="left"/>
      <w:pPr>
        <w:ind w:left="1175" w:hanging="440"/>
      </w:pPr>
    </w:lvl>
    <w:lvl w:ilvl="2" w:tentative="0">
      <w:start w:val="1"/>
      <w:numFmt w:val="lowerRoman"/>
      <w:lvlText w:val="%3."/>
      <w:lvlJc w:val="right"/>
      <w:pPr>
        <w:ind w:left="1615" w:hanging="440"/>
      </w:pPr>
    </w:lvl>
    <w:lvl w:ilvl="3" w:tentative="0">
      <w:start w:val="1"/>
      <w:numFmt w:val="decimal"/>
      <w:lvlText w:val="%4."/>
      <w:lvlJc w:val="left"/>
      <w:pPr>
        <w:ind w:left="2055" w:hanging="440"/>
      </w:pPr>
    </w:lvl>
    <w:lvl w:ilvl="4" w:tentative="0">
      <w:start w:val="1"/>
      <w:numFmt w:val="lowerLetter"/>
      <w:lvlText w:val="%5)"/>
      <w:lvlJc w:val="left"/>
      <w:pPr>
        <w:ind w:left="2495" w:hanging="440"/>
      </w:pPr>
    </w:lvl>
    <w:lvl w:ilvl="5" w:tentative="0">
      <w:start w:val="1"/>
      <w:numFmt w:val="lowerRoman"/>
      <w:lvlText w:val="%6."/>
      <w:lvlJc w:val="right"/>
      <w:pPr>
        <w:ind w:left="2935" w:hanging="440"/>
      </w:pPr>
    </w:lvl>
    <w:lvl w:ilvl="6" w:tentative="0">
      <w:start w:val="1"/>
      <w:numFmt w:val="decimal"/>
      <w:lvlText w:val="%7."/>
      <w:lvlJc w:val="left"/>
      <w:pPr>
        <w:ind w:left="3375" w:hanging="440"/>
      </w:pPr>
    </w:lvl>
    <w:lvl w:ilvl="7" w:tentative="0">
      <w:start w:val="1"/>
      <w:numFmt w:val="lowerLetter"/>
      <w:lvlText w:val="%8)"/>
      <w:lvlJc w:val="left"/>
      <w:pPr>
        <w:ind w:left="3815" w:hanging="440"/>
      </w:pPr>
    </w:lvl>
    <w:lvl w:ilvl="8" w:tentative="0">
      <w:start w:val="1"/>
      <w:numFmt w:val="lowerRoman"/>
      <w:lvlText w:val="%9."/>
      <w:lvlJc w:val="right"/>
      <w:pPr>
        <w:ind w:left="4255" w:hanging="44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D066E3"/>
    <w:rsid w:val="68D06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2025-07-28T02:06:00Z</dcterms:created>
  <dc:creator>黄凤仙</dc:creator>
  <cp:lastModifiedBy>黄凤仙</cp:lastModifiedBy>
  <dcterms:modified xsi:type="dcterms:W3CDTF">2025-07-28T02:08:13Z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675EDC46EAB1406281792A83A18D11CD</vt:lpwstr>
  </property>
</Properties>
</file>