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 w:after="0" w:line="240" w:lineRule="auto"/>
        <w:ind w:left="-1540" w:leftChars="-700" w:right="-20"/>
        <w:rPr>
          <w:rFonts w:hint="eastAsia" w:ascii="宋体" w:hAnsi="宋体" w:eastAsia="宋体" w:cs="宋体"/>
          <w:color w:val="auto"/>
          <w:sz w:val="20"/>
          <w:szCs w:val="20"/>
        </w:rPr>
      </w:pPr>
      <w:r>
        <w:rPr>
          <w:rFonts w:hint="eastAsia" w:ascii="宋体" w:hAnsi="宋体" w:eastAsia="宋体" w:cs="宋体"/>
          <w:color w:val="auto"/>
          <w:lang w:eastAsia="zh-CN"/>
        </w:rPr>
        <w:drawing>
          <wp:anchor distT="0" distB="0" distL="114300" distR="114300" simplePos="0" relativeHeight="251659264" behindDoc="0" locked="0" layoutInCell="1" allowOverlap="1">
            <wp:simplePos x="0" y="0"/>
            <wp:positionH relativeFrom="column">
              <wp:posOffset>-1050290</wp:posOffset>
            </wp:positionH>
            <wp:positionV relativeFrom="paragraph">
              <wp:posOffset>-902335</wp:posOffset>
            </wp:positionV>
            <wp:extent cx="7407910" cy="2479040"/>
            <wp:effectExtent l="0" t="0" r="13970" b="5080"/>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7407910" cy="2479040"/>
                    </a:xfrm>
                    <a:prstGeom prst="rect">
                      <a:avLst/>
                    </a:prstGeom>
                    <a:noFill/>
                    <a:ln w="9525">
                      <a:noFill/>
                    </a:ln>
                  </pic:spPr>
                </pic:pic>
              </a:graphicData>
            </a:graphic>
          </wp:anchor>
        </w:drawing>
      </w:r>
    </w:p>
    <w:p>
      <w:pPr>
        <w:spacing w:after="0" w:line="200" w:lineRule="exact"/>
        <w:rPr>
          <w:rFonts w:hint="eastAsia" w:ascii="宋体" w:hAnsi="宋体" w:eastAsia="宋体" w:cs="宋体"/>
          <w:color w:val="auto"/>
          <w:sz w:val="20"/>
          <w:szCs w:val="20"/>
        </w:rPr>
      </w:pPr>
    </w:p>
    <w:p>
      <w:pPr>
        <w:spacing w:after="0" w:line="200" w:lineRule="exact"/>
        <w:rPr>
          <w:rFonts w:hint="eastAsia" w:ascii="宋体" w:hAnsi="宋体" w:eastAsia="宋体" w:cs="宋体"/>
          <w:color w:val="auto"/>
          <w:sz w:val="20"/>
          <w:szCs w:val="20"/>
        </w:rPr>
      </w:pPr>
    </w:p>
    <w:p>
      <w:pPr>
        <w:spacing w:after="0" w:line="200" w:lineRule="exact"/>
        <w:rPr>
          <w:rFonts w:hint="eastAsia" w:ascii="宋体" w:hAnsi="宋体" w:eastAsia="宋体" w:cs="宋体"/>
          <w:color w:val="auto"/>
          <w:sz w:val="20"/>
          <w:szCs w:val="20"/>
        </w:rPr>
      </w:pPr>
    </w:p>
    <w:p>
      <w:pPr>
        <w:rPr>
          <w:rFonts w:hint="eastAsia" w:ascii="宋体" w:hAnsi="宋体" w:eastAsia="宋体" w:cs="宋体"/>
          <w:color w:val="auto"/>
        </w:rPr>
      </w:pPr>
    </w:p>
    <w:p>
      <w:pPr>
        <w:spacing w:before="5" w:after="0" w:line="240" w:lineRule="auto"/>
        <w:ind w:left="4854" w:right="4269"/>
        <w:jc w:val="center"/>
        <w:rPr>
          <w:rFonts w:hint="eastAsia" w:ascii="宋体" w:hAnsi="宋体" w:eastAsia="宋体" w:cs="宋体"/>
          <w:color w:val="auto"/>
          <w:spacing w:val="2"/>
          <w:sz w:val="36"/>
          <w:szCs w:val="36"/>
        </w:rPr>
      </w:pPr>
    </w:p>
    <w:p>
      <w:pPr>
        <w:spacing w:before="5" w:after="0" w:line="240" w:lineRule="auto"/>
        <w:ind w:right="-16"/>
        <w:jc w:val="center"/>
        <w:rPr>
          <w:rFonts w:hint="eastAsia" w:ascii="宋体" w:hAnsi="宋体" w:eastAsia="宋体" w:cs="宋体"/>
          <w:b/>
          <w:bCs/>
          <w:color w:val="auto"/>
          <w:w w:val="90"/>
          <w:sz w:val="48"/>
          <w:szCs w:val="48"/>
          <w:lang w:eastAsia="zh-CN"/>
        </w:rPr>
      </w:pPr>
      <w:r>
        <w:rPr>
          <w:rFonts w:hint="eastAsia"/>
          <w:b/>
          <w:bCs/>
          <w:color w:val="auto"/>
          <w:kern w:val="44"/>
          <w:sz w:val="48"/>
          <w:szCs w:val="48"/>
          <w:lang w:eastAsia="zh-CN"/>
        </w:rPr>
        <w:t>海南电力交易中心有限责任公司办公场所装修改造项目</w:t>
      </w:r>
      <w:r>
        <w:rPr>
          <w:rFonts w:hint="eastAsia" w:eastAsia="宋体"/>
          <w:b/>
          <w:bCs/>
          <w:color w:val="auto"/>
          <w:kern w:val="44"/>
          <w:sz w:val="48"/>
          <w:szCs w:val="48"/>
          <w:lang w:eastAsia="zh-CN"/>
        </w:rPr>
        <w:t>智能化</w:t>
      </w:r>
      <w:r>
        <w:rPr>
          <w:rFonts w:hint="eastAsia" w:eastAsia="宋体"/>
          <w:b/>
          <w:bCs/>
          <w:color w:val="auto"/>
          <w:kern w:val="44"/>
          <w:sz w:val="48"/>
          <w:szCs w:val="48"/>
          <w:lang w:val="en-US" w:eastAsia="zh-CN"/>
        </w:rPr>
        <w:t>改造项目</w:t>
      </w:r>
      <w:r>
        <w:rPr>
          <w:rFonts w:hint="eastAsia" w:eastAsia="宋体"/>
          <w:b/>
          <w:bCs/>
          <w:color w:val="auto"/>
          <w:kern w:val="44"/>
          <w:sz w:val="48"/>
          <w:szCs w:val="48"/>
          <w:lang w:eastAsia="zh-CN"/>
        </w:rPr>
        <w:t>部分</w:t>
      </w:r>
      <w:r>
        <w:rPr>
          <w:rFonts w:hint="eastAsia" w:eastAsia="宋体"/>
          <w:b/>
          <w:bCs/>
          <w:color w:val="auto"/>
          <w:kern w:val="44"/>
          <w:sz w:val="48"/>
          <w:szCs w:val="48"/>
          <w:lang w:val="en-US" w:eastAsia="zh-CN"/>
        </w:rPr>
        <w:t xml:space="preserve">  </w:t>
      </w:r>
      <w:r>
        <w:rPr>
          <w:rFonts w:hint="eastAsia" w:ascii="宋体" w:hAnsi="宋体" w:eastAsia="宋体" w:cs="宋体"/>
          <w:b/>
          <w:bCs/>
          <w:color w:val="auto"/>
          <w:spacing w:val="2"/>
          <w:w w:val="90"/>
          <w:sz w:val="48"/>
          <w:szCs w:val="48"/>
          <w:lang w:eastAsia="zh-CN"/>
        </w:rPr>
        <w:t>-技术规范书</w:t>
      </w:r>
    </w:p>
    <w:p>
      <w:pPr>
        <w:spacing w:before="7" w:after="0" w:line="180" w:lineRule="exact"/>
        <w:rPr>
          <w:rFonts w:hint="eastAsia" w:ascii="宋体" w:hAnsi="宋体" w:eastAsia="宋体" w:cs="宋体"/>
          <w:color w:val="auto"/>
          <w:sz w:val="18"/>
          <w:szCs w:val="18"/>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200" w:lineRule="exact"/>
        <w:rPr>
          <w:rFonts w:hint="eastAsia" w:ascii="宋体" w:hAnsi="宋体" w:eastAsia="宋体" w:cs="宋体"/>
          <w:color w:val="auto"/>
          <w:sz w:val="20"/>
          <w:szCs w:val="20"/>
          <w:lang w:eastAsia="zh-CN"/>
        </w:rPr>
      </w:pPr>
    </w:p>
    <w:p>
      <w:pPr>
        <w:spacing w:after="0" w:line="311" w:lineRule="auto"/>
        <w:ind w:left="5145" w:right="4560"/>
        <w:jc w:val="center"/>
        <w:rPr>
          <w:rFonts w:hint="eastAsia" w:ascii="宋体" w:hAnsi="宋体" w:eastAsia="宋体" w:cs="宋体"/>
          <w:color w:val="auto"/>
          <w:sz w:val="28"/>
          <w:szCs w:val="28"/>
          <w:lang w:eastAsia="zh-CN"/>
        </w:rPr>
      </w:pPr>
    </w:p>
    <w:p>
      <w:pPr>
        <w:spacing w:after="0" w:line="311" w:lineRule="auto"/>
        <w:ind w:left="5145" w:right="4560"/>
        <w:jc w:val="center"/>
        <w:rPr>
          <w:rFonts w:hint="eastAsia" w:ascii="宋体" w:hAnsi="宋体" w:eastAsia="宋体" w:cs="宋体"/>
          <w:color w:val="auto"/>
          <w:sz w:val="28"/>
          <w:szCs w:val="28"/>
          <w:lang w:eastAsia="zh-CN"/>
        </w:rPr>
      </w:pPr>
    </w:p>
    <w:p>
      <w:pPr>
        <w:spacing w:after="0" w:line="311" w:lineRule="auto"/>
        <w:ind w:right="4560"/>
        <w:jc w:val="both"/>
        <w:rPr>
          <w:rFonts w:hint="eastAsia" w:ascii="宋体" w:hAnsi="宋体" w:eastAsia="宋体" w:cs="宋体"/>
          <w:color w:val="auto"/>
          <w:sz w:val="28"/>
          <w:szCs w:val="28"/>
          <w:lang w:eastAsia="zh-CN"/>
        </w:rPr>
      </w:pPr>
    </w:p>
    <w:p>
      <w:pPr>
        <w:spacing w:after="0" w:line="311" w:lineRule="auto"/>
        <w:ind w:left="5145" w:right="4560"/>
        <w:jc w:val="center"/>
        <w:rPr>
          <w:rFonts w:hint="eastAsia" w:ascii="宋体" w:hAnsi="宋体" w:eastAsia="宋体" w:cs="宋体"/>
          <w:color w:val="auto"/>
          <w:sz w:val="28"/>
          <w:szCs w:val="28"/>
          <w:lang w:eastAsia="zh-CN"/>
        </w:rPr>
      </w:pPr>
    </w:p>
    <w:p>
      <w:pPr>
        <w:spacing w:after="0" w:line="311" w:lineRule="auto"/>
        <w:ind w:right="-16"/>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2025年</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月</w:t>
      </w:r>
    </w:p>
    <w:p>
      <w:pPr>
        <w:rPr>
          <w:rFonts w:hint="eastAsia" w:ascii="宋体" w:hAnsi="宋体" w:eastAsia="宋体" w:cs="宋体"/>
          <w:b/>
          <w:bCs/>
          <w:color w:val="auto"/>
          <w:w w:val="99"/>
          <w:position w:val="-1"/>
          <w:sz w:val="24"/>
          <w:szCs w:val="24"/>
          <w:lang w:eastAsia="zh-CN"/>
        </w:rPr>
      </w:pPr>
      <w:r>
        <w:rPr>
          <w:rFonts w:hint="eastAsia" w:ascii="宋体" w:hAnsi="宋体" w:eastAsia="宋体" w:cs="宋体"/>
          <w:b/>
          <w:bCs/>
          <w:color w:val="auto"/>
          <w:w w:val="99"/>
          <w:position w:val="-1"/>
          <w:sz w:val="24"/>
          <w:szCs w:val="24"/>
          <w:lang w:eastAsia="zh-CN"/>
        </w:rPr>
        <w:br w:type="page"/>
      </w:r>
    </w:p>
    <w:p>
      <w:pPr>
        <w:spacing w:after="0" w:line="360" w:lineRule="auto"/>
        <w:jc w:val="center"/>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目录</w:t>
      </w:r>
    </w:p>
    <w:sdt>
      <w:sdtPr>
        <w:rPr>
          <w:rFonts w:ascii="宋体" w:hAnsi="宋体" w:eastAsia="宋体"/>
          <w:color w:val="auto"/>
          <w:sz w:val="21"/>
        </w:rPr>
        <w:id w:val="147452018"/>
        <w15:color w:val="DBDBDB"/>
        <w:docPartObj>
          <w:docPartGallery w:val="Table of Contents"/>
          <w:docPartUnique/>
        </w:docPartObj>
      </w:sdtPr>
      <w:sdtEndPr>
        <w:rPr>
          <w:rFonts w:ascii="宋体" w:hAnsi="宋体" w:eastAsia="宋体" w:cs="宋体"/>
          <w:bCs/>
          <w:color w:val="auto"/>
          <w:spacing w:val="1"/>
          <w:w w:val="129"/>
          <w:sz w:val="22"/>
          <w:szCs w:val="30"/>
          <w:lang w:eastAsia="zh-CN"/>
        </w:rPr>
      </w:sdtEndPr>
      <w:sdtContent>
        <w:p>
          <w:pPr>
            <w:spacing w:after="0" w:line="240" w:lineRule="auto"/>
            <w:jc w:val="center"/>
            <w:rPr>
              <w:color w:val="auto"/>
            </w:rPr>
          </w:pPr>
        </w:p>
        <w:p>
          <w:pPr>
            <w:pStyle w:val="12"/>
            <w:tabs>
              <w:tab w:val="right" w:leader="dot" w:pos="8306"/>
            </w:tabs>
          </w:pPr>
          <w:r>
            <w:rPr>
              <w:rFonts w:ascii="宋体" w:hAnsi="宋体" w:cs="宋体"/>
              <w:b/>
              <w:bCs/>
              <w:color w:val="auto"/>
              <w:spacing w:val="1"/>
              <w:w w:val="129"/>
              <w:sz w:val="30"/>
              <w:szCs w:val="30"/>
              <w:lang w:eastAsia="zh-CN"/>
            </w:rPr>
            <w:fldChar w:fldCharType="begin"/>
          </w:r>
          <w:r>
            <w:rPr>
              <w:rFonts w:ascii="宋体" w:hAnsi="宋体" w:cs="宋体"/>
              <w:b/>
              <w:bCs/>
              <w:color w:val="auto"/>
              <w:spacing w:val="1"/>
              <w:w w:val="129"/>
              <w:sz w:val="30"/>
              <w:szCs w:val="30"/>
              <w:lang w:eastAsia="zh-CN"/>
            </w:rPr>
            <w:instrText xml:space="preserve">TOC \o "1-3" \h \u </w:instrText>
          </w:r>
          <w:r>
            <w:rPr>
              <w:rFonts w:ascii="宋体" w:hAnsi="宋体" w:cs="宋体"/>
              <w:b/>
              <w:bCs/>
              <w:color w:val="auto"/>
              <w:spacing w:val="1"/>
              <w:w w:val="129"/>
              <w:sz w:val="30"/>
              <w:szCs w:val="30"/>
              <w:lang w:eastAsia="zh-CN"/>
            </w:rPr>
            <w:fldChar w:fldCharType="separate"/>
          </w:r>
          <w:r>
            <w:rPr>
              <w:rFonts w:ascii="宋体" w:hAnsi="宋体" w:cs="宋体"/>
              <w:bCs/>
              <w:color w:val="auto"/>
              <w:spacing w:val="1"/>
              <w:w w:val="129"/>
              <w:szCs w:val="30"/>
              <w:lang w:eastAsia="zh-CN"/>
            </w:rPr>
            <w:fldChar w:fldCharType="begin"/>
          </w:r>
          <w:r>
            <w:rPr>
              <w:rFonts w:ascii="宋体" w:hAnsi="宋体" w:cs="宋体"/>
              <w:bCs/>
              <w:spacing w:val="1"/>
              <w:w w:val="129"/>
              <w:szCs w:val="30"/>
              <w:lang w:eastAsia="zh-CN"/>
            </w:rPr>
            <w:instrText xml:space="preserve"> HYPERLINK \l _Toc9898 </w:instrText>
          </w:r>
          <w:r>
            <w:rPr>
              <w:rFonts w:ascii="宋体" w:hAnsi="宋体" w:cs="宋体"/>
              <w:bCs/>
              <w:spacing w:val="1"/>
              <w:w w:val="129"/>
              <w:szCs w:val="30"/>
              <w:lang w:eastAsia="zh-CN"/>
            </w:rPr>
            <w:fldChar w:fldCharType="separate"/>
          </w:r>
          <w:r>
            <w:rPr>
              <w:rFonts w:hint="default"/>
            </w:rPr>
            <w:t xml:space="preserve">1. </w:t>
          </w:r>
          <w:r>
            <w:rPr>
              <w:rFonts w:hint="eastAsia"/>
            </w:rPr>
            <w:t>总的部分</w:t>
          </w:r>
          <w:r>
            <w:tab/>
          </w:r>
          <w:r>
            <w:fldChar w:fldCharType="begin"/>
          </w:r>
          <w:r>
            <w:instrText xml:space="preserve"> PAGEREF _Toc9898 \h </w:instrText>
          </w:r>
          <w:r>
            <w:fldChar w:fldCharType="separate"/>
          </w:r>
          <w:r>
            <w:t>1</w:t>
          </w:r>
          <w:r>
            <w:fldChar w:fldCharType="end"/>
          </w:r>
          <w:r>
            <w:rPr>
              <w:rFonts w:ascii="宋体" w:hAnsi="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_Toc1186 </w:instrText>
          </w:r>
          <w:r>
            <w:rPr>
              <w:rFonts w:ascii="宋体" w:hAnsi="宋体" w:eastAsia="宋体" w:cs="宋体"/>
              <w:bCs/>
              <w:spacing w:val="1"/>
              <w:w w:val="129"/>
              <w:szCs w:val="30"/>
              <w:lang w:eastAsia="zh-CN"/>
            </w:rPr>
            <w:fldChar w:fldCharType="separate"/>
          </w:r>
          <w:r>
            <w:rPr>
              <w:rFonts w:hint="default"/>
            </w:rPr>
            <w:t xml:space="preserve">1.1. </w:t>
          </w:r>
          <w:r>
            <w:rPr>
              <w:rFonts w:hint="eastAsia"/>
            </w:rPr>
            <w:t>项目背景</w:t>
          </w:r>
          <w:r>
            <w:tab/>
          </w:r>
          <w:r>
            <w:fldChar w:fldCharType="begin"/>
          </w:r>
          <w:r>
            <w:instrText xml:space="preserve"> PAGEREF _Toc1186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_Toc25342 </w:instrText>
          </w:r>
          <w:r>
            <w:rPr>
              <w:rFonts w:ascii="宋体" w:hAnsi="宋体" w:eastAsia="宋体" w:cs="宋体"/>
              <w:bCs/>
              <w:spacing w:val="1"/>
              <w:w w:val="129"/>
              <w:szCs w:val="30"/>
              <w:lang w:eastAsia="zh-CN"/>
            </w:rPr>
            <w:fldChar w:fldCharType="separate"/>
          </w:r>
          <w:r>
            <w:rPr>
              <w:rFonts w:hint="default"/>
            </w:rPr>
            <w:t xml:space="preserve">1.2. </w:t>
          </w:r>
          <w:r>
            <w:rPr>
              <w:rFonts w:hint="eastAsia"/>
            </w:rPr>
            <w:t>需求说明</w:t>
          </w:r>
          <w:r>
            <w:tab/>
          </w:r>
          <w:r>
            <w:fldChar w:fldCharType="begin"/>
          </w:r>
          <w:r>
            <w:instrText xml:space="preserve"> PAGEREF _Toc25342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_Toc23115 </w:instrText>
          </w:r>
          <w:r>
            <w:rPr>
              <w:rFonts w:ascii="宋体" w:hAnsi="宋体" w:eastAsia="宋体" w:cs="宋体"/>
              <w:bCs/>
              <w:spacing w:val="1"/>
              <w:w w:val="129"/>
              <w:szCs w:val="30"/>
              <w:lang w:eastAsia="zh-CN"/>
            </w:rPr>
            <w:fldChar w:fldCharType="separate"/>
          </w:r>
          <w:r>
            <w:rPr>
              <w:rFonts w:hint="default"/>
            </w:rPr>
            <w:t xml:space="preserve">1.3. </w:t>
          </w:r>
          <w:r>
            <w:rPr>
              <w:rFonts w:hint="eastAsia"/>
            </w:rPr>
            <w:t>一般规定</w:t>
          </w:r>
          <w:r>
            <w:tab/>
          </w:r>
          <w:r>
            <w:fldChar w:fldCharType="begin"/>
          </w:r>
          <w:r>
            <w:instrText xml:space="preserve"> PAGEREF _Toc23115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_Toc2994 </w:instrText>
          </w:r>
          <w:r>
            <w:rPr>
              <w:rFonts w:ascii="宋体" w:hAnsi="宋体" w:eastAsia="宋体" w:cs="宋体"/>
              <w:bCs/>
              <w:spacing w:val="1"/>
              <w:w w:val="129"/>
              <w:szCs w:val="30"/>
              <w:lang w:eastAsia="zh-CN"/>
            </w:rPr>
            <w:fldChar w:fldCharType="separate"/>
          </w:r>
          <w:r>
            <w:rPr>
              <w:rFonts w:hint="default"/>
            </w:rPr>
            <w:t xml:space="preserve">1.4. </w:t>
          </w:r>
          <w:r>
            <w:rPr>
              <w:rFonts w:hint="eastAsia"/>
            </w:rPr>
            <w:t>投标须知</w:t>
          </w:r>
          <w:r>
            <w:tab/>
          </w:r>
          <w:r>
            <w:fldChar w:fldCharType="begin"/>
          </w:r>
          <w:r>
            <w:instrText xml:space="preserve"> PAGEREF _Toc2994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_Toc1604 </w:instrText>
          </w:r>
          <w:r>
            <w:rPr>
              <w:rFonts w:ascii="宋体" w:hAnsi="宋体" w:eastAsia="宋体" w:cs="宋体"/>
              <w:bCs/>
              <w:spacing w:val="1"/>
              <w:w w:val="129"/>
              <w:szCs w:val="30"/>
              <w:lang w:eastAsia="zh-CN"/>
            </w:rPr>
            <w:fldChar w:fldCharType="separate"/>
          </w:r>
          <w:r>
            <w:rPr>
              <w:rFonts w:hint="default"/>
            </w:rPr>
            <w:t xml:space="preserve">1.5. </w:t>
          </w:r>
          <w:r>
            <w:rPr>
              <w:rFonts w:hint="eastAsia"/>
            </w:rPr>
            <w:t>卖方职责</w:t>
          </w:r>
          <w:r>
            <w:tab/>
          </w:r>
          <w:r>
            <w:fldChar w:fldCharType="begin"/>
          </w:r>
          <w:r>
            <w:instrText xml:space="preserve"> PAGEREF _Toc1604 \h </w:instrText>
          </w:r>
          <w:r>
            <w:fldChar w:fldCharType="separate"/>
          </w:r>
          <w:r>
            <w:t>3</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_Toc11303 </w:instrText>
          </w:r>
          <w:r>
            <w:rPr>
              <w:rFonts w:ascii="宋体" w:hAnsi="宋体" w:eastAsia="宋体" w:cs="宋体"/>
              <w:bCs/>
              <w:spacing w:val="1"/>
              <w:w w:val="129"/>
              <w:szCs w:val="30"/>
              <w:lang w:eastAsia="zh-CN"/>
            </w:rPr>
            <w:fldChar w:fldCharType="separate"/>
          </w:r>
          <w:r>
            <w:rPr>
              <w:rFonts w:hint="default"/>
            </w:rPr>
            <w:t xml:space="preserve">1.6. </w:t>
          </w:r>
          <w:r>
            <w:rPr>
              <w:rFonts w:hint="eastAsia"/>
            </w:rPr>
            <w:t>买方职责</w:t>
          </w:r>
          <w:r>
            <w:tab/>
          </w:r>
          <w:r>
            <w:fldChar w:fldCharType="begin"/>
          </w:r>
          <w:r>
            <w:instrText xml:space="preserve"> PAGEREF _Toc11303 \h </w:instrText>
          </w:r>
          <w:r>
            <w:fldChar w:fldCharType="separate"/>
          </w:r>
          <w:r>
            <w:t>5</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_Toc29669 </w:instrText>
          </w:r>
          <w:r>
            <w:rPr>
              <w:rFonts w:ascii="宋体" w:hAnsi="宋体" w:eastAsia="宋体" w:cs="宋体"/>
              <w:bCs/>
              <w:spacing w:val="1"/>
              <w:w w:val="129"/>
              <w:szCs w:val="30"/>
              <w:lang w:eastAsia="zh-CN"/>
            </w:rPr>
            <w:fldChar w:fldCharType="separate"/>
          </w:r>
          <w:r>
            <w:rPr>
              <w:rFonts w:hint="default"/>
            </w:rPr>
            <w:t xml:space="preserve">1.7. </w:t>
          </w:r>
          <w:r>
            <w:rPr>
              <w:rFonts w:hint="eastAsia"/>
            </w:rPr>
            <w:t>设计遵循的标准规范</w:t>
          </w:r>
          <w:r>
            <w:tab/>
          </w:r>
          <w:r>
            <w:fldChar w:fldCharType="begin"/>
          </w:r>
          <w:r>
            <w:instrText xml:space="preserve"> PAGEREF _Toc29669 \h </w:instrText>
          </w:r>
          <w:r>
            <w:fldChar w:fldCharType="separate"/>
          </w:r>
          <w:r>
            <w:t>6</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_Toc16874 </w:instrText>
          </w:r>
          <w:r>
            <w:rPr>
              <w:rFonts w:ascii="宋体" w:hAnsi="宋体" w:eastAsia="宋体" w:cs="宋体"/>
              <w:bCs/>
              <w:spacing w:val="1"/>
              <w:w w:val="129"/>
              <w:szCs w:val="30"/>
              <w:lang w:eastAsia="zh-CN"/>
            </w:rPr>
            <w:fldChar w:fldCharType="separate"/>
          </w:r>
          <w:r>
            <w:rPr>
              <w:rFonts w:hint="default"/>
            </w:rPr>
            <w:t xml:space="preserve">1.8. </w:t>
          </w:r>
          <w:r>
            <w:rPr>
              <w:rFonts w:hint="eastAsia"/>
            </w:rPr>
            <w:t>质保及售后服务</w:t>
          </w:r>
          <w:r>
            <w:tab/>
          </w:r>
          <w:r>
            <w:fldChar w:fldCharType="begin"/>
          </w:r>
          <w:r>
            <w:instrText xml:space="preserve"> PAGEREF _Toc16874 \h </w:instrText>
          </w:r>
          <w:r>
            <w:fldChar w:fldCharType="separate"/>
          </w:r>
          <w:r>
            <w:t>6</w:t>
          </w:r>
          <w:r>
            <w:fldChar w:fldCharType="end"/>
          </w:r>
          <w:r>
            <w:rPr>
              <w:rFonts w:ascii="宋体" w:hAnsi="宋体" w:eastAsia="宋体" w:cs="宋体"/>
              <w:bCs/>
              <w:color w:val="auto"/>
              <w:spacing w:val="1"/>
              <w:w w:val="129"/>
              <w:szCs w:val="30"/>
              <w:lang w:eastAsia="zh-CN"/>
            </w:rPr>
            <w:fldChar w:fldCharType="end"/>
          </w:r>
        </w:p>
        <w:p>
          <w:pPr>
            <w:pStyle w:val="12"/>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_Toc13262 </w:instrText>
          </w:r>
          <w:r>
            <w:rPr>
              <w:rFonts w:ascii="宋体" w:hAnsi="宋体" w:eastAsia="宋体" w:cs="宋体"/>
              <w:bCs/>
              <w:spacing w:val="1"/>
              <w:w w:val="129"/>
              <w:szCs w:val="30"/>
              <w:lang w:eastAsia="zh-CN"/>
            </w:rPr>
            <w:fldChar w:fldCharType="separate"/>
          </w:r>
          <w:r>
            <w:rPr>
              <w:rFonts w:hint="default"/>
            </w:rPr>
            <w:t xml:space="preserve">2. </w:t>
          </w:r>
          <w:r>
            <w:rPr>
              <w:rFonts w:hint="eastAsia"/>
            </w:rPr>
            <w:t>供货一览表及技术规格</w:t>
          </w:r>
          <w:r>
            <w:tab/>
          </w:r>
          <w:r>
            <w:fldChar w:fldCharType="begin"/>
          </w:r>
          <w:r>
            <w:instrText xml:space="preserve"> PAGEREF _Toc13262 \h </w:instrText>
          </w:r>
          <w:r>
            <w:fldChar w:fldCharType="separate"/>
          </w:r>
          <w:r>
            <w:t>8</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_Toc10044 </w:instrText>
          </w:r>
          <w:r>
            <w:rPr>
              <w:rFonts w:ascii="宋体" w:hAnsi="宋体" w:eastAsia="宋体" w:cs="宋体"/>
              <w:bCs/>
              <w:spacing w:val="1"/>
              <w:w w:val="129"/>
              <w:szCs w:val="30"/>
              <w:lang w:eastAsia="zh-CN"/>
            </w:rPr>
            <w:fldChar w:fldCharType="separate"/>
          </w:r>
          <w:r>
            <w:rPr>
              <w:rFonts w:hint="default"/>
            </w:rPr>
            <w:t xml:space="preserve">2.1. </w:t>
          </w:r>
          <w:r>
            <w:rPr>
              <w:rFonts w:hint="eastAsia"/>
            </w:rPr>
            <w:t>供货一览表</w:t>
          </w:r>
          <w:r>
            <w:tab/>
          </w:r>
          <w:r>
            <w:fldChar w:fldCharType="begin"/>
          </w:r>
          <w:r>
            <w:instrText xml:space="preserve"> PAGEREF _Toc10044 \h </w:instrText>
          </w:r>
          <w:r>
            <w:fldChar w:fldCharType="separate"/>
          </w:r>
          <w:r>
            <w:t>8</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_Toc6872 </w:instrText>
          </w:r>
          <w:r>
            <w:rPr>
              <w:rFonts w:ascii="宋体" w:hAnsi="宋体" w:eastAsia="宋体" w:cs="宋体"/>
              <w:bCs/>
              <w:spacing w:val="1"/>
              <w:w w:val="129"/>
              <w:szCs w:val="30"/>
              <w:lang w:eastAsia="zh-CN"/>
            </w:rPr>
            <w:fldChar w:fldCharType="separate"/>
          </w:r>
          <w:r>
            <w:rPr>
              <w:rFonts w:hint="default"/>
              <w:szCs w:val="36"/>
            </w:rPr>
            <w:t xml:space="preserve">2.2. </w:t>
          </w:r>
          <w:r>
            <w:rPr>
              <w:rFonts w:hint="eastAsia"/>
              <w:szCs w:val="36"/>
            </w:rPr>
            <w:t>设备技术规格</w:t>
          </w:r>
          <w:r>
            <w:tab/>
          </w:r>
          <w:r>
            <w:fldChar w:fldCharType="begin"/>
          </w:r>
          <w:r>
            <w:instrText xml:space="preserve"> PAGEREF _Toc6872 \h </w:instrText>
          </w:r>
          <w:r>
            <w:fldChar w:fldCharType="separate"/>
          </w:r>
          <w:r>
            <w:t>9</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_Toc6849 </w:instrText>
          </w:r>
          <w:r>
            <w:rPr>
              <w:rFonts w:ascii="宋体" w:hAnsi="宋体" w:eastAsia="宋体" w:cs="宋体"/>
              <w:bCs/>
              <w:spacing w:val="1"/>
              <w:w w:val="129"/>
              <w:szCs w:val="30"/>
              <w:lang w:eastAsia="zh-CN"/>
            </w:rPr>
            <w:fldChar w:fldCharType="separate"/>
          </w:r>
          <w:r>
            <w:rPr>
              <w:rFonts w:hint="eastAsia"/>
              <w:szCs w:val="30"/>
            </w:rPr>
            <w:t>一、视频监控系统</w:t>
          </w:r>
          <w:r>
            <w:tab/>
          </w:r>
          <w:r>
            <w:fldChar w:fldCharType="begin"/>
          </w:r>
          <w:r>
            <w:instrText xml:space="preserve"> PAGEREF _Toc6849 \h </w:instrText>
          </w:r>
          <w:r>
            <w:fldChar w:fldCharType="separate"/>
          </w:r>
          <w:r>
            <w:t>9</w:t>
          </w:r>
          <w:r>
            <w:fldChar w:fldCharType="end"/>
          </w:r>
          <w:r>
            <w:rPr>
              <w:rFonts w:ascii="宋体" w:hAnsi="宋体" w:eastAsia="宋体" w:cs="宋体"/>
              <w:bCs/>
              <w:color w:val="auto"/>
              <w:spacing w:val="1"/>
              <w:w w:val="129"/>
              <w:szCs w:val="30"/>
              <w:lang w:eastAsia="zh-CN"/>
            </w:rPr>
            <w:fldChar w:fldCharType="end"/>
          </w:r>
        </w:p>
        <w:p>
          <w:pPr>
            <w:pStyle w:val="9"/>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_Toc32126 </w:instrText>
          </w:r>
          <w:r>
            <w:rPr>
              <w:rFonts w:ascii="宋体" w:hAnsi="宋体" w:eastAsia="宋体" w:cs="宋体"/>
              <w:bCs/>
              <w:spacing w:val="1"/>
              <w:w w:val="129"/>
              <w:szCs w:val="30"/>
              <w:lang w:eastAsia="zh-CN"/>
            </w:rPr>
            <w:fldChar w:fldCharType="separate"/>
          </w:r>
          <w:r>
            <w:rPr>
              <w:rFonts w:hint="eastAsia"/>
              <w:szCs w:val="30"/>
            </w:rPr>
            <w:t>二、门禁系统</w:t>
          </w:r>
          <w:r>
            <w:tab/>
          </w:r>
          <w:r>
            <w:fldChar w:fldCharType="begin"/>
          </w:r>
          <w:r>
            <w:instrText xml:space="preserve"> PAGEREF _Toc32126 \h </w:instrText>
          </w:r>
          <w:r>
            <w:fldChar w:fldCharType="separate"/>
          </w:r>
          <w:r>
            <w:t>10</w:t>
          </w:r>
          <w:r>
            <w:fldChar w:fldCharType="end"/>
          </w:r>
          <w:r>
            <w:rPr>
              <w:rFonts w:ascii="宋体" w:hAnsi="宋体" w:eastAsia="宋体" w:cs="宋体"/>
              <w:bCs/>
              <w:color w:val="auto"/>
              <w:spacing w:val="1"/>
              <w:w w:val="129"/>
              <w:szCs w:val="30"/>
              <w:lang w:eastAsia="zh-CN"/>
            </w:rPr>
            <w:fldChar w:fldCharType="end"/>
          </w:r>
        </w:p>
        <w:p>
          <w:pPr>
            <w:pStyle w:val="12"/>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_Toc5580 </w:instrText>
          </w:r>
          <w:r>
            <w:rPr>
              <w:rFonts w:ascii="宋体" w:hAnsi="宋体" w:eastAsia="宋体" w:cs="宋体"/>
              <w:bCs/>
              <w:spacing w:val="1"/>
              <w:w w:val="129"/>
              <w:szCs w:val="30"/>
              <w:lang w:eastAsia="zh-CN"/>
            </w:rPr>
            <w:fldChar w:fldCharType="separate"/>
          </w:r>
          <w:r>
            <w:rPr>
              <w:rFonts w:hint="default"/>
            </w:rPr>
            <w:t xml:space="preserve">1. </w:t>
          </w:r>
          <w:r>
            <w:rPr>
              <w:rFonts w:hint="eastAsia"/>
            </w:rPr>
            <w:t>其它</w:t>
          </w:r>
          <w:r>
            <w:tab/>
          </w:r>
          <w:r>
            <w:fldChar w:fldCharType="begin"/>
          </w:r>
          <w:r>
            <w:instrText xml:space="preserve"> PAGEREF _Toc5580 \h </w:instrText>
          </w:r>
          <w:r>
            <w:fldChar w:fldCharType="separate"/>
          </w:r>
          <w:r>
            <w:t>16</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_Toc4998 </w:instrText>
          </w:r>
          <w:r>
            <w:rPr>
              <w:rFonts w:ascii="宋体" w:hAnsi="宋体" w:eastAsia="宋体" w:cs="宋体"/>
              <w:bCs/>
              <w:spacing w:val="1"/>
              <w:w w:val="129"/>
              <w:szCs w:val="30"/>
              <w:lang w:eastAsia="zh-CN"/>
            </w:rPr>
            <w:fldChar w:fldCharType="separate"/>
          </w:r>
          <w:r>
            <w:rPr>
              <w:rFonts w:hint="default"/>
            </w:rPr>
            <w:t xml:space="preserve">1.1. </w:t>
          </w:r>
          <w:r>
            <w:rPr>
              <w:rFonts w:hint="eastAsia"/>
            </w:rPr>
            <w:t>技术资料</w:t>
          </w:r>
          <w:r>
            <w:tab/>
          </w:r>
          <w:r>
            <w:fldChar w:fldCharType="begin"/>
          </w:r>
          <w:r>
            <w:instrText xml:space="preserve"> PAGEREF _Toc4998 \h </w:instrText>
          </w:r>
          <w:r>
            <w:fldChar w:fldCharType="separate"/>
          </w:r>
          <w:r>
            <w:t>16</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_Toc28126 </w:instrText>
          </w:r>
          <w:r>
            <w:rPr>
              <w:rFonts w:ascii="宋体" w:hAnsi="宋体" w:eastAsia="宋体" w:cs="宋体"/>
              <w:bCs/>
              <w:spacing w:val="1"/>
              <w:w w:val="129"/>
              <w:szCs w:val="30"/>
              <w:lang w:eastAsia="zh-CN"/>
            </w:rPr>
            <w:fldChar w:fldCharType="separate"/>
          </w:r>
          <w:r>
            <w:rPr>
              <w:rFonts w:hint="default"/>
            </w:rPr>
            <w:t xml:space="preserve">1.2. </w:t>
          </w:r>
          <w:r>
            <w:rPr>
              <w:rFonts w:hint="eastAsia"/>
            </w:rPr>
            <w:t>文件资料的内容</w:t>
          </w:r>
          <w:r>
            <w:tab/>
          </w:r>
          <w:r>
            <w:fldChar w:fldCharType="begin"/>
          </w:r>
          <w:r>
            <w:instrText xml:space="preserve"> PAGEREF _Toc28126 \h </w:instrText>
          </w:r>
          <w:r>
            <w:fldChar w:fldCharType="separate"/>
          </w:r>
          <w:r>
            <w:t>16</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_Toc11760 </w:instrText>
          </w:r>
          <w:r>
            <w:rPr>
              <w:rFonts w:ascii="宋体" w:hAnsi="宋体" w:eastAsia="宋体" w:cs="宋体"/>
              <w:bCs/>
              <w:spacing w:val="1"/>
              <w:w w:val="129"/>
              <w:szCs w:val="30"/>
              <w:lang w:eastAsia="zh-CN"/>
            </w:rPr>
            <w:fldChar w:fldCharType="separate"/>
          </w:r>
          <w:r>
            <w:rPr>
              <w:rFonts w:hint="default"/>
            </w:rPr>
            <w:t xml:space="preserve">1.3. </w:t>
          </w:r>
          <w:r>
            <w:rPr>
              <w:rFonts w:hint="eastAsia"/>
            </w:rPr>
            <w:t>使用手册与培训</w:t>
          </w:r>
          <w:r>
            <w:tab/>
          </w:r>
          <w:r>
            <w:fldChar w:fldCharType="begin"/>
          </w:r>
          <w:r>
            <w:instrText xml:space="preserve"> PAGEREF _Toc11760 \h </w:instrText>
          </w:r>
          <w:r>
            <w:fldChar w:fldCharType="separate"/>
          </w:r>
          <w:r>
            <w:t>17</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_Toc25431 </w:instrText>
          </w:r>
          <w:r>
            <w:rPr>
              <w:rFonts w:ascii="宋体" w:hAnsi="宋体" w:eastAsia="宋体" w:cs="宋体"/>
              <w:bCs/>
              <w:spacing w:val="1"/>
              <w:w w:val="129"/>
              <w:szCs w:val="30"/>
              <w:lang w:eastAsia="zh-CN"/>
            </w:rPr>
            <w:fldChar w:fldCharType="separate"/>
          </w:r>
          <w:r>
            <w:rPr>
              <w:rFonts w:hint="default"/>
            </w:rPr>
            <w:t xml:space="preserve">1.4. </w:t>
          </w:r>
          <w:r>
            <w:rPr>
              <w:rFonts w:hint="eastAsia"/>
            </w:rPr>
            <w:t>保密要求</w:t>
          </w:r>
          <w:r>
            <w:tab/>
          </w:r>
          <w:r>
            <w:fldChar w:fldCharType="begin"/>
          </w:r>
          <w:r>
            <w:instrText xml:space="preserve"> PAGEREF _Toc25431 \h </w:instrText>
          </w:r>
          <w:r>
            <w:fldChar w:fldCharType="separate"/>
          </w:r>
          <w:r>
            <w:t>17</w:t>
          </w:r>
          <w:r>
            <w:fldChar w:fldCharType="end"/>
          </w:r>
          <w:r>
            <w:rPr>
              <w:rFonts w:ascii="宋体" w:hAnsi="宋体" w:eastAsia="宋体" w:cs="宋体"/>
              <w:bCs/>
              <w:color w:val="auto"/>
              <w:spacing w:val="1"/>
              <w:w w:val="129"/>
              <w:szCs w:val="30"/>
              <w:lang w:eastAsia="zh-CN"/>
            </w:rPr>
            <w:fldChar w:fldCharType="end"/>
          </w:r>
        </w:p>
        <w:p>
          <w:pPr>
            <w:pStyle w:val="13"/>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_Toc31102 </w:instrText>
          </w:r>
          <w:r>
            <w:rPr>
              <w:rFonts w:ascii="宋体" w:hAnsi="宋体" w:eastAsia="宋体" w:cs="宋体"/>
              <w:bCs/>
              <w:spacing w:val="1"/>
              <w:w w:val="129"/>
              <w:szCs w:val="30"/>
              <w:lang w:eastAsia="zh-CN"/>
            </w:rPr>
            <w:fldChar w:fldCharType="separate"/>
          </w:r>
          <w:r>
            <w:rPr>
              <w:rFonts w:hint="default"/>
            </w:rPr>
            <w:t xml:space="preserve">1.5. </w:t>
          </w:r>
          <w:r>
            <w:rPr>
              <w:rFonts w:hint="eastAsia"/>
            </w:rPr>
            <w:t>其它</w:t>
          </w:r>
          <w:r>
            <w:tab/>
          </w:r>
          <w:r>
            <w:fldChar w:fldCharType="begin"/>
          </w:r>
          <w:r>
            <w:instrText xml:space="preserve"> PAGEREF _Toc31102 \h </w:instrText>
          </w:r>
          <w:r>
            <w:fldChar w:fldCharType="separate"/>
          </w:r>
          <w:r>
            <w:t>17</w:t>
          </w:r>
          <w:r>
            <w:fldChar w:fldCharType="end"/>
          </w:r>
          <w:r>
            <w:rPr>
              <w:rFonts w:ascii="宋体" w:hAnsi="宋体" w:eastAsia="宋体" w:cs="宋体"/>
              <w:bCs/>
              <w:color w:val="auto"/>
              <w:spacing w:val="1"/>
              <w:w w:val="129"/>
              <w:szCs w:val="30"/>
              <w:lang w:eastAsia="zh-CN"/>
            </w:rPr>
            <w:fldChar w:fldCharType="end"/>
          </w:r>
        </w:p>
        <w:p>
          <w:pPr>
            <w:spacing w:after="0" w:line="360" w:lineRule="auto"/>
            <w:ind w:right="-20"/>
            <w:rPr>
              <w:rFonts w:hint="eastAsia" w:ascii="宋体" w:hAnsi="宋体" w:eastAsia="宋体" w:cs="宋体"/>
              <w:bCs/>
              <w:color w:val="auto"/>
              <w:spacing w:val="1"/>
              <w:w w:val="129"/>
              <w:szCs w:val="30"/>
              <w:lang w:eastAsia="zh-CN"/>
            </w:rPr>
          </w:pPr>
          <w:r>
            <w:rPr>
              <w:rFonts w:ascii="宋体" w:hAnsi="宋体" w:eastAsia="宋体" w:cs="宋体"/>
              <w:bCs/>
              <w:color w:val="auto"/>
              <w:spacing w:val="1"/>
              <w:w w:val="129"/>
              <w:szCs w:val="30"/>
              <w:lang w:eastAsia="zh-CN"/>
            </w:rPr>
            <w:fldChar w:fldCharType="end"/>
          </w:r>
        </w:p>
      </w:sdtContent>
    </w:sdt>
    <w:p>
      <w:pPr>
        <w:spacing w:after="0" w:line="360" w:lineRule="auto"/>
        <w:ind w:right="-20"/>
        <w:rPr>
          <w:rFonts w:hint="eastAsia" w:ascii="宋体" w:hAnsi="宋体" w:eastAsia="宋体" w:cs="宋体"/>
          <w:bCs/>
          <w:color w:val="auto"/>
          <w:spacing w:val="1"/>
          <w:w w:val="129"/>
          <w:szCs w:val="30"/>
          <w:lang w:eastAsia="zh-CN"/>
        </w:rPr>
        <w:sectPr>
          <w:pgSz w:w="11906" w:h="16838"/>
          <w:pgMar w:top="1440" w:right="1800" w:bottom="1440" w:left="1800" w:header="851" w:footer="992" w:gutter="0"/>
          <w:cols w:space="425" w:num="1"/>
          <w:docGrid w:type="lines" w:linePitch="312" w:charSpace="0"/>
        </w:sectPr>
      </w:pPr>
    </w:p>
    <w:p>
      <w:pPr>
        <w:pStyle w:val="2"/>
        <w:rPr>
          <w:rFonts w:hint="eastAsia"/>
          <w:color w:val="auto"/>
        </w:rPr>
      </w:pPr>
      <w:bookmarkStart w:id="0" w:name="_Toc9898"/>
      <w:bookmarkStart w:id="1" w:name="_Toc9734"/>
      <w:r>
        <w:rPr>
          <w:rFonts w:hint="eastAsia"/>
          <w:color w:val="auto"/>
        </w:rPr>
        <w:t>总的部分</w:t>
      </w:r>
      <w:bookmarkEnd w:id="0"/>
      <w:bookmarkEnd w:id="1"/>
    </w:p>
    <w:p>
      <w:pPr>
        <w:pStyle w:val="3"/>
        <w:rPr>
          <w:rFonts w:hint="eastAsia"/>
          <w:color w:val="auto"/>
        </w:rPr>
      </w:pPr>
      <w:bookmarkStart w:id="2" w:name="_Toc1186"/>
      <w:bookmarkStart w:id="3" w:name="_Toc27439"/>
      <w:bookmarkStart w:id="4" w:name="_Toc24489"/>
      <w:r>
        <w:rPr>
          <w:rFonts w:hint="eastAsia"/>
          <w:color w:val="auto"/>
        </w:rPr>
        <w:t>项目背景</w:t>
      </w:r>
      <w:bookmarkEnd w:id="2"/>
      <w:bookmarkEnd w:id="3"/>
      <w:bookmarkEnd w:id="4"/>
    </w:p>
    <w:p>
      <w:pPr>
        <w:spacing w:line="360" w:lineRule="auto"/>
        <w:ind w:firstLine="480" w:firstLineChars="200"/>
        <w:rPr>
          <w:color w:val="auto"/>
          <w:lang w:eastAsia="zh-CN"/>
        </w:rPr>
      </w:pPr>
      <w:r>
        <w:rPr>
          <w:rFonts w:hint="eastAsia" w:ascii="宋体" w:hAnsi="宋体"/>
          <w:color w:val="auto"/>
          <w:sz w:val="24"/>
          <w:szCs w:val="24"/>
          <w:lang w:eastAsia="zh-CN"/>
        </w:rPr>
        <w:t>本项目为：海南电力交易中心有限责任公司办公场所装修改造项目</w:t>
      </w:r>
      <w:r>
        <w:rPr>
          <w:rFonts w:hint="eastAsia" w:ascii="宋体" w:hAnsi="宋体" w:eastAsia="宋体"/>
          <w:color w:val="auto"/>
          <w:sz w:val="24"/>
          <w:szCs w:val="24"/>
          <w:lang w:eastAsia="zh-CN"/>
        </w:rPr>
        <w:t>智能化部分</w:t>
      </w:r>
      <w:r>
        <w:rPr>
          <w:rFonts w:hint="eastAsia" w:ascii="宋体" w:hAnsi="宋体"/>
          <w:color w:val="auto"/>
          <w:sz w:val="24"/>
          <w:szCs w:val="24"/>
          <w:lang w:eastAsia="zh-CN"/>
        </w:rPr>
        <w:t>。该项目改造地点为</w:t>
      </w:r>
      <w:r>
        <w:rPr>
          <w:rFonts w:hint="eastAsia" w:ascii="宋体" w:hAnsi="宋体"/>
          <w:color w:val="auto"/>
          <w:sz w:val="24"/>
          <w:szCs w:val="24"/>
          <w:lang w:val="en-US" w:eastAsia="zh-CN"/>
        </w:rPr>
        <w:t>新办公区（鼎元大厦36层）</w:t>
      </w:r>
      <w:r>
        <w:rPr>
          <w:rFonts w:hint="eastAsia" w:ascii="宋体" w:hAnsi="宋体"/>
          <w:color w:val="auto"/>
          <w:sz w:val="24"/>
          <w:szCs w:val="24"/>
          <w:lang w:eastAsia="zh-CN"/>
        </w:rPr>
        <w:t>。</w:t>
      </w:r>
    </w:p>
    <w:p>
      <w:pPr>
        <w:spacing w:line="360" w:lineRule="auto"/>
        <w:ind w:firstLine="480" w:firstLineChars="200"/>
        <w:rPr>
          <w:color w:val="auto"/>
          <w:lang w:eastAsia="zh-CN"/>
        </w:rPr>
      </w:pPr>
      <w:r>
        <w:rPr>
          <w:rFonts w:hint="eastAsia" w:ascii="宋体" w:hAnsi="宋体"/>
          <w:color w:val="auto"/>
          <w:sz w:val="24"/>
          <w:szCs w:val="24"/>
          <w:lang w:eastAsia="zh-CN"/>
        </w:rPr>
        <w:t>本次海南电力交易中心有限责任公司办公场所装修改造项目涉及建筑、强弱电、给排水、暖通、智能化等</w:t>
      </w:r>
      <w:bookmarkStart w:id="58" w:name="_GoBack"/>
      <w:bookmarkEnd w:id="58"/>
      <w:r>
        <w:rPr>
          <w:rFonts w:hint="eastAsia" w:ascii="宋体" w:hAnsi="宋体"/>
          <w:color w:val="auto"/>
          <w:sz w:val="24"/>
          <w:szCs w:val="24"/>
          <w:lang w:eastAsia="zh-CN"/>
        </w:rPr>
        <w:t>多个专业。设计内容包括：对租赁区域的房间功能布局进行重新规划及装修设计。</w:t>
      </w:r>
    </w:p>
    <w:p>
      <w:pPr>
        <w:pStyle w:val="3"/>
        <w:rPr>
          <w:rFonts w:hint="eastAsia"/>
          <w:color w:val="auto"/>
        </w:rPr>
      </w:pPr>
      <w:bookmarkStart w:id="5" w:name="_Toc25342"/>
      <w:bookmarkStart w:id="6" w:name="_Toc22637"/>
      <w:bookmarkStart w:id="7" w:name="_Toc18854"/>
      <w:r>
        <w:rPr>
          <w:rFonts w:hint="eastAsia"/>
          <w:color w:val="auto"/>
        </w:rPr>
        <w:t>需求说明</w:t>
      </w:r>
      <w:bookmarkEnd w:id="5"/>
      <w:bookmarkEnd w:id="6"/>
      <w:bookmarkEnd w:id="7"/>
    </w:p>
    <w:p>
      <w:pPr>
        <w:spacing w:after="0" w:line="360" w:lineRule="auto"/>
        <w:ind w:firstLine="480" w:firstLineChars="200"/>
        <w:rPr>
          <w:rFonts w:hint="eastAsia" w:ascii="宋体" w:hAnsi="宋体" w:eastAsia="宋体" w:cs="宋体"/>
          <w:color w:val="auto"/>
          <w:sz w:val="24"/>
          <w:szCs w:val="24"/>
          <w:lang w:eastAsia="zh-CN"/>
        </w:rPr>
      </w:pPr>
      <w:bookmarkStart w:id="8" w:name="_Toc8619"/>
      <w:r>
        <w:rPr>
          <w:rFonts w:hint="eastAsia" w:ascii="宋体" w:hAnsi="宋体"/>
          <w:color w:val="auto"/>
          <w:sz w:val="24"/>
          <w:szCs w:val="24"/>
          <w:lang w:eastAsia="zh-CN"/>
        </w:rPr>
        <w:t>海南电力交易中心有限责任公司办公场所装修改造项目</w:t>
      </w:r>
      <w:r>
        <w:rPr>
          <w:rFonts w:hint="eastAsia" w:ascii="宋体" w:hAnsi="宋体" w:eastAsia="宋体" w:cs="宋体"/>
          <w:color w:val="auto"/>
          <w:sz w:val="24"/>
          <w:szCs w:val="24"/>
          <w:lang w:eastAsia="zh-CN"/>
        </w:rPr>
        <w:t>需采购UPS、监控门禁系统等并提供设备安转、调试等配套服务，采购内容详见供货一览表。</w:t>
      </w:r>
    </w:p>
    <w:p>
      <w:pPr>
        <w:spacing w:after="0" w:line="360" w:lineRule="auto"/>
        <w:rPr>
          <w:rFonts w:hint="eastAsia" w:ascii="宋体" w:hAnsi="宋体" w:eastAsia="宋体" w:cs="宋体"/>
          <w:color w:val="auto"/>
          <w:sz w:val="24"/>
          <w:szCs w:val="24"/>
          <w:lang w:eastAsia="zh-CN"/>
        </w:rPr>
      </w:pPr>
    </w:p>
    <w:p>
      <w:pPr>
        <w:pStyle w:val="3"/>
        <w:rPr>
          <w:rFonts w:hint="eastAsia"/>
          <w:color w:val="auto"/>
        </w:rPr>
      </w:pPr>
      <w:bookmarkStart w:id="9" w:name="_Toc23115"/>
      <w:bookmarkStart w:id="10" w:name="_Toc28939"/>
      <w:r>
        <w:rPr>
          <w:rFonts w:hint="eastAsia"/>
          <w:color w:val="auto"/>
        </w:rPr>
        <w:t>一般规定</w:t>
      </w:r>
      <w:bookmarkEnd w:id="8"/>
      <w:bookmarkEnd w:id="9"/>
      <w:bookmarkEnd w:id="10"/>
    </w:p>
    <w:p>
      <w:pPr>
        <w:pStyle w:val="19"/>
        <w:numPr>
          <w:ilvl w:val="0"/>
          <w:numId w:val="2"/>
        </w:numPr>
        <w:spacing w:line="360" w:lineRule="auto"/>
        <w:ind w:left="172"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本技术规范书用于</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z w:val="24"/>
          <w:szCs w:val="24"/>
        </w:rPr>
        <w:t>办公场所装修改造项目的设备参数要求及招标；</w:t>
      </w:r>
    </w:p>
    <w:p>
      <w:pPr>
        <w:pStyle w:val="19"/>
        <w:numPr>
          <w:ilvl w:val="0"/>
          <w:numId w:val="2"/>
        </w:numPr>
        <w:spacing w:line="360" w:lineRule="auto"/>
        <w:ind w:left="172" w:firstLine="488"/>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本</w:t>
      </w:r>
      <w:r>
        <w:rPr>
          <w:rFonts w:hint="eastAsia" w:ascii="宋体" w:hAnsi="宋体" w:eastAsia="宋体" w:cs="宋体"/>
          <w:color w:val="auto"/>
          <w:sz w:val="24"/>
          <w:szCs w:val="24"/>
        </w:rPr>
        <w:t>技</w:t>
      </w:r>
      <w:r>
        <w:rPr>
          <w:rFonts w:hint="eastAsia" w:ascii="宋体" w:hAnsi="宋体" w:eastAsia="宋体" w:cs="宋体"/>
          <w:color w:val="auto"/>
          <w:spacing w:val="2"/>
          <w:sz w:val="24"/>
          <w:szCs w:val="24"/>
        </w:rPr>
        <w:t>术</w:t>
      </w:r>
      <w:r>
        <w:rPr>
          <w:rFonts w:hint="eastAsia" w:ascii="宋体" w:hAnsi="宋体" w:eastAsia="宋体" w:cs="宋体"/>
          <w:color w:val="auto"/>
          <w:sz w:val="24"/>
          <w:szCs w:val="24"/>
        </w:rPr>
        <w:t>规</w:t>
      </w:r>
      <w:r>
        <w:rPr>
          <w:rFonts w:hint="eastAsia" w:ascii="宋体" w:hAnsi="宋体" w:eastAsia="宋体" w:cs="宋体"/>
          <w:color w:val="auto"/>
          <w:spacing w:val="2"/>
          <w:sz w:val="24"/>
          <w:szCs w:val="24"/>
        </w:rPr>
        <w:t>范</w:t>
      </w:r>
      <w:r>
        <w:rPr>
          <w:rFonts w:hint="eastAsia" w:ascii="宋体" w:hAnsi="宋体" w:eastAsia="宋体" w:cs="宋体"/>
          <w:color w:val="auto"/>
          <w:sz w:val="24"/>
          <w:szCs w:val="24"/>
        </w:rPr>
        <w:t>书</w:t>
      </w:r>
      <w:r>
        <w:rPr>
          <w:rFonts w:hint="eastAsia" w:ascii="宋体" w:hAnsi="宋体" w:eastAsia="宋体" w:cs="宋体"/>
          <w:color w:val="auto"/>
          <w:spacing w:val="2"/>
          <w:sz w:val="24"/>
          <w:szCs w:val="24"/>
        </w:rPr>
        <w:t>提</w:t>
      </w:r>
      <w:r>
        <w:rPr>
          <w:rFonts w:hint="eastAsia" w:ascii="宋体" w:hAnsi="宋体" w:eastAsia="宋体" w:cs="宋体"/>
          <w:color w:val="auto"/>
          <w:sz w:val="24"/>
          <w:szCs w:val="24"/>
        </w:rPr>
        <w:t>出</w:t>
      </w:r>
      <w:r>
        <w:rPr>
          <w:rFonts w:hint="eastAsia" w:ascii="宋体" w:hAnsi="宋体" w:eastAsia="宋体" w:cs="宋体"/>
          <w:color w:val="auto"/>
          <w:spacing w:val="2"/>
          <w:sz w:val="24"/>
          <w:szCs w:val="24"/>
        </w:rPr>
        <w:t>了</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z w:val="24"/>
          <w:szCs w:val="24"/>
        </w:rPr>
        <w:t>办公场所装修改造项目的</w:t>
      </w:r>
      <w:r>
        <w:rPr>
          <w:rFonts w:hint="eastAsia" w:ascii="宋体" w:hAnsi="宋体" w:eastAsia="宋体" w:cs="宋体"/>
          <w:color w:val="auto"/>
          <w:spacing w:val="2"/>
          <w:sz w:val="24"/>
          <w:szCs w:val="24"/>
        </w:rPr>
        <w:t>技</w:t>
      </w:r>
      <w:r>
        <w:rPr>
          <w:rFonts w:hint="eastAsia" w:ascii="宋体" w:hAnsi="宋体" w:eastAsia="宋体" w:cs="宋体"/>
          <w:color w:val="auto"/>
          <w:sz w:val="24"/>
          <w:szCs w:val="24"/>
        </w:rPr>
        <w:t>术</w:t>
      </w:r>
      <w:r>
        <w:rPr>
          <w:rFonts w:hint="eastAsia" w:ascii="宋体" w:hAnsi="宋体" w:eastAsia="宋体" w:cs="宋体"/>
          <w:color w:val="auto"/>
          <w:spacing w:val="2"/>
          <w:sz w:val="24"/>
          <w:szCs w:val="24"/>
        </w:rPr>
        <w:t>要</w:t>
      </w:r>
      <w:r>
        <w:rPr>
          <w:rFonts w:hint="eastAsia" w:ascii="宋体" w:hAnsi="宋体" w:eastAsia="宋体" w:cs="宋体"/>
          <w:color w:val="auto"/>
          <w:sz w:val="24"/>
          <w:szCs w:val="24"/>
        </w:rPr>
        <w:t>求和</w:t>
      </w:r>
      <w:r>
        <w:rPr>
          <w:rFonts w:hint="eastAsia" w:ascii="宋体" w:hAnsi="宋体" w:eastAsia="宋体" w:cs="宋体"/>
          <w:color w:val="auto"/>
          <w:spacing w:val="2"/>
          <w:sz w:val="24"/>
          <w:szCs w:val="24"/>
        </w:rPr>
        <w:t>工</w:t>
      </w:r>
      <w:r>
        <w:rPr>
          <w:rFonts w:hint="eastAsia" w:ascii="宋体" w:hAnsi="宋体" w:eastAsia="宋体" w:cs="宋体"/>
          <w:color w:val="auto"/>
          <w:sz w:val="24"/>
          <w:szCs w:val="24"/>
        </w:rPr>
        <w:t>程</w:t>
      </w:r>
      <w:r>
        <w:rPr>
          <w:rFonts w:hint="eastAsia" w:ascii="宋体" w:hAnsi="宋体" w:eastAsia="宋体" w:cs="宋体"/>
          <w:color w:val="auto"/>
          <w:spacing w:val="2"/>
          <w:sz w:val="24"/>
          <w:szCs w:val="24"/>
        </w:rPr>
        <w:t>实</w:t>
      </w:r>
      <w:r>
        <w:rPr>
          <w:rFonts w:hint="eastAsia" w:ascii="宋体" w:hAnsi="宋体" w:eastAsia="宋体" w:cs="宋体"/>
          <w:color w:val="auto"/>
          <w:sz w:val="24"/>
          <w:szCs w:val="24"/>
        </w:rPr>
        <w:t>施</w:t>
      </w:r>
      <w:r>
        <w:rPr>
          <w:rFonts w:hint="eastAsia" w:ascii="宋体" w:hAnsi="宋体" w:eastAsia="宋体" w:cs="宋体"/>
          <w:color w:val="auto"/>
          <w:spacing w:val="2"/>
          <w:sz w:val="24"/>
          <w:szCs w:val="24"/>
        </w:rPr>
        <w:t>要</w:t>
      </w:r>
      <w:r>
        <w:rPr>
          <w:rFonts w:hint="eastAsia" w:ascii="宋体" w:hAnsi="宋体" w:eastAsia="宋体" w:cs="宋体"/>
          <w:color w:val="auto"/>
          <w:sz w:val="24"/>
          <w:szCs w:val="24"/>
        </w:rPr>
        <w:t>求；</w:t>
      </w:r>
    </w:p>
    <w:p>
      <w:pPr>
        <w:numPr>
          <w:ilvl w:val="0"/>
          <w:numId w:val="2"/>
        </w:numPr>
        <w:spacing w:after="0" w:line="360" w:lineRule="auto"/>
        <w:ind w:left="172" w:firstLine="488"/>
        <w:jc w:val="both"/>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本</w:t>
      </w:r>
      <w:r>
        <w:rPr>
          <w:rFonts w:hint="eastAsia" w:ascii="宋体" w:hAnsi="宋体" w:eastAsia="宋体" w:cs="宋体"/>
          <w:color w:val="auto"/>
          <w:sz w:val="24"/>
          <w:szCs w:val="24"/>
          <w:lang w:eastAsia="zh-CN"/>
        </w:rPr>
        <w:t>项</w:t>
      </w:r>
      <w:r>
        <w:rPr>
          <w:rFonts w:hint="eastAsia" w:ascii="宋体" w:hAnsi="宋体" w:eastAsia="宋体" w:cs="宋体"/>
          <w:color w:val="auto"/>
          <w:spacing w:val="2"/>
          <w:sz w:val="24"/>
          <w:szCs w:val="24"/>
          <w:lang w:eastAsia="zh-CN"/>
        </w:rPr>
        <w:t>目</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采</w:t>
      </w:r>
      <w:r>
        <w:rPr>
          <w:rFonts w:hint="eastAsia" w:ascii="宋体" w:hAnsi="宋体" w:eastAsia="宋体" w:cs="宋体"/>
          <w:color w:val="auto"/>
          <w:spacing w:val="2"/>
          <w:sz w:val="24"/>
          <w:szCs w:val="24"/>
          <w:lang w:eastAsia="zh-CN"/>
        </w:rPr>
        <w:t>购</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为</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以</w:t>
      </w:r>
      <w:r>
        <w:rPr>
          <w:rFonts w:hint="eastAsia" w:ascii="宋体" w:hAnsi="宋体" w:eastAsia="宋体" w:cs="宋体"/>
          <w:color w:val="auto"/>
          <w:spacing w:val="2"/>
          <w:sz w:val="24"/>
          <w:szCs w:val="24"/>
          <w:lang w:eastAsia="zh-CN"/>
        </w:rPr>
        <w:t>下</w:t>
      </w:r>
      <w:r>
        <w:rPr>
          <w:rFonts w:hint="eastAsia" w:ascii="宋体" w:hAnsi="宋体" w:eastAsia="宋体" w:cs="宋体"/>
          <w:color w:val="auto"/>
          <w:sz w:val="24"/>
          <w:szCs w:val="24"/>
          <w:lang w:eastAsia="zh-CN"/>
        </w:rPr>
        <w:t>简</w:t>
      </w:r>
      <w:r>
        <w:rPr>
          <w:rFonts w:hint="eastAsia" w:ascii="宋体" w:hAnsi="宋体" w:eastAsia="宋体" w:cs="宋体"/>
          <w:color w:val="auto"/>
          <w:spacing w:val="2"/>
          <w:sz w:val="24"/>
          <w:szCs w:val="24"/>
          <w:lang w:eastAsia="zh-CN"/>
        </w:rPr>
        <w:t>称“</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买</w:t>
      </w:r>
      <w:r>
        <w:rPr>
          <w:rFonts w:hint="eastAsia" w:ascii="宋体" w:hAnsi="宋体" w:eastAsia="宋体" w:cs="宋体"/>
          <w:color w:val="auto"/>
          <w:spacing w:val="2"/>
          <w:sz w:val="24"/>
          <w:szCs w:val="24"/>
          <w:lang w:eastAsia="zh-CN"/>
        </w:rPr>
        <w:t>方</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具</w:t>
      </w:r>
      <w:r>
        <w:rPr>
          <w:rFonts w:hint="eastAsia" w:ascii="宋体" w:hAnsi="宋体" w:eastAsia="宋体" w:cs="宋体"/>
          <w:color w:val="auto"/>
          <w:spacing w:val="2"/>
          <w:sz w:val="24"/>
          <w:szCs w:val="24"/>
          <w:lang w:eastAsia="zh-CN"/>
        </w:rPr>
        <w:t>备</w:t>
      </w:r>
      <w:r>
        <w:rPr>
          <w:rFonts w:hint="eastAsia" w:ascii="宋体" w:hAnsi="宋体" w:eastAsia="宋体" w:cs="宋体"/>
          <w:color w:val="auto"/>
          <w:sz w:val="24"/>
          <w:szCs w:val="24"/>
          <w:lang w:eastAsia="zh-CN"/>
        </w:rPr>
        <w:t>所要</w:t>
      </w:r>
      <w:r>
        <w:rPr>
          <w:rFonts w:hint="eastAsia" w:ascii="宋体" w:hAnsi="宋体" w:eastAsia="宋体" w:cs="宋体"/>
          <w:color w:val="auto"/>
          <w:spacing w:val="2"/>
          <w:sz w:val="24"/>
          <w:szCs w:val="24"/>
          <w:lang w:eastAsia="zh-CN"/>
        </w:rPr>
        <w:t>求</w:t>
      </w:r>
      <w:r>
        <w:rPr>
          <w:rFonts w:hint="eastAsia" w:ascii="宋体" w:hAnsi="宋体" w:eastAsia="宋体" w:cs="宋体"/>
          <w:color w:val="auto"/>
          <w:sz w:val="24"/>
          <w:szCs w:val="24"/>
          <w:lang w:eastAsia="zh-CN"/>
        </w:rPr>
        <w:t>资</w:t>
      </w:r>
      <w:r>
        <w:rPr>
          <w:rFonts w:hint="eastAsia" w:ascii="宋体" w:hAnsi="宋体" w:eastAsia="宋体" w:cs="宋体"/>
          <w:color w:val="auto"/>
          <w:spacing w:val="2"/>
          <w:sz w:val="24"/>
          <w:szCs w:val="24"/>
          <w:lang w:eastAsia="zh-CN"/>
        </w:rPr>
        <w:t>质</w:t>
      </w:r>
      <w:r>
        <w:rPr>
          <w:rFonts w:hint="eastAsia" w:ascii="宋体" w:hAnsi="宋体" w:eastAsia="宋体" w:cs="宋体"/>
          <w:color w:val="auto"/>
          <w:sz w:val="24"/>
          <w:szCs w:val="24"/>
          <w:lang w:eastAsia="zh-CN"/>
        </w:rPr>
        <w:t>参</w:t>
      </w:r>
      <w:r>
        <w:rPr>
          <w:rFonts w:hint="eastAsia" w:ascii="宋体" w:hAnsi="宋体" w:eastAsia="宋体" w:cs="宋体"/>
          <w:color w:val="auto"/>
          <w:spacing w:val="2"/>
          <w:sz w:val="24"/>
          <w:szCs w:val="24"/>
          <w:lang w:eastAsia="zh-CN"/>
        </w:rPr>
        <w:t>与</w:t>
      </w:r>
      <w:r>
        <w:rPr>
          <w:rFonts w:hint="eastAsia" w:ascii="宋体" w:hAnsi="宋体" w:eastAsia="宋体" w:cs="宋体"/>
          <w:color w:val="auto"/>
          <w:sz w:val="24"/>
          <w:szCs w:val="24"/>
          <w:lang w:eastAsia="zh-CN"/>
        </w:rPr>
        <w:t>投</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供</w:t>
      </w:r>
      <w:r>
        <w:rPr>
          <w:rFonts w:hint="eastAsia" w:ascii="宋体" w:hAnsi="宋体" w:eastAsia="宋体" w:cs="宋体"/>
          <w:color w:val="auto"/>
          <w:sz w:val="24"/>
          <w:szCs w:val="24"/>
          <w:lang w:eastAsia="zh-CN"/>
        </w:rPr>
        <w:t>应</w:t>
      </w:r>
      <w:r>
        <w:rPr>
          <w:rFonts w:hint="eastAsia" w:ascii="宋体" w:hAnsi="宋体" w:eastAsia="宋体" w:cs="宋体"/>
          <w:color w:val="auto"/>
          <w:spacing w:val="2"/>
          <w:sz w:val="24"/>
          <w:szCs w:val="24"/>
          <w:lang w:eastAsia="zh-CN"/>
        </w:rPr>
        <w:t>商</w:t>
      </w:r>
      <w:r>
        <w:rPr>
          <w:rFonts w:hint="eastAsia" w:ascii="宋体" w:hAnsi="宋体" w:eastAsia="宋体" w:cs="宋体"/>
          <w:color w:val="auto"/>
          <w:sz w:val="24"/>
          <w:szCs w:val="24"/>
          <w:lang w:eastAsia="zh-CN"/>
        </w:rPr>
        <w:t>简</w:t>
      </w:r>
      <w:r>
        <w:rPr>
          <w:rFonts w:hint="eastAsia" w:ascii="宋体" w:hAnsi="宋体" w:eastAsia="宋体" w:cs="宋体"/>
          <w:color w:val="auto"/>
          <w:spacing w:val="-12"/>
          <w:sz w:val="24"/>
          <w:szCs w:val="24"/>
          <w:lang w:eastAsia="zh-CN"/>
        </w:rPr>
        <w:t>称</w:t>
      </w:r>
      <w:r>
        <w:rPr>
          <w:rFonts w:hint="eastAsia" w:ascii="宋体" w:hAnsi="宋体" w:eastAsia="宋体" w:cs="宋体"/>
          <w:color w:val="auto"/>
          <w:sz w:val="24"/>
          <w:szCs w:val="24"/>
          <w:lang w:eastAsia="zh-CN"/>
        </w:rPr>
        <w:t>“投</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15"/>
          <w:sz w:val="24"/>
          <w:szCs w:val="24"/>
          <w:lang w:eastAsia="zh-CN"/>
        </w:rPr>
        <w:t>”，</w:t>
      </w:r>
      <w:r>
        <w:rPr>
          <w:rFonts w:hint="eastAsia" w:ascii="宋体" w:hAnsi="宋体" w:eastAsia="宋体" w:cs="宋体"/>
          <w:color w:val="auto"/>
          <w:sz w:val="24"/>
          <w:szCs w:val="24"/>
          <w:lang w:eastAsia="zh-CN"/>
        </w:rPr>
        <w:t>中</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投</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方</w:t>
      </w:r>
      <w:r>
        <w:rPr>
          <w:rFonts w:hint="eastAsia" w:ascii="宋体" w:hAnsi="宋体" w:eastAsia="宋体" w:cs="宋体"/>
          <w:color w:val="auto"/>
          <w:sz w:val="24"/>
          <w:szCs w:val="24"/>
          <w:lang w:eastAsia="zh-CN"/>
        </w:rPr>
        <w:t>简</w:t>
      </w:r>
      <w:r>
        <w:rPr>
          <w:rFonts w:hint="eastAsia" w:ascii="宋体" w:hAnsi="宋体" w:eastAsia="宋体" w:cs="宋体"/>
          <w:color w:val="auto"/>
          <w:spacing w:val="-12"/>
          <w:sz w:val="24"/>
          <w:szCs w:val="24"/>
          <w:lang w:eastAsia="zh-CN"/>
        </w:rPr>
        <w:t>称</w:t>
      </w:r>
      <w:r>
        <w:rPr>
          <w:rFonts w:hint="eastAsia" w:ascii="宋体" w:hAnsi="宋体" w:eastAsia="宋体" w:cs="宋体"/>
          <w:color w:val="auto"/>
          <w:sz w:val="24"/>
          <w:szCs w:val="24"/>
          <w:lang w:eastAsia="zh-CN"/>
        </w:rPr>
        <w:t>“卖</w:t>
      </w:r>
      <w:r>
        <w:rPr>
          <w:rFonts w:hint="eastAsia" w:ascii="宋体" w:hAnsi="宋体" w:eastAsia="宋体" w:cs="宋体"/>
          <w:color w:val="auto"/>
          <w:spacing w:val="2"/>
          <w:sz w:val="24"/>
          <w:szCs w:val="24"/>
          <w:lang w:eastAsia="zh-CN"/>
        </w:rPr>
        <w:t>方</w:t>
      </w:r>
      <w:r>
        <w:rPr>
          <w:rFonts w:hint="eastAsia" w:ascii="宋体" w:hAnsi="宋体" w:eastAsia="宋体" w:cs="宋体"/>
          <w:color w:val="auto"/>
          <w:spacing w:val="-15"/>
          <w:sz w:val="24"/>
          <w:szCs w:val="24"/>
          <w:lang w:eastAsia="zh-CN"/>
        </w:rPr>
        <w:t>”，</w:t>
      </w:r>
      <w:r>
        <w:rPr>
          <w:rFonts w:hint="eastAsia" w:ascii="宋体" w:hAnsi="宋体" w:eastAsia="宋体" w:cs="宋体"/>
          <w:color w:val="auto"/>
          <w:sz w:val="24"/>
          <w:szCs w:val="24"/>
          <w:lang w:eastAsia="zh-CN"/>
        </w:rPr>
        <w:t>最</w:t>
      </w:r>
      <w:r>
        <w:rPr>
          <w:rFonts w:hint="eastAsia" w:ascii="宋体" w:hAnsi="宋体" w:eastAsia="宋体" w:cs="宋体"/>
          <w:color w:val="auto"/>
          <w:spacing w:val="2"/>
          <w:sz w:val="24"/>
          <w:szCs w:val="24"/>
          <w:lang w:eastAsia="zh-CN"/>
        </w:rPr>
        <w:t>终</w:t>
      </w:r>
      <w:r>
        <w:rPr>
          <w:rFonts w:hint="eastAsia" w:ascii="宋体" w:hAnsi="宋体" w:eastAsia="宋体" w:cs="宋体"/>
          <w:color w:val="auto"/>
          <w:sz w:val="24"/>
          <w:szCs w:val="24"/>
          <w:lang w:eastAsia="zh-CN"/>
        </w:rPr>
        <w:t>用</w:t>
      </w:r>
      <w:r>
        <w:rPr>
          <w:rFonts w:hint="eastAsia" w:ascii="宋体" w:hAnsi="宋体" w:eastAsia="宋体" w:cs="宋体"/>
          <w:color w:val="auto"/>
          <w:spacing w:val="2"/>
          <w:sz w:val="24"/>
          <w:szCs w:val="24"/>
          <w:lang w:eastAsia="zh-CN"/>
        </w:rPr>
        <w:t>户</w:t>
      </w:r>
      <w:r>
        <w:rPr>
          <w:rFonts w:hint="eastAsia" w:ascii="宋体" w:hAnsi="宋体" w:eastAsia="宋体" w:cs="宋体"/>
          <w:color w:val="auto"/>
          <w:sz w:val="24"/>
          <w:szCs w:val="24"/>
          <w:lang w:eastAsia="zh-CN"/>
        </w:rPr>
        <w:t>为海南电力交易中心有限责任公司</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以</w:t>
      </w:r>
      <w:r>
        <w:rPr>
          <w:rFonts w:hint="eastAsia" w:ascii="宋体" w:hAnsi="宋体" w:eastAsia="宋体" w:cs="宋体"/>
          <w:color w:val="auto"/>
          <w:spacing w:val="2"/>
          <w:sz w:val="24"/>
          <w:szCs w:val="24"/>
          <w:lang w:eastAsia="zh-CN"/>
        </w:rPr>
        <w:t>下</w:t>
      </w:r>
      <w:r>
        <w:rPr>
          <w:rFonts w:hint="eastAsia" w:ascii="宋体" w:hAnsi="宋体" w:eastAsia="宋体" w:cs="宋体"/>
          <w:color w:val="auto"/>
          <w:sz w:val="24"/>
          <w:szCs w:val="24"/>
          <w:lang w:eastAsia="zh-CN"/>
        </w:rPr>
        <w:t>简</w:t>
      </w:r>
      <w:r>
        <w:rPr>
          <w:rFonts w:hint="eastAsia" w:ascii="宋体" w:hAnsi="宋体" w:eastAsia="宋体" w:cs="宋体"/>
          <w:color w:val="auto"/>
          <w:spacing w:val="2"/>
          <w:sz w:val="24"/>
          <w:szCs w:val="24"/>
          <w:lang w:eastAsia="zh-CN"/>
        </w:rPr>
        <w:t>称</w:t>
      </w:r>
      <w:r>
        <w:rPr>
          <w:rFonts w:hint="eastAsia" w:ascii="宋体" w:hAnsi="宋体" w:eastAsia="宋体" w:cs="宋体"/>
          <w:color w:val="auto"/>
          <w:sz w:val="24"/>
          <w:szCs w:val="24"/>
          <w:lang w:eastAsia="zh-CN"/>
        </w:rPr>
        <w:t>“用</w:t>
      </w:r>
      <w:r>
        <w:rPr>
          <w:rFonts w:hint="eastAsia" w:ascii="宋体" w:hAnsi="宋体" w:eastAsia="宋体" w:cs="宋体"/>
          <w:color w:val="auto"/>
          <w:spacing w:val="2"/>
          <w:sz w:val="24"/>
          <w:szCs w:val="24"/>
          <w:lang w:eastAsia="zh-CN"/>
        </w:rPr>
        <w:t>户方</w:t>
      </w:r>
      <w:r>
        <w:rPr>
          <w:rFonts w:hint="eastAsia" w:ascii="宋体" w:hAnsi="宋体" w:eastAsia="宋体" w:cs="宋体"/>
          <w:color w:val="auto"/>
          <w:sz w:val="24"/>
          <w:szCs w:val="24"/>
          <w:lang w:eastAsia="zh-CN"/>
        </w:rPr>
        <w:t>”）；</w:t>
      </w:r>
    </w:p>
    <w:p>
      <w:pPr>
        <w:pStyle w:val="19"/>
        <w:numPr>
          <w:ilvl w:val="0"/>
          <w:numId w:val="2"/>
        </w:numPr>
        <w:spacing w:line="360" w:lineRule="auto"/>
        <w:ind w:left="172" w:firstLine="488"/>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本</w:t>
      </w:r>
      <w:r>
        <w:rPr>
          <w:rFonts w:hint="eastAsia" w:ascii="宋体" w:hAnsi="宋体" w:eastAsia="宋体" w:cs="宋体"/>
          <w:color w:val="auto"/>
          <w:sz w:val="24"/>
          <w:szCs w:val="24"/>
        </w:rPr>
        <w:t>次</w:t>
      </w:r>
      <w:r>
        <w:rPr>
          <w:rFonts w:hint="eastAsia" w:ascii="宋体" w:hAnsi="宋体" w:eastAsia="宋体" w:cs="宋体"/>
          <w:color w:val="auto"/>
          <w:spacing w:val="2"/>
          <w:sz w:val="24"/>
          <w:szCs w:val="24"/>
        </w:rPr>
        <w:t>招</w:t>
      </w:r>
      <w:r>
        <w:rPr>
          <w:rFonts w:hint="eastAsia" w:ascii="宋体" w:hAnsi="宋体" w:eastAsia="宋体" w:cs="宋体"/>
          <w:color w:val="auto"/>
          <w:sz w:val="24"/>
          <w:szCs w:val="24"/>
        </w:rPr>
        <w:t>标</w:t>
      </w:r>
      <w:r>
        <w:rPr>
          <w:rFonts w:hint="eastAsia" w:ascii="宋体" w:hAnsi="宋体" w:eastAsia="宋体" w:cs="宋体"/>
          <w:color w:val="auto"/>
          <w:spacing w:val="2"/>
          <w:sz w:val="24"/>
          <w:szCs w:val="24"/>
        </w:rPr>
        <w:t>范</w:t>
      </w:r>
      <w:r>
        <w:rPr>
          <w:rFonts w:hint="eastAsia" w:ascii="宋体" w:hAnsi="宋体" w:eastAsia="宋体" w:cs="宋体"/>
          <w:color w:val="auto"/>
          <w:sz w:val="24"/>
          <w:szCs w:val="24"/>
        </w:rPr>
        <w:t>围</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lang w:eastAsia="zh-CN"/>
        </w:rPr>
        <w:t>海南电力交易中心有限责任公司</w:t>
      </w:r>
      <w:r>
        <w:rPr>
          <w:rFonts w:hint="eastAsia" w:ascii="宋体" w:hAnsi="宋体" w:eastAsia="宋体" w:cs="宋体"/>
          <w:color w:val="auto"/>
          <w:sz w:val="24"/>
          <w:szCs w:val="24"/>
        </w:rPr>
        <w:t>办公场所装修改造项目智能化改造部分的</w:t>
      </w:r>
      <w:r>
        <w:rPr>
          <w:rFonts w:hint="eastAsia" w:ascii="宋体" w:hAnsi="宋体" w:eastAsia="宋体" w:cs="宋体"/>
          <w:color w:val="auto"/>
          <w:spacing w:val="2"/>
          <w:sz w:val="24"/>
          <w:szCs w:val="24"/>
        </w:rPr>
        <w:t>建</w:t>
      </w:r>
      <w:r>
        <w:rPr>
          <w:rFonts w:hint="eastAsia" w:ascii="宋体" w:hAnsi="宋体" w:eastAsia="宋体" w:cs="宋体"/>
          <w:color w:val="auto"/>
          <w:sz w:val="24"/>
          <w:szCs w:val="24"/>
        </w:rPr>
        <w:t>设</w:t>
      </w:r>
      <w:r>
        <w:rPr>
          <w:rFonts w:hint="eastAsia" w:ascii="宋体" w:hAnsi="宋体" w:eastAsia="宋体" w:cs="宋体"/>
          <w:color w:val="auto"/>
          <w:spacing w:val="2"/>
          <w:sz w:val="24"/>
          <w:szCs w:val="24"/>
        </w:rPr>
        <w:t>内</w:t>
      </w:r>
      <w:r>
        <w:rPr>
          <w:rFonts w:hint="eastAsia" w:ascii="宋体" w:hAnsi="宋体" w:eastAsia="宋体" w:cs="宋体"/>
          <w:color w:val="auto"/>
          <w:sz w:val="24"/>
          <w:szCs w:val="24"/>
        </w:rPr>
        <w:t>容；</w:t>
      </w:r>
    </w:p>
    <w:p>
      <w:pPr>
        <w:numPr>
          <w:ilvl w:val="0"/>
          <w:numId w:val="2"/>
        </w:numPr>
        <w:spacing w:after="0" w:line="360" w:lineRule="auto"/>
        <w:ind w:left="172" w:firstLine="488"/>
        <w:jc w:val="both"/>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本</w:t>
      </w:r>
      <w:r>
        <w:rPr>
          <w:rFonts w:hint="eastAsia" w:ascii="宋体" w:hAnsi="宋体" w:eastAsia="宋体" w:cs="宋体"/>
          <w:color w:val="auto"/>
          <w:sz w:val="24"/>
          <w:szCs w:val="24"/>
          <w:lang w:eastAsia="zh-CN"/>
        </w:rPr>
        <w:t>次</w:t>
      </w:r>
      <w:r>
        <w:rPr>
          <w:rFonts w:hint="eastAsia" w:ascii="宋体" w:hAnsi="宋体" w:eastAsia="宋体" w:cs="宋体"/>
          <w:color w:val="auto"/>
          <w:spacing w:val="2"/>
          <w:sz w:val="24"/>
          <w:szCs w:val="24"/>
          <w:lang w:eastAsia="zh-CN"/>
        </w:rPr>
        <w:t>招</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中</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应</w:t>
      </w:r>
      <w:r>
        <w:rPr>
          <w:rFonts w:hint="eastAsia" w:ascii="宋体" w:hAnsi="宋体" w:eastAsia="宋体" w:cs="宋体"/>
          <w:color w:val="auto"/>
          <w:sz w:val="24"/>
          <w:szCs w:val="24"/>
          <w:lang w:eastAsia="zh-CN"/>
        </w:rPr>
        <w:t>提</w:t>
      </w:r>
      <w:r>
        <w:rPr>
          <w:rFonts w:hint="eastAsia" w:ascii="宋体" w:hAnsi="宋体" w:eastAsia="宋体" w:cs="宋体"/>
          <w:color w:val="auto"/>
          <w:spacing w:val="2"/>
          <w:sz w:val="24"/>
          <w:szCs w:val="24"/>
          <w:lang w:eastAsia="zh-CN"/>
        </w:rPr>
        <w:t>供</w:t>
      </w:r>
      <w:r>
        <w:rPr>
          <w:rFonts w:hint="eastAsia" w:ascii="宋体" w:hAnsi="宋体" w:eastAsia="宋体" w:cs="宋体"/>
          <w:color w:val="auto"/>
          <w:sz w:val="24"/>
          <w:szCs w:val="24"/>
          <w:lang w:eastAsia="zh-CN"/>
        </w:rPr>
        <w:t>所</w:t>
      </w:r>
      <w:r>
        <w:rPr>
          <w:rFonts w:hint="eastAsia" w:ascii="宋体" w:hAnsi="宋体" w:eastAsia="宋体" w:cs="宋体"/>
          <w:color w:val="auto"/>
          <w:spacing w:val="2"/>
          <w:sz w:val="24"/>
          <w:szCs w:val="24"/>
          <w:lang w:eastAsia="zh-CN"/>
        </w:rPr>
        <w:t>招</w:t>
      </w:r>
      <w:r>
        <w:rPr>
          <w:rFonts w:hint="eastAsia" w:ascii="宋体" w:hAnsi="宋体" w:eastAsia="宋体" w:cs="宋体"/>
          <w:color w:val="auto"/>
          <w:sz w:val="24"/>
          <w:szCs w:val="24"/>
          <w:lang w:eastAsia="zh-CN"/>
        </w:rPr>
        <w:t>标设备</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供</w:t>
      </w:r>
      <w:r>
        <w:rPr>
          <w:rFonts w:hint="eastAsia" w:ascii="宋体" w:hAnsi="宋体" w:eastAsia="宋体" w:cs="宋体"/>
          <w:color w:val="auto"/>
          <w:spacing w:val="2"/>
          <w:sz w:val="24"/>
          <w:szCs w:val="24"/>
          <w:lang w:eastAsia="zh-CN"/>
        </w:rPr>
        <w:t>货</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安</w:t>
      </w:r>
      <w:r>
        <w:rPr>
          <w:rFonts w:hint="eastAsia" w:ascii="宋体" w:hAnsi="宋体" w:eastAsia="宋体" w:cs="宋体"/>
          <w:color w:val="auto"/>
          <w:sz w:val="24"/>
          <w:szCs w:val="24"/>
          <w:lang w:eastAsia="zh-CN"/>
        </w:rPr>
        <w:t>装</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集</w:t>
      </w:r>
      <w:r>
        <w:rPr>
          <w:rFonts w:hint="eastAsia" w:ascii="宋体" w:hAnsi="宋体" w:eastAsia="宋体" w:cs="宋体"/>
          <w:color w:val="auto"/>
          <w:spacing w:val="2"/>
          <w:sz w:val="24"/>
          <w:szCs w:val="24"/>
          <w:lang w:eastAsia="zh-CN"/>
        </w:rPr>
        <w:t>成</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调</w:t>
      </w:r>
      <w:r>
        <w:rPr>
          <w:rFonts w:hint="eastAsia" w:ascii="宋体" w:hAnsi="宋体" w:eastAsia="宋体" w:cs="宋体"/>
          <w:color w:val="auto"/>
          <w:sz w:val="24"/>
          <w:szCs w:val="24"/>
          <w:lang w:eastAsia="zh-CN"/>
        </w:rPr>
        <w:t>试</w:t>
      </w:r>
      <w:r>
        <w:rPr>
          <w:rFonts w:hint="eastAsia" w:ascii="宋体" w:hAnsi="宋体" w:eastAsia="宋体" w:cs="宋体"/>
          <w:color w:val="auto"/>
          <w:spacing w:val="2"/>
          <w:sz w:val="24"/>
          <w:szCs w:val="24"/>
          <w:lang w:eastAsia="zh-CN"/>
        </w:rPr>
        <w:t>及</w:t>
      </w:r>
      <w:r>
        <w:rPr>
          <w:rFonts w:hint="eastAsia" w:ascii="宋体" w:hAnsi="宋体" w:eastAsia="宋体" w:cs="宋体"/>
          <w:color w:val="auto"/>
          <w:sz w:val="24"/>
          <w:szCs w:val="24"/>
          <w:lang w:eastAsia="zh-CN"/>
        </w:rPr>
        <w:t>技</w:t>
      </w:r>
      <w:r>
        <w:rPr>
          <w:rFonts w:hint="eastAsia" w:ascii="宋体" w:hAnsi="宋体" w:eastAsia="宋体" w:cs="宋体"/>
          <w:color w:val="auto"/>
          <w:spacing w:val="2"/>
          <w:sz w:val="24"/>
          <w:szCs w:val="24"/>
          <w:lang w:eastAsia="zh-CN"/>
        </w:rPr>
        <w:t>术</w:t>
      </w:r>
      <w:r>
        <w:rPr>
          <w:rFonts w:hint="eastAsia" w:ascii="宋体" w:hAnsi="宋体" w:eastAsia="宋体" w:cs="宋体"/>
          <w:color w:val="auto"/>
          <w:sz w:val="24"/>
          <w:szCs w:val="24"/>
          <w:lang w:eastAsia="zh-CN"/>
        </w:rPr>
        <w:t>服</w:t>
      </w:r>
      <w:r>
        <w:rPr>
          <w:rFonts w:hint="eastAsia" w:ascii="宋体" w:hAnsi="宋体" w:eastAsia="宋体" w:cs="宋体"/>
          <w:color w:val="auto"/>
          <w:spacing w:val="2"/>
          <w:sz w:val="24"/>
          <w:szCs w:val="24"/>
          <w:lang w:eastAsia="zh-CN"/>
        </w:rPr>
        <w:t>务</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完</w:t>
      </w:r>
      <w:r>
        <w:rPr>
          <w:rFonts w:hint="eastAsia" w:ascii="宋体" w:hAnsi="宋体" w:eastAsia="宋体" w:cs="宋体"/>
          <w:color w:val="auto"/>
          <w:sz w:val="24"/>
          <w:szCs w:val="24"/>
          <w:lang w:eastAsia="zh-CN"/>
        </w:rPr>
        <w:t>成本</w:t>
      </w:r>
      <w:r>
        <w:rPr>
          <w:rFonts w:hint="eastAsia" w:ascii="宋体" w:hAnsi="宋体" w:eastAsia="宋体" w:cs="宋体"/>
          <w:color w:val="auto"/>
          <w:spacing w:val="2"/>
          <w:sz w:val="24"/>
          <w:szCs w:val="24"/>
          <w:lang w:eastAsia="zh-CN"/>
        </w:rPr>
        <w:t>招</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规</w:t>
      </w:r>
      <w:r>
        <w:rPr>
          <w:rFonts w:hint="eastAsia" w:ascii="宋体" w:hAnsi="宋体" w:eastAsia="宋体" w:cs="宋体"/>
          <w:color w:val="auto"/>
          <w:spacing w:val="2"/>
          <w:sz w:val="24"/>
          <w:szCs w:val="24"/>
          <w:lang w:eastAsia="zh-CN"/>
        </w:rPr>
        <w:t>定</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建</w:t>
      </w:r>
      <w:r>
        <w:rPr>
          <w:rFonts w:hint="eastAsia" w:ascii="宋体" w:hAnsi="宋体" w:eastAsia="宋体" w:cs="宋体"/>
          <w:color w:val="auto"/>
          <w:sz w:val="24"/>
          <w:szCs w:val="24"/>
          <w:lang w:eastAsia="zh-CN"/>
        </w:rPr>
        <w:t>设</w:t>
      </w:r>
      <w:r>
        <w:rPr>
          <w:rFonts w:hint="eastAsia" w:ascii="宋体" w:hAnsi="宋体" w:eastAsia="宋体" w:cs="宋体"/>
          <w:color w:val="auto"/>
          <w:spacing w:val="2"/>
          <w:sz w:val="24"/>
          <w:szCs w:val="24"/>
          <w:lang w:eastAsia="zh-CN"/>
        </w:rPr>
        <w:t>任</w:t>
      </w:r>
      <w:r>
        <w:rPr>
          <w:rFonts w:hint="eastAsia" w:ascii="宋体" w:hAnsi="宋体" w:eastAsia="宋体" w:cs="宋体"/>
          <w:color w:val="auto"/>
          <w:sz w:val="24"/>
          <w:szCs w:val="24"/>
          <w:lang w:eastAsia="zh-CN"/>
        </w:rPr>
        <w:t>务</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并</w:t>
      </w:r>
      <w:r>
        <w:rPr>
          <w:rFonts w:hint="eastAsia" w:ascii="宋体" w:hAnsi="宋体" w:eastAsia="宋体" w:cs="宋体"/>
          <w:color w:val="auto"/>
          <w:spacing w:val="2"/>
          <w:sz w:val="24"/>
          <w:szCs w:val="24"/>
          <w:lang w:eastAsia="zh-CN"/>
        </w:rPr>
        <w:t>协</w:t>
      </w:r>
      <w:r>
        <w:rPr>
          <w:rFonts w:hint="eastAsia" w:ascii="宋体" w:hAnsi="宋体" w:eastAsia="宋体" w:cs="宋体"/>
          <w:color w:val="auto"/>
          <w:sz w:val="24"/>
          <w:szCs w:val="24"/>
          <w:lang w:eastAsia="zh-CN"/>
        </w:rPr>
        <w:t>助</w:t>
      </w:r>
      <w:r>
        <w:rPr>
          <w:rFonts w:hint="eastAsia" w:ascii="宋体" w:hAnsi="宋体" w:eastAsia="宋体" w:cs="宋体"/>
          <w:color w:val="auto"/>
          <w:spacing w:val="2"/>
          <w:sz w:val="24"/>
          <w:szCs w:val="24"/>
          <w:lang w:eastAsia="zh-CN"/>
        </w:rPr>
        <w:t>相</w:t>
      </w:r>
      <w:r>
        <w:rPr>
          <w:rFonts w:hint="eastAsia" w:ascii="宋体" w:hAnsi="宋体" w:eastAsia="宋体" w:cs="宋体"/>
          <w:color w:val="auto"/>
          <w:sz w:val="24"/>
          <w:szCs w:val="24"/>
          <w:lang w:eastAsia="zh-CN"/>
        </w:rPr>
        <w:t>关</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建</w:t>
      </w:r>
      <w:r>
        <w:rPr>
          <w:rFonts w:hint="eastAsia" w:ascii="宋体" w:hAnsi="宋体" w:eastAsia="宋体" w:cs="宋体"/>
          <w:color w:val="auto"/>
          <w:spacing w:val="2"/>
          <w:sz w:val="24"/>
          <w:szCs w:val="24"/>
          <w:lang w:eastAsia="zh-CN"/>
        </w:rPr>
        <w:t>设</w:t>
      </w:r>
      <w:r>
        <w:rPr>
          <w:rFonts w:hint="eastAsia" w:ascii="宋体" w:hAnsi="宋体" w:eastAsia="宋体" w:cs="宋体"/>
          <w:color w:val="auto"/>
          <w:sz w:val="24"/>
          <w:szCs w:val="24"/>
          <w:lang w:eastAsia="zh-CN"/>
        </w:rPr>
        <w:t>工</w:t>
      </w:r>
      <w:r>
        <w:rPr>
          <w:rFonts w:hint="eastAsia" w:ascii="宋体" w:hAnsi="宋体" w:eastAsia="宋体" w:cs="宋体"/>
          <w:color w:val="auto"/>
          <w:spacing w:val="2"/>
          <w:sz w:val="24"/>
          <w:szCs w:val="24"/>
          <w:lang w:eastAsia="zh-CN"/>
        </w:rPr>
        <w:t>作</w:t>
      </w:r>
      <w:r>
        <w:rPr>
          <w:rFonts w:hint="eastAsia" w:ascii="宋体" w:hAnsi="宋体" w:eastAsia="宋体" w:cs="宋体"/>
          <w:color w:val="auto"/>
          <w:sz w:val="24"/>
          <w:szCs w:val="24"/>
          <w:lang w:eastAsia="zh-CN"/>
        </w:rPr>
        <w:t>；</w:t>
      </w:r>
    </w:p>
    <w:p>
      <w:pPr>
        <w:numPr>
          <w:ilvl w:val="0"/>
          <w:numId w:val="2"/>
        </w:numPr>
        <w:spacing w:after="0" w:line="360" w:lineRule="auto"/>
        <w:ind w:left="172" w:firstLine="488"/>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双</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项</w:t>
      </w:r>
      <w:r>
        <w:rPr>
          <w:rFonts w:hint="eastAsia" w:ascii="宋体" w:hAnsi="宋体" w:eastAsia="宋体" w:cs="宋体"/>
          <w:color w:val="auto"/>
          <w:sz w:val="24"/>
          <w:szCs w:val="24"/>
          <w:lang w:eastAsia="zh-CN"/>
        </w:rPr>
        <w:t>目</w:t>
      </w:r>
      <w:r>
        <w:rPr>
          <w:rFonts w:hint="eastAsia" w:ascii="宋体" w:hAnsi="宋体" w:eastAsia="宋体" w:cs="宋体"/>
          <w:color w:val="auto"/>
          <w:spacing w:val="2"/>
          <w:sz w:val="24"/>
          <w:szCs w:val="24"/>
          <w:lang w:eastAsia="zh-CN"/>
        </w:rPr>
        <w:t>违</w:t>
      </w:r>
      <w:r>
        <w:rPr>
          <w:rFonts w:hint="eastAsia" w:ascii="宋体" w:hAnsi="宋体" w:eastAsia="宋体" w:cs="宋体"/>
          <w:color w:val="auto"/>
          <w:sz w:val="24"/>
          <w:szCs w:val="24"/>
          <w:lang w:eastAsia="zh-CN"/>
        </w:rPr>
        <w:t>约</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处</w:t>
      </w:r>
      <w:r>
        <w:rPr>
          <w:rFonts w:hint="eastAsia" w:ascii="宋体" w:hAnsi="宋体" w:eastAsia="宋体" w:cs="宋体"/>
          <w:color w:val="auto"/>
          <w:spacing w:val="2"/>
          <w:sz w:val="24"/>
          <w:szCs w:val="24"/>
          <w:lang w:eastAsia="zh-CN"/>
        </w:rPr>
        <w:t>罚</w:t>
      </w:r>
      <w:r>
        <w:rPr>
          <w:rFonts w:hint="eastAsia" w:ascii="宋体" w:hAnsi="宋体" w:eastAsia="宋体" w:cs="宋体"/>
          <w:color w:val="auto"/>
          <w:sz w:val="24"/>
          <w:szCs w:val="24"/>
          <w:lang w:eastAsia="zh-CN"/>
        </w:rPr>
        <w:t>将</w:t>
      </w:r>
      <w:r>
        <w:rPr>
          <w:rFonts w:hint="eastAsia" w:ascii="宋体" w:hAnsi="宋体" w:eastAsia="宋体" w:cs="宋体"/>
          <w:color w:val="auto"/>
          <w:spacing w:val="2"/>
          <w:sz w:val="24"/>
          <w:szCs w:val="24"/>
          <w:lang w:eastAsia="zh-CN"/>
        </w:rPr>
        <w:t>在</w:t>
      </w:r>
      <w:r>
        <w:rPr>
          <w:rFonts w:hint="eastAsia" w:ascii="宋体" w:hAnsi="宋体" w:eastAsia="宋体" w:cs="宋体"/>
          <w:color w:val="auto"/>
          <w:sz w:val="24"/>
          <w:szCs w:val="24"/>
          <w:lang w:eastAsia="zh-CN"/>
        </w:rPr>
        <w:t>合</w:t>
      </w:r>
      <w:r>
        <w:rPr>
          <w:rFonts w:hint="eastAsia" w:ascii="宋体" w:hAnsi="宋体" w:eastAsia="宋体" w:cs="宋体"/>
          <w:color w:val="auto"/>
          <w:spacing w:val="2"/>
          <w:sz w:val="24"/>
          <w:szCs w:val="24"/>
          <w:lang w:eastAsia="zh-CN"/>
        </w:rPr>
        <w:t>同</w:t>
      </w:r>
      <w:r>
        <w:rPr>
          <w:rFonts w:hint="eastAsia" w:ascii="宋体" w:hAnsi="宋体" w:eastAsia="宋体" w:cs="宋体"/>
          <w:color w:val="auto"/>
          <w:sz w:val="24"/>
          <w:szCs w:val="24"/>
          <w:lang w:eastAsia="zh-CN"/>
        </w:rPr>
        <w:t>谈</w:t>
      </w:r>
      <w:r>
        <w:rPr>
          <w:rFonts w:hint="eastAsia" w:ascii="宋体" w:hAnsi="宋体" w:eastAsia="宋体" w:cs="宋体"/>
          <w:color w:val="auto"/>
          <w:spacing w:val="2"/>
          <w:sz w:val="24"/>
          <w:szCs w:val="24"/>
          <w:lang w:eastAsia="zh-CN"/>
        </w:rPr>
        <w:t>判</w:t>
      </w:r>
      <w:r>
        <w:rPr>
          <w:rFonts w:hint="eastAsia" w:ascii="宋体" w:hAnsi="宋体" w:eastAsia="宋体" w:cs="宋体"/>
          <w:color w:val="auto"/>
          <w:sz w:val="24"/>
          <w:szCs w:val="24"/>
          <w:lang w:eastAsia="zh-CN"/>
        </w:rPr>
        <w:t>中</w:t>
      </w:r>
      <w:r>
        <w:rPr>
          <w:rFonts w:hint="eastAsia" w:ascii="宋体" w:hAnsi="宋体" w:eastAsia="宋体" w:cs="宋体"/>
          <w:color w:val="auto"/>
          <w:spacing w:val="2"/>
          <w:sz w:val="24"/>
          <w:szCs w:val="24"/>
          <w:lang w:eastAsia="zh-CN"/>
        </w:rPr>
        <w:t>明</w:t>
      </w:r>
      <w:r>
        <w:rPr>
          <w:rFonts w:hint="eastAsia" w:ascii="宋体" w:hAnsi="宋体" w:eastAsia="宋体" w:cs="宋体"/>
          <w:color w:val="auto"/>
          <w:sz w:val="24"/>
          <w:szCs w:val="24"/>
          <w:lang w:eastAsia="zh-CN"/>
        </w:rPr>
        <w:t>确。</w:t>
      </w:r>
    </w:p>
    <w:p>
      <w:pPr>
        <w:pStyle w:val="3"/>
        <w:rPr>
          <w:rFonts w:hint="eastAsia"/>
          <w:color w:val="auto"/>
        </w:rPr>
      </w:pPr>
      <w:bookmarkStart w:id="11" w:name="_Toc25805"/>
      <w:bookmarkStart w:id="12" w:name="_Toc670"/>
      <w:bookmarkStart w:id="13" w:name="_Toc2994"/>
      <w:r>
        <w:rPr>
          <w:rFonts w:hint="eastAsia"/>
          <w:color w:val="auto"/>
        </w:rPr>
        <w:t>投标须知</w:t>
      </w:r>
      <w:bookmarkEnd w:id="11"/>
      <w:bookmarkEnd w:id="12"/>
      <w:bookmarkEnd w:id="13"/>
    </w:p>
    <w:p>
      <w:pPr>
        <w:spacing w:before="9" w:after="0" w:line="130" w:lineRule="exact"/>
        <w:rPr>
          <w:rFonts w:hint="eastAsia" w:ascii="宋体" w:hAnsi="宋体" w:eastAsia="宋体" w:cs="宋体"/>
          <w:color w:val="auto"/>
          <w:sz w:val="13"/>
          <w:szCs w:val="13"/>
          <w:lang w:eastAsia="zh-CN"/>
        </w:rPr>
      </w:pP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技术规范书中提出的仅为最低限度的技术要求，并未对一切技术细节做出规定，也未充分引述有关标准和规范的条文，投标方应提供符合相关标准和本技术规范的产品。本技术规范所使用的标准如与国家、行业、南方电网公司以及投标方所执行的标准不一致时，按要求较高的标准执行；</w:t>
      </w:r>
    </w:p>
    <w:p>
      <w:pPr>
        <w:numPr>
          <w:ilvl w:val="0"/>
          <w:numId w:val="3"/>
        </w:numPr>
        <w:spacing w:after="0" w:line="360" w:lineRule="auto"/>
        <w:ind w:left="0"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本文件中的所有设备技术参数为</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b/>
          <w:bCs/>
          <w:color w:val="auto"/>
          <w:sz w:val="24"/>
          <w:szCs w:val="24"/>
          <w:lang w:eastAsia="zh-CN"/>
        </w:rPr>
        <w:t>最低技术要求，为本次招标项目技术评审中的评分因素“技术参数优异性”的评分依据，投标方须做出点对点应答并满足，若不满足应当予以否决投标方技术文件；应答优于技术规范书的技术参数，投标人必须提供完备的佐证材料。</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应仔细阅读包括本技术规范书在内的招标文件的所有条款，并根据技术规范书中的要求和范围进行技术方案的设计，其提供的设备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买方书面同意，否则不得以任何理由提供低于本技术规范要求的相应的设备、产品及服务等；</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本技术规范书未提出但应标设备已具有的功能及技术性能指标，投标方可在其技术建议书中加以补充说明，并提供相关技术资料。如果投标方认为本技术规范书所描述的设备性能等要求与目标设备要求有所不一致或部分要求不合理，可在响应原要求后给出建议方案；</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于应标硬件设备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提供的技术应答内容至少应包括技术方案(包括功能实现方案、性能指标等)、设备软件、硬件配置(包括设备备品备件、工具及仪器、安装材料等)、工程计划(包括工程进度计划、设计联络会、技术培训计划)等；</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应在技术建议书中具体说明所建议的技术方案、设备系统配置符合的有关标准(包括国际、国内标准和专用标准)，并附上相应的说明和技术资料。投标建议书中的每个设备硬件的型号/部件号必须逐一说明。对每个单项产品，卖方必须提供原厂商的正式技术指标说明材料。卖方认为需特殊说明的部分应附有详细的技术资料，否则由于评标理解的不同，产生的后果由卖方负责；</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投标方提供的设备必须是标准的，技术上是成熟的；所有设备应是全新的，具有先进结构和一流工艺水平，并能在中国境内安全使用，符合环保要求；</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投标方应依据本技术规范的要求及推荐的技术方案提出详细的设备配置和报价清单；</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的报价清单内容应该包括本次招标范围内所要求的全部设备、材料及服务等。除已经明确说明由买方另行采购和在报价清单中明确采购的设备、材料及服务外，其它在本项目建设中必须的但被遗漏的设备、材料及服务，投标方应予以补充，在清单中详细列出并报价，以保证招标正常运行。否则，相关设备、材料及服务等的费用被视为已包含在报价中或由卖方免费提供；</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技术规范书的解释权属于买方。未经买方同意，任何个人和单位对技术规范书所作的任何修改均无效。在未经双方商定作为订货合同技术附件之前，买方保留对技术规范书进行修改的权利，卖方可以提出变更的意见和建议；买卖双方签订合同之后，买方有权提出和卖方有责任接受因国家、行业、上级主管单位等的规范、标准和规程等发生变化及与相关设备对接要求改变所产生的一些补充要求。具体事项由买卖双方共同商定；</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本技术规范书在内容或技术指标上如果存在错误(包括拼写、印刷错误)，投标方应及时提出要求招标方澄清，经招标方确认后对错误内容进行修正；</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针对本次招标的一切有效的书面通知、修改及补充，都是招标文件不可分割的部分，与招标文件具有同等法律效力；</w:t>
      </w:r>
    </w:p>
    <w:p>
      <w:pPr>
        <w:numPr>
          <w:ilvl w:val="0"/>
          <w:numId w:val="3"/>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技术规范书经买卖双方确认后作为合同的附件，与合同正文具有同等的法律效力。本技术规范书的未尽事宜，由买卖双方在合同技术谈判时协商确定，或以其它形式补充。</w:t>
      </w:r>
    </w:p>
    <w:p>
      <w:pPr>
        <w:pStyle w:val="3"/>
        <w:rPr>
          <w:rFonts w:hint="eastAsia"/>
          <w:color w:val="auto"/>
        </w:rPr>
      </w:pPr>
      <w:bookmarkStart w:id="14" w:name="_Toc20235"/>
      <w:bookmarkStart w:id="15" w:name="_Toc2439"/>
      <w:bookmarkStart w:id="16" w:name="_Toc1604"/>
      <w:r>
        <w:rPr>
          <w:rFonts w:hint="eastAsia"/>
          <w:color w:val="auto"/>
        </w:rPr>
        <w:t>卖方职责</w:t>
      </w:r>
      <w:bookmarkEnd w:id="14"/>
      <w:bookmarkEnd w:id="15"/>
      <w:bookmarkEnd w:id="16"/>
    </w:p>
    <w:p>
      <w:pPr>
        <w:spacing w:before="9" w:after="0" w:line="130" w:lineRule="exact"/>
        <w:rPr>
          <w:rFonts w:hint="eastAsia" w:ascii="宋体" w:hAnsi="宋体" w:eastAsia="宋体" w:cs="宋体"/>
          <w:color w:val="auto"/>
          <w:sz w:val="13"/>
          <w:szCs w:val="13"/>
          <w:lang w:eastAsia="zh-CN"/>
        </w:rPr>
      </w:pP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卖方职责包括但不限于：</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本工程为交钥匙工程，卖方负责本项目软件硬件等设备的供货、安装、调试；</w:t>
      </w:r>
      <w:r>
        <w:rPr>
          <w:rFonts w:hint="eastAsia" w:ascii="宋体" w:hAnsi="宋体" w:eastAsia="宋体" w:cs="宋体"/>
          <w:color w:val="auto"/>
          <w:sz w:val="24"/>
          <w:szCs w:val="24"/>
          <w:lang w:val="en-US" w:eastAsia="zh-CN"/>
        </w:rPr>
        <w:t xml:space="preserve">   </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提供产品均为合同限定的公司和国家所制造；</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提供的产品均满足产品技术说明书中规定的技术指标；</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负责所供设备的包装运货、报关、提货、交货、安装调试、系统开通、资源申请并保证系统质量；</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应提出主要设备的生产、运输、安装测试相对时间表；</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交货地点要求：</w:t>
      </w:r>
      <w:r>
        <w:rPr>
          <w:rFonts w:hint="eastAsia" w:ascii="宋体" w:hAnsi="宋体" w:eastAsia="宋体" w:cs="宋体"/>
          <w:b/>
          <w:bCs/>
          <w:color w:val="auto"/>
          <w:sz w:val="24"/>
          <w:szCs w:val="24"/>
          <w:lang w:eastAsia="zh-CN"/>
        </w:rPr>
        <w:t>自合同签订之后，买方电话通知之日起20日历天，到货之日起10日内完成安装调试工作，</w:t>
      </w:r>
      <w:r>
        <w:rPr>
          <w:rFonts w:hint="eastAsia" w:ascii="宋体" w:hAnsi="宋体" w:eastAsia="宋体" w:cs="宋体"/>
          <w:color w:val="auto"/>
          <w:sz w:val="24"/>
          <w:szCs w:val="24"/>
          <w:lang w:eastAsia="zh-CN"/>
        </w:rPr>
        <w:t>按招标方指定的安装地点；</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应说明所提供设备的设备规格、安装要求、进出线方式、电源种类、环境（接地要求、温湿度）要求等；</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应提供供货时间表，应给出所能保证的最早和最迟交货日期，应提交一份有关交付每批安装的设备材料、工具软件包和技术文件的日程安排，该安排须经招标方同意后执行；</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装调试在投标方人员指导下按投标方提供经招标方认可的设计进行，安装调试由投标方负责，招标方人员参加配合，投标方应编排计划进度表，定期向招标方用书面形式报告进展情况及遇到的问题及解决的措施；</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除招标方另作规定，投标方必须负责一切与安装调试有关的实地工作和服务；</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如果因为投标方生产能力不足、设备或软件存在技术问题而延误供货期，投标方应负责由此产生的一切后果，并进行经济赔偿；</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负责整个项目的协调工作，包含但不仅限于原有硬件设备对接工作、网络规划、系统对接等工作；</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负责供货范围内设备的投运、验收试验、试运行和保修期内的故障排除；</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提供全面的技术培训及设备硬件培训技术资料等；</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除特别说明外，投标方的设备提供1年保修服务，并在设备使用期内提供设备投运后的技术支持、合同设备备品备件、安装和维护所需的专门工具和试验仪器仪表(包括调整、测试和校核)及材料；</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及时向买方通告有关硬件设备的升级和更新，在质保期内应根据使用情况需要免费提供并负责安装和调试；</w:t>
      </w:r>
    </w:p>
    <w:p>
      <w:pPr>
        <w:numPr>
          <w:ilvl w:val="0"/>
          <w:numId w:val="4"/>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卖方有责任对买方所提供的电网技术参数资料以及有关资料进行保密；</w:t>
      </w:r>
    </w:p>
    <w:p>
      <w:pPr>
        <w:spacing w:before="7" w:after="0" w:line="100" w:lineRule="exact"/>
        <w:rPr>
          <w:rFonts w:hint="eastAsia" w:ascii="宋体" w:hAnsi="宋体" w:eastAsia="宋体" w:cs="宋体"/>
          <w:color w:val="auto"/>
          <w:sz w:val="10"/>
          <w:szCs w:val="10"/>
          <w:lang w:eastAsia="zh-CN"/>
        </w:rPr>
      </w:pPr>
    </w:p>
    <w:p>
      <w:pPr>
        <w:pStyle w:val="3"/>
        <w:rPr>
          <w:rFonts w:hint="eastAsia"/>
          <w:color w:val="auto"/>
        </w:rPr>
      </w:pPr>
      <w:bookmarkStart w:id="17" w:name="_Toc27651"/>
      <w:bookmarkStart w:id="18" w:name="_Toc8681"/>
      <w:bookmarkStart w:id="19" w:name="_Toc11303"/>
      <w:r>
        <w:rPr>
          <w:rFonts w:hint="eastAsia"/>
          <w:color w:val="auto"/>
        </w:rPr>
        <w:t>买方职责</w:t>
      </w:r>
      <w:bookmarkEnd w:id="17"/>
      <w:bookmarkEnd w:id="18"/>
      <w:bookmarkEnd w:id="19"/>
    </w:p>
    <w:p>
      <w:pPr>
        <w:spacing w:before="9" w:after="0" w:line="130" w:lineRule="exact"/>
        <w:rPr>
          <w:rFonts w:hint="eastAsia" w:ascii="宋体" w:hAnsi="宋体" w:eastAsia="宋体" w:cs="宋体"/>
          <w:color w:val="auto"/>
          <w:sz w:val="13"/>
          <w:szCs w:val="13"/>
          <w:lang w:eastAsia="zh-CN"/>
        </w:rPr>
      </w:pP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审查合同生效后卖方提供的技术文件和图纸，审议并确认工程进度、功能规范、设计联络会程序、培训内容和计划、验收试验大纲和计划等；</w:t>
      </w: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提供满足合同设备运行条件的现场运行环境；</w:t>
      </w: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提出现场的硬件布置要求；</w:t>
      </w:r>
    </w:p>
    <w:p>
      <w:pPr>
        <w:numPr>
          <w:ilvl w:val="0"/>
          <w:numId w:val="5"/>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参加各项组织培训工作；</w:t>
      </w:r>
    </w:p>
    <w:p>
      <w:pPr>
        <w:numPr>
          <w:ilvl w:val="0"/>
          <w:numId w:val="5"/>
        </w:numPr>
        <w:spacing w:after="0" w:line="360" w:lineRule="auto"/>
        <w:ind w:left="0"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lang w:eastAsia="zh-CN"/>
        </w:rPr>
        <w:t>其它双方约定的买方职责。</w:t>
      </w:r>
    </w:p>
    <w:p>
      <w:pPr>
        <w:spacing w:before="7" w:after="0" w:line="100" w:lineRule="exact"/>
        <w:rPr>
          <w:rFonts w:hint="eastAsia" w:ascii="宋体" w:hAnsi="宋体" w:eastAsia="宋体" w:cs="宋体"/>
          <w:color w:val="auto"/>
          <w:sz w:val="10"/>
          <w:szCs w:val="10"/>
          <w:lang w:eastAsia="zh-CN"/>
        </w:rPr>
      </w:pPr>
    </w:p>
    <w:p>
      <w:pPr>
        <w:widowControl/>
        <w:spacing w:after="0" w:line="240" w:lineRule="auto"/>
        <w:rPr>
          <w:rFonts w:hint="eastAsia" w:ascii="宋体" w:hAnsi="宋体" w:eastAsia="宋体" w:cs="宋体"/>
          <w:b/>
          <w:bCs/>
          <w:color w:val="auto"/>
          <w:spacing w:val="-1"/>
          <w:sz w:val="28"/>
          <w:szCs w:val="28"/>
          <w:lang w:eastAsia="zh-CN"/>
        </w:rPr>
      </w:pPr>
      <w:bookmarkStart w:id="20" w:name="_Toc4670"/>
      <w:r>
        <w:rPr>
          <w:rFonts w:ascii="宋体" w:hAnsi="宋体" w:eastAsia="宋体" w:cs="宋体"/>
          <w:b/>
          <w:bCs/>
          <w:color w:val="auto"/>
          <w:spacing w:val="-1"/>
          <w:sz w:val="28"/>
          <w:szCs w:val="28"/>
          <w:lang w:eastAsia="zh-CN"/>
        </w:rPr>
        <w:br w:type="page"/>
      </w:r>
    </w:p>
    <w:p>
      <w:pPr>
        <w:pStyle w:val="3"/>
        <w:rPr>
          <w:rFonts w:hint="eastAsia"/>
          <w:color w:val="auto"/>
        </w:rPr>
      </w:pPr>
      <w:bookmarkStart w:id="21" w:name="_Toc15695"/>
      <w:bookmarkStart w:id="22" w:name="_Toc29669"/>
      <w:r>
        <w:rPr>
          <w:rFonts w:hint="eastAsia"/>
          <w:color w:val="auto"/>
        </w:rPr>
        <w:t>设计遵循的标准规范</w:t>
      </w:r>
      <w:bookmarkEnd w:id="20"/>
      <w:bookmarkEnd w:id="21"/>
      <w:bookmarkEnd w:id="22"/>
    </w:p>
    <w:p>
      <w:pPr>
        <w:spacing w:before="9" w:after="0" w:line="130" w:lineRule="exact"/>
        <w:rPr>
          <w:rFonts w:hint="eastAsia" w:ascii="宋体" w:hAnsi="宋体" w:eastAsia="宋体" w:cs="宋体"/>
          <w:color w:val="auto"/>
          <w:sz w:val="13"/>
          <w:szCs w:val="13"/>
          <w:lang w:eastAsia="zh-CN"/>
        </w:rPr>
      </w:pPr>
    </w:p>
    <w:p>
      <w:pPr>
        <w:numPr>
          <w:ilvl w:val="0"/>
          <w:numId w:val="6"/>
        </w:numPr>
        <w:spacing w:after="0" w:line="360" w:lineRule="auto"/>
        <w:ind w:left="0"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除本技术规范书特别规定外，卖方所提供的设备均应按照国际、国家、行业、公司标准、规范、规定进行设计、制造、检验和安装。所用的标准必须是其最新版本。除非另作特别规定，所有合同设备，包括卖方从他处获得的全部设备或附件，都必须满足最新版本的相关标准，包括在投标时已生效的任何修改和补充。如果卖方选用标书规定以外的标准时，需提交与这种替换标准相当或优于标书规定标准的证明，供买方确认；</w:t>
      </w:r>
    </w:p>
    <w:p>
      <w:pPr>
        <w:numPr>
          <w:ilvl w:val="0"/>
          <w:numId w:val="6"/>
        </w:numPr>
        <w:spacing w:after="0" w:line="360" w:lineRule="auto"/>
        <w:ind w:left="0"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本技术规范书主要引用或参照了以下标准和规范，投标的设备和产品应符合本技术规范及下列标准和规范的要求：</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《安全防范工程程序与要求》（GA/T75-94）；</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《安全防范工程技术标准》(GB50348-2018)； </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《安全防范系统验收规则》（GA308-2001）；</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《综合布线系统工程规范》（GB50311-2016）；</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《电气安装工程接地装置施工及验收规范》（GB 50169-2006）；</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《建筑防火规范》（GB50016－2014）；</w:t>
      </w:r>
    </w:p>
    <w:p>
      <w:pPr>
        <w:pStyle w:val="25"/>
        <w:numPr>
          <w:ilvl w:val="0"/>
          <w:numId w:val="7"/>
        </w:numPr>
        <w:snapToGrid/>
        <w:spacing w:line="560" w:lineRule="exact"/>
        <w:rPr>
          <w:color w:val="auto"/>
          <w:sz w:val="24"/>
          <w:lang w:eastAsia="zh-CN"/>
        </w:rPr>
      </w:pPr>
      <w:r>
        <w:rPr>
          <w:rFonts w:hint="eastAsia"/>
          <w:color w:val="auto"/>
          <w:sz w:val="24"/>
          <w:lang w:eastAsia="zh-CN"/>
        </w:rPr>
        <w:t>《民用建筑设计统一标准》GB50352-2019；</w:t>
      </w:r>
    </w:p>
    <w:p>
      <w:pPr>
        <w:pStyle w:val="25"/>
        <w:numPr>
          <w:ilvl w:val="0"/>
          <w:numId w:val="7"/>
        </w:numPr>
        <w:snapToGrid/>
        <w:spacing w:line="560" w:lineRule="exact"/>
        <w:rPr>
          <w:color w:val="auto"/>
          <w:sz w:val="24"/>
          <w:lang w:eastAsia="zh-CN"/>
        </w:rPr>
      </w:pPr>
      <w:r>
        <w:rPr>
          <w:rFonts w:hint="eastAsia"/>
          <w:color w:val="auto"/>
          <w:sz w:val="24"/>
          <w:lang w:eastAsia="zh-CN"/>
        </w:rPr>
        <w:t>《民用建筑通用规范》GB55031-2022；</w:t>
      </w:r>
    </w:p>
    <w:p>
      <w:pPr>
        <w:pStyle w:val="25"/>
        <w:numPr>
          <w:ilvl w:val="0"/>
          <w:numId w:val="7"/>
        </w:numPr>
        <w:snapToGrid/>
        <w:spacing w:line="560" w:lineRule="exact"/>
        <w:rPr>
          <w:color w:val="auto"/>
          <w:sz w:val="24"/>
          <w:lang w:eastAsia="zh-CN"/>
        </w:rPr>
      </w:pPr>
      <w:r>
        <w:rPr>
          <w:rFonts w:hint="eastAsia"/>
          <w:color w:val="auto"/>
          <w:sz w:val="24"/>
          <w:lang w:eastAsia="zh-CN"/>
        </w:rPr>
        <w:t>《建筑设计防火规范》</w:t>
      </w:r>
      <w:r>
        <w:rPr>
          <w:color w:val="auto"/>
          <w:sz w:val="24"/>
          <w:lang w:eastAsia="zh-CN"/>
        </w:rPr>
        <w:t>GB50016-2014</w:t>
      </w:r>
      <w:r>
        <w:rPr>
          <w:rFonts w:hint="eastAsia"/>
          <w:color w:val="auto"/>
          <w:sz w:val="24"/>
          <w:lang w:eastAsia="zh-CN"/>
        </w:rPr>
        <w:t>（2018版）；</w:t>
      </w:r>
    </w:p>
    <w:p>
      <w:pPr>
        <w:numPr>
          <w:ilvl w:val="0"/>
          <w:numId w:val="7"/>
        </w:numPr>
        <w:spacing w:after="0"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《电力系统技术规程》（DL/T 5429-2009）；</w:t>
      </w:r>
    </w:p>
    <w:p>
      <w:pPr>
        <w:pStyle w:val="25"/>
        <w:numPr>
          <w:ilvl w:val="0"/>
          <w:numId w:val="7"/>
        </w:numPr>
        <w:snapToGrid/>
        <w:spacing w:line="560" w:lineRule="exact"/>
        <w:rPr>
          <w:color w:val="auto"/>
          <w:sz w:val="24"/>
          <w:lang w:eastAsia="zh-CN"/>
        </w:rPr>
      </w:pPr>
      <w:r>
        <w:rPr>
          <w:rFonts w:hint="eastAsia"/>
          <w:color w:val="auto"/>
          <w:sz w:val="24"/>
          <w:lang w:eastAsia="zh-CN"/>
        </w:rPr>
        <w:t>《民用建筑绿色设计规范》</w:t>
      </w:r>
      <w:r>
        <w:rPr>
          <w:color w:val="auto"/>
          <w:sz w:val="24"/>
          <w:lang w:eastAsia="zh-CN"/>
        </w:rPr>
        <w:t>JGJ</w:t>
      </w:r>
      <w:r>
        <w:rPr>
          <w:rFonts w:hint="eastAsia"/>
          <w:color w:val="auto"/>
          <w:sz w:val="24"/>
          <w:lang w:val="en-US" w:eastAsia="zh-CN"/>
        </w:rPr>
        <w:t>/</w:t>
      </w:r>
      <w:r>
        <w:rPr>
          <w:color w:val="auto"/>
          <w:sz w:val="24"/>
          <w:lang w:eastAsia="zh-CN"/>
        </w:rPr>
        <w:t>T229-2010</w:t>
      </w:r>
      <w:r>
        <w:rPr>
          <w:rFonts w:hint="eastAsia"/>
          <w:color w:val="auto"/>
          <w:sz w:val="24"/>
          <w:lang w:eastAsia="zh-CN"/>
        </w:rPr>
        <w:t>；</w:t>
      </w:r>
    </w:p>
    <w:p>
      <w:pPr>
        <w:numPr>
          <w:ilvl w:val="-1"/>
          <w:numId w:val="0"/>
        </w:numPr>
        <w:spacing w:after="0" w:line="480" w:lineRule="auto"/>
        <w:ind w:left="0" w:firstLine="0"/>
        <w:rPr>
          <w:rFonts w:hint="eastAsia" w:ascii="宋体" w:hAnsi="宋体" w:eastAsia="宋体" w:cs="宋体"/>
          <w:color w:val="auto"/>
          <w:sz w:val="24"/>
          <w:szCs w:val="24"/>
          <w:lang w:eastAsia="zh-CN"/>
        </w:rPr>
      </w:pPr>
    </w:p>
    <w:p>
      <w:pPr>
        <w:pStyle w:val="3"/>
        <w:rPr>
          <w:rFonts w:hint="eastAsia"/>
          <w:color w:val="auto"/>
        </w:rPr>
      </w:pPr>
      <w:bookmarkStart w:id="23" w:name="_Toc1024"/>
      <w:bookmarkStart w:id="24" w:name="_Toc16874"/>
      <w:r>
        <w:rPr>
          <w:rFonts w:hint="eastAsia"/>
          <w:color w:val="auto"/>
        </w:rPr>
        <w:t>质保及售后服务</w:t>
      </w:r>
      <w:bookmarkEnd w:id="23"/>
      <w:bookmarkEnd w:id="24"/>
    </w:p>
    <w:p>
      <w:pPr>
        <w:pStyle w:val="20"/>
        <w:adjustRightInd/>
        <w:snapToGrid/>
        <w:spacing w:after="0" w:line="360" w:lineRule="auto"/>
        <w:ind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方提供的项目实施团队人员不少于5名，项目实施团队人员中应至少包含网络及相关安全工程师、PMP等资质证书。项目经理及实施团队人员必须为本单位员工。需提供有效期内人员证书复印件以及在投标单位三个月的社保证明。</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要求投标方对本项目提供1年的总体质保。投标方提供的主要设备及材料需满足1年的质保，设备安装调试并通过验收运行后，进入质保期。</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在质保期内如遇到设备发生大的故障，投标方接到招标方的通知后，应派专业技术人员2小时内响应，2小时内到达现场，协助招标方处理故障，并提交事故处理报告。</w:t>
      </w:r>
    </w:p>
    <w:p>
      <w:pPr>
        <w:numPr>
          <w:ilvl w:val="0"/>
          <w:numId w:val="8"/>
        </w:numPr>
        <w:spacing w:after="0"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售后</w:t>
      </w:r>
      <w:r>
        <w:rPr>
          <w:rFonts w:hint="eastAsia" w:ascii="宋体" w:hAnsi="宋体" w:eastAsia="宋体" w:cs="宋体"/>
          <w:color w:val="auto"/>
          <w:sz w:val="24"/>
          <w:szCs w:val="24"/>
        </w:rPr>
        <w:t>服务内容</w:t>
      </w:r>
    </w:p>
    <w:p>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服务内容包括：</w:t>
      </w:r>
    </w:p>
    <w:p>
      <w:pPr>
        <w:numPr>
          <w:ilvl w:val="0"/>
          <w:numId w:val="9"/>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硬件产品出现故障后需进行更换或修复，同时在修复期间提供相应的备件供业主方使用，以保证系统的不间断运行；</w:t>
      </w:r>
    </w:p>
    <w:p>
      <w:pPr>
        <w:numPr>
          <w:ilvl w:val="0"/>
          <w:numId w:val="9"/>
        </w:numPr>
        <w:spacing w:after="0"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软件的免费升级。</w:t>
      </w:r>
    </w:p>
    <w:p>
      <w:pPr>
        <w:numPr>
          <w:ilvl w:val="0"/>
          <w:numId w:val="8"/>
        </w:numPr>
        <w:spacing w:after="0"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服务方式</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要求提供多种服务方式，包括：</w:t>
      </w:r>
    </w:p>
    <w:p>
      <w:pPr>
        <w:numPr>
          <w:ilvl w:val="0"/>
          <w:numId w:val="10"/>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热线电话：提供7×24小时热线电话支持，随时解答设备使用过程中出现的问题；</w:t>
      </w:r>
    </w:p>
    <w:p>
      <w:pPr>
        <w:numPr>
          <w:ilvl w:val="0"/>
          <w:numId w:val="10"/>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WEB方式：提供电子邮件、文档下载等远程技术支持方式；</w:t>
      </w:r>
    </w:p>
    <w:p>
      <w:pPr>
        <w:numPr>
          <w:ilvl w:val="0"/>
          <w:numId w:val="10"/>
        </w:numPr>
        <w:spacing w:after="0" w:line="360" w:lineRule="auto"/>
        <w:ind w:lef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现场服务：提供现场服务。</w:t>
      </w:r>
    </w:p>
    <w:p>
      <w:pPr>
        <w:numPr>
          <w:ilvl w:val="0"/>
          <w:numId w:val="8"/>
        </w:numPr>
        <w:spacing w:after="0" w:line="360" w:lineRule="auto"/>
        <w:ind w:left="0" w:firstLine="480" w:firstLineChars="200"/>
        <w:rPr>
          <w:rFonts w:hint="eastAsia" w:ascii="宋体" w:hAnsi="宋体" w:eastAsia="宋体" w:cs="宋体"/>
          <w:color w:val="auto"/>
          <w:sz w:val="24"/>
          <w:szCs w:val="24"/>
        </w:rPr>
      </w:pPr>
      <w:bookmarkStart w:id="25" w:name="_Toc3562"/>
      <w:bookmarkStart w:id="26" w:name="_Toc8786"/>
      <w:bookmarkStart w:id="27" w:name="_Toc4944"/>
      <w:bookmarkStart w:id="28" w:name="_Toc14353"/>
      <w:r>
        <w:rPr>
          <w:rFonts w:hint="eastAsia" w:ascii="宋体" w:hAnsi="宋体" w:eastAsia="宋体" w:cs="宋体"/>
          <w:color w:val="auto"/>
          <w:sz w:val="24"/>
          <w:szCs w:val="24"/>
        </w:rPr>
        <w:t>响应时间</w:t>
      </w:r>
      <w:bookmarkEnd w:id="25"/>
      <w:bookmarkEnd w:id="26"/>
      <w:bookmarkEnd w:id="27"/>
      <w:bookmarkEnd w:id="28"/>
    </w:p>
    <w:p>
      <w:pPr>
        <w:spacing w:after="0" w:line="360" w:lineRule="auto"/>
        <w:ind w:firstLine="480" w:firstLineChars="200"/>
        <w:rPr>
          <w:rFonts w:hint="eastAsia" w:ascii="宋体" w:hAnsi="宋体" w:eastAsia="宋体" w:cs="宋体"/>
          <w:b/>
          <w:bCs/>
          <w:color w:val="auto"/>
          <w:spacing w:val="2"/>
          <w:sz w:val="28"/>
          <w:szCs w:val="28"/>
          <w:lang w:eastAsia="zh-CN"/>
        </w:rPr>
      </w:pPr>
      <w:r>
        <w:rPr>
          <w:rFonts w:hint="eastAsia" w:ascii="宋体" w:hAnsi="宋体" w:eastAsia="宋体" w:cs="宋体"/>
          <w:color w:val="auto"/>
          <w:sz w:val="24"/>
          <w:szCs w:val="24"/>
          <w:lang w:eastAsia="zh-CN"/>
        </w:rPr>
        <w:t>要求电话响应时间≤1小时，邮件响应时间≤2小时，现场响应时间≤2小时，对于排障时间要求 24 小时内解决。</w:t>
      </w:r>
      <w:bookmarkStart w:id="29" w:name="_Toc341"/>
    </w:p>
    <w:p>
      <w:pPr>
        <w:widowControl/>
        <w:spacing w:after="0" w:line="240" w:lineRule="auto"/>
        <w:rPr>
          <w:rFonts w:hint="eastAsia" w:ascii="宋体" w:hAnsi="宋体" w:eastAsia="宋体" w:cs="宋体"/>
          <w:b/>
          <w:bCs/>
          <w:color w:val="auto"/>
          <w:sz w:val="28"/>
          <w:szCs w:val="28"/>
          <w:lang w:eastAsia="zh-CN"/>
        </w:rPr>
      </w:pPr>
      <w:bookmarkStart w:id="30" w:name="_Toc23319"/>
      <w:r>
        <w:rPr>
          <w:rFonts w:ascii="宋体" w:hAnsi="宋体" w:eastAsia="宋体" w:cs="宋体"/>
          <w:b/>
          <w:bCs/>
          <w:color w:val="auto"/>
          <w:sz w:val="28"/>
          <w:szCs w:val="28"/>
          <w:lang w:eastAsia="zh-CN"/>
        </w:rPr>
        <w:br w:type="page"/>
      </w:r>
    </w:p>
    <w:p>
      <w:pPr>
        <w:pStyle w:val="2"/>
        <w:rPr>
          <w:rFonts w:hint="eastAsia"/>
          <w:color w:val="auto"/>
        </w:rPr>
      </w:pPr>
      <w:bookmarkStart w:id="31" w:name="_Toc9881"/>
      <w:bookmarkStart w:id="32" w:name="_Toc13262"/>
      <w:r>
        <w:rPr>
          <w:rFonts w:hint="eastAsia"/>
          <w:color w:val="auto"/>
        </w:rPr>
        <w:t>供货一览表及技术规格</w:t>
      </w:r>
      <w:bookmarkEnd w:id="30"/>
      <w:bookmarkEnd w:id="31"/>
      <w:bookmarkEnd w:id="32"/>
    </w:p>
    <w:p>
      <w:pPr>
        <w:pStyle w:val="3"/>
        <w:rPr>
          <w:rFonts w:hint="eastAsia"/>
          <w:color w:val="auto"/>
        </w:rPr>
      </w:pPr>
      <w:bookmarkStart w:id="33" w:name="_Toc10109"/>
      <w:bookmarkStart w:id="34" w:name="_Toc10044"/>
      <w:r>
        <w:rPr>
          <w:rFonts w:hint="eastAsia"/>
          <w:color w:val="auto"/>
        </w:rPr>
        <w:t>供货一览表</w:t>
      </w:r>
      <w:bookmarkEnd w:id="29"/>
      <w:bookmarkEnd w:id="33"/>
      <w:bookmarkEnd w:id="34"/>
    </w:p>
    <w:tbl>
      <w:tblPr>
        <w:tblStyle w:val="16"/>
        <w:tblW w:w="8277" w:type="dxa"/>
        <w:tblInd w:w="93" w:type="dxa"/>
        <w:tblLayout w:type="fixed"/>
        <w:tblCellMar>
          <w:top w:w="0" w:type="dxa"/>
          <w:left w:w="108" w:type="dxa"/>
          <w:bottom w:w="0" w:type="dxa"/>
          <w:right w:w="108" w:type="dxa"/>
        </w:tblCellMar>
      </w:tblPr>
      <w:tblGrid>
        <w:gridCol w:w="1025"/>
        <w:gridCol w:w="2402"/>
        <w:gridCol w:w="1800"/>
        <w:gridCol w:w="1077"/>
        <w:gridCol w:w="1056"/>
        <w:gridCol w:w="917"/>
      </w:tblGrid>
      <w:tr>
        <w:tblPrEx>
          <w:tblCellMar>
            <w:top w:w="0" w:type="dxa"/>
            <w:left w:w="108" w:type="dxa"/>
            <w:bottom w:w="0" w:type="dxa"/>
            <w:right w:w="108" w:type="dxa"/>
          </w:tblCellMar>
        </w:tblPrEx>
        <w:trPr>
          <w:trHeight w:val="285"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bidi="ar"/>
              </w:rPr>
              <w:t>序号</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bidi="ar"/>
              </w:rPr>
              <w:t>设备名称</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bidi="ar"/>
              </w:rPr>
              <w:t>规格参数</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bidi="ar"/>
              </w:rPr>
              <w:t>单位</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bidi="ar"/>
              </w:rPr>
              <w:t>数量</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b/>
                <w:bCs/>
                <w:color w:val="auto"/>
                <w:sz w:val="24"/>
                <w:szCs w:val="24"/>
                <w:lang w:eastAsia="zh-CN" w:bidi="ar"/>
              </w:rPr>
            </w:pPr>
            <w:r>
              <w:rPr>
                <w:rFonts w:hint="eastAsia" w:ascii="宋体" w:hAnsi="宋体" w:eastAsia="宋体" w:cs="宋体"/>
                <w:b/>
                <w:bCs/>
                <w:color w:val="auto"/>
                <w:sz w:val="24"/>
                <w:szCs w:val="24"/>
                <w:lang w:eastAsia="zh-CN" w:bidi="ar"/>
              </w:rPr>
              <w:t>备注</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textAlignment w:val="center"/>
              <w:rPr>
                <w:rFonts w:hint="eastAsia" w:ascii="宋体" w:hAnsi="宋体" w:eastAsia="宋体" w:cs="微软雅黑"/>
                <w:b/>
                <w:bCs/>
                <w:color w:val="auto"/>
                <w:sz w:val="28"/>
                <w:szCs w:val="28"/>
                <w:lang w:eastAsia="zh-CN"/>
              </w:rPr>
            </w:pPr>
            <w:r>
              <w:rPr>
                <w:rFonts w:hint="eastAsia" w:ascii="宋体" w:hAnsi="宋体" w:eastAsia="宋体" w:cs="微软雅黑"/>
                <w:b/>
                <w:bCs/>
                <w:color w:val="auto"/>
                <w:sz w:val="28"/>
                <w:szCs w:val="28"/>
                <w:lang w:eastAsia="zh-CN"/>
              </w:rPr>
              <w:t>一</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textAlignment w:val="center"/>
              <w:rPr>
                <w:rFonts w:hint="eastAsia" w:ascii="宋体" w:hAnsi="宋体" w:eastAsia="宋体" w:cs="微软雅黑"/>
                <w:b/>
                <w:bCs/>
                <w:color w:val="auto"/>
                <w:sz w:val="28"/>
                <w:szCs w:val="28"/>
                <w:lang w:eastAsia="zh-CN"/>
              </w:rPr>
            </w:pPr>
            <w:r>
              <w:rPr>
                <w:rFonts w:hint="eastAsia" w:ascii="宋体" w:hAnsi="宋体" w:eastAsia="宋体" w:cs="微软雅黑"/>
                <w:b/>
                <w:bCs/>
                <w:color w:val="auto"/>
                <w:sz w:val="28"/>
                <w:szCs w:val="28"/>
                <w:lang w:eastAsia="zh-CN"/>
              </w:rPr>
              <w:t>视频监控系统</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半球摄像机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桥架 200*100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m</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24口POE交换机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视频存储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含20T容量</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textAlignment w:val="center"/>
              <w:rPr>
                <w:rFonts w:hint="eastAsia" w:ascii="宋体" w:hAnsi="宋体" w:eastAsia="宋体" w:cs="微软雅黑"/>
                <w:b/>
                <w:bCs/>
                <w:color w:val="auto"/>
                <w:sz w:val="28"/>
                <w:szCs w:val="28"/>
                <w:lang w:eastAsia="zh-CN"/>
              </w:rPr>
            </w:pPr>
            <w:r>
              <w:rPr>
                <w:rFonts w:hint="eastAsia" w:ascii="宋体" w:hAnsi="宋体" w:eastAsia="宋体" w:cs="微软雅黑"/>
                <w:b/>
                <w:bCs/>
                <w:color w:val="auto"/>
                <w:sz w:val="28"/>
                <w:szCs w:val="28"/>
                <w:lang w:eastAsia="zh-CN"/>
              </w:rPr>
              <w:t>二</w:t>
            </w:r>
          </w:p>
        </w:tc>
        <w:tc>
          <w:tcPr>
            <w:tcW w:w="72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both"/>
              <w:textAlignment w:val="center"/>
              <w:rPr>
                <w:rFonts w:hint="eastAsia" w:ascii="宋体" w:hAnsi="宋体" w:eastAsia="宋体" w:cs="微软雅黑"/>
                <w:b/>
                <w:bCs/>
                <w:color w:val="auto"/>
                <w:sz w:val="28"/>
                <w:szCs w:val="28"/>
                <w:lang w:eastAsia="zh-CN"/>
              </w:rPr>
            </w:pPr>
            <w:r>
              <w:rPr>
                <w:rFonts w:hint="eastAsia" w:ascii="宋体" w:hAnsi="宋体" w:eastAsia="宋体" w:cs="微软雅黑"/>
                <w:b/>
                <w:bCs/>
                <w:color w:val="auto"/>
                <w:sz w:val="28"/>
                <w:szCs w:val="28"/>
                <w:lang w:eastAsia="zh-CN"/>
              </w:rPr>
              <w:t>门禁系统</w:t>
            </w: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门禁</w:t>
            </w:r>
            <w:r>
              <w:rPr>
                <w:rFonts w:hint="eastAsia" w:asciiTheme="minorEastAsia" w:hAnsiTheme="minorEastAsia" w:eastAsiaTheme="minorEastAsia" w:cstheme="minorEastAsia"/>
                <w:color w:val="auto"/>
                <w:sz w:val="24"/>
                <w:szCs w:val="24"/>
                <w:lang w:eastAsia="zh-CN" w:bidi="ar"/>
              </w:rPr>
              <w:t>一体</w:t>
            </w:r>
            <w:r>
              <w:rPr>
                <w:rFonts w:hint="eastAsia" w:asciiTheme="minorEastAsia" w:hAnsiTheme="minorEastAsia" w:eastAsiaTheme="minorEastAsia" w:cstheme="minorEastAsia"/>
                <w:color w:val="auto"/>
                <w:sz w:val="24"/>
                <w:szCs w:val="24"/>
                <w:lang w:bidi="ar"/>
              </w:rPr>
              <w:t>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tc>
        <w:tc>
          <w:tcPr>
            <w:tcW w:w="24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电源类设备</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门禁-开门按钮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刷卡读卡器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生物信息采集仪</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磁力锁</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把</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磁力锁配件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24口POE交换机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无刷通用摆闸（右）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无刷通用摆闸（左）</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无刷通用摆闸（中）</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12</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24口POE交换机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13</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电源</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14</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人员通道遥控器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15</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人脸测温组件</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16</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台式机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17</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通用服务器</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r>
        <w:tblPrEx>
          <w:tblCellMar>
            <w:top w:w="0" w:type="dxa"/>
            <w:left w:w="108" w:type="dxa"/>
            <w:bottom w:w="0" w:type="dxa"/>
            <w:right w:w="108" w:type="dxa"/>
          </w:tblCellMar>
        </w:tblPrEx>
        <w:trPr>
          <w:trHeight w:val="600" w:hRule="atLeast"/>
        </w:trPr>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ind w:firstLine="480" w:firstLineChars="200"/>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18</w:t>
            </w:r>
          </w:p>
        </w:tc>
        <w:tc>
          <w:tcPr>
            <w:tcW w:w="240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访客自助机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详见技术规范书</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bidi="ar"/>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0" w:lineRule="atLeast"/>
              <w:jc w:val="center"/>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color w:val="auto"/>
                <w:sz w:val="24"/>
                <w:szCs w:val="24"/>
                <w:lang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hint="eastAsia" w:ascii="宋体" w:hAnsi="宋体" w:eastAsia="宋体" w:cs="宋体"/>
                <w:color w:val="auto"/>
                <w:sz w:val="24"/>
                <w:szCs w:val="24"/>
                <w:lang w:eastAsia="zh-CN" w:bidi="ar"/>
              </w:rPr>
            </w:pPr>
          </w:p>
        </w:tc>
      </w:tr>
    </w:tbl>
    <w:p>
      <w:pPr>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注：本技术规范书中未明确事项以施工图为准。</w:t>
      </w:r>
    </w:p>
    <w:p>
      <w:pPr>
        <w:pStyle w:val="3"/>
        <w:rPr>
          <w:rFonts w:hint="eastAsia"/>
          <w:color w:val="auto"/>
          <w:sz w:val="36"/>
          <w:szCs w:val="36"/>
        </w:rPr>
      </w:pPr>
      <w:bookmarkStart w:id="35" w:name="_Toc17591"/>
      <w:bookmarkStart w:id="36" w:name="_Toc5453"/>
      <w:bookmarkStart w:id="37" w:name="_Toc6872"/>
      <w:r>
        <w:rPr>
          <w:rFonts w:hint="eastAsia"/>
          <w:color w:val="auto"/>
          <w:sz w:val="36"/>
          <w:szCs w:val="36"/>
        </w:rPr>
        <w:t>设备技术规格</w:t>
      </w:r>
      <w:bookmarkEnd w:id="35"/>
      <w:bookmarkEnd w:id="36"/>
      <w:bookmarkEnd w:id="37"/>
    </w:p>
    <w:p>
      <w:pPr>
        <w:pStyle w:val="4"/>
        <w:numPr>
          <w:ilvl w:val="2"/>
          <w:numId w:val="0"/>
        </w:numPr>
        <w:rPr>
          <w:rFonts w:hint="eastAsia"/>
          <w:color w:val="auto"/>
          <w:sz w:val="30"/>
          <w:szCs w:val="30"/>
        </w:rPr>
      </w:pPr>
      <w:bookmarkStart w:id="38" w:name="_Toc16261"/>
      <w:bookmarkStart w:id="39" w:name="_Toc6849"/>
      <w:r>
        <w:rPr>
          <w:rFonts w:hint="eastAsia"/>
          <w:color w:val="auto"/>
          <w:sz w:val="30"/>
          <w:szCs w:val="30"/>
        </w:rPr>
        <w:t>一、视频监控系统</w:t>
      </w:r>
      <w:bookmarkEnd w:id="38"/>
      <w:bookmarkEnd w:id="39"/>
    </w:p>
    <w:p>
      <w:pPr>
        <w:pStyle w:val="5"/>
        <w:numPr>
          <w:ilvl w:val="0"/>
          <w:numId w:val="11"/>
        </w:numPr>
        <w:rPr>
          <w:rFonts w:hint="eastAsia"/>
          <w:color w:val="auto"/>
        </w:rPr>
      </w:pPr>
      <w:r>
        <w:rPr>
          <w:rFonts w:hint="eastAsia" w:cs="微软雅黑"/>
          <w:color w:val="auto"/>
          <w:szCs w:val="21"/>
          <w:lang w:bidi="ar"/>
        </w:rPr>
        <w:t>半球摄像机</w:t>
      </w:r>
    </w:p>
    <w:p>
      <w:pPr>
        <w:numPr>
          <w:ilvl w:val="0"/>
          <w:numId w:val="1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400万 1/3" CMOS 智能半球型网络摄像机</w:t>
      </w:r>
    </w:p>
    <w:p>
      <w:pPr>
        <w:numPr>
          <w:ilvl w:val="0"/>
          <w:numId w:val="12"/>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红外距离</w:t>
      </w:r>
      <w:r>
        <w:rPr>
          <w:rFonts w:hint="eastAsia" w:ascii="宋体" w:hAnsi="宋体" w:eastAsia="宋体" w:cs="宋体"/>
          <w:color w:val="auto"/>
          <w:sz w:val="24"/>
          <w:szCs w:val="24"/>
          <w:lang w:eastAsia="zh-CN" w:bidi="ar"/>
        </w:rPr>
        <w:t>28</w:t>
      </w:r>
      <w:r>
        <w:rPr>
          <w:rFonts w:hint="eastAsia" w:ascii="宋体" w:hAnsi="宋体" w:eastAsia="宋体" w:cs="宋体"/>
          <w:color w:val="auto"/>
          <w:sz w:val="24"/>
          <w:szCs w:val="24"/>
          <w:lang w:bidi="ar"/>
        </w:rPr>
        <w:t xml:space="preserve">米 </w:t>
      </w:r>
    </w:p>
    <w:p>
      <w:pPr>
        <w:numPr>
          <w:ilvl w:val="0"/>
          <w:numId w:val="1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bidi="ar"/>
        </w:rPr>
        <w:t>在2560x1440@25fps下，图像分辨力不小于1</w:t>
      </w:r>
      <w:r>
        <w:rPr>
          <w:rFonts w:hint="eastAsia" w:ascii="宋体" w:hAnsi="宋体" w:eastAsia="宋体" w:cs="宋体"/>
          <w:color w:val="auto"/>
          <w:sz w:val="24"/>
          <w:szCs w:val="24"/>
          <w:lang w:eastAsia="zh-CN" w:bidi="ar"/>
        </w:rPr>
        <w:t>3</w:t>
      </w:r>
      <w:r>
        <w:rPr>
          <w:rFonts w:hint="eastAsia" w:ascii="宋体" w:hAnsi="宋体" w:eastAsia="宋体" w:cs="宋体"/>
          <w:color w:val="auto"/>
          <w:sz w:val="24"/>
          <w:szCs w:val="24"/>
          <w:lang w:bidi="ar"/>
        </w:rPr>
        <w:t>00TVL。</w:t>
      </w:r>
      <w:r>
        <w:rPr>
          <w:rFonts w:hint="eastAsia" w:ascii="宋体" w:hAnsi="宋体" w:eastAsia="宋体" w:cs="宋体"/>
          <w:color w:val="auto"/>
          <w:sz w:val="24"/>
          <w:szCs w:val="24"/>
          <w:lang w:eastAsia="zh-CN" w:bidi="ar"/>
        </w:rPr>
        <w:t>最大亮度鉴别等级不小于10级</w:t>
      </w:r>
    </w:p>
    <w:p>
      <w:pPr>
        <w:numPr>
          <w:ilvl w:val="0"/>
          <w:numId w:val="1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不低于IP66防尘防水等级。 </w:t>
      </w:r>
    </w:p>
    <w:p>
      <w:pPr>
        <w:pStyle w:val="8"/>
        <w:numPr>
          <w:ilvl w:val="0"/>
          <w:numId w:val="12"/>
        </w:numPr>
        <w:rPr>
          <w:rFonts w:hint="eastAsia" w:ascii="宋体" w:hAnsi="宋体" w:eastAsia="宋体" w:cs="宋体"/>
          <w:color w:val="auto"/>
          <w:sz w:val="24"/>
          <w:lang w:eastAsia="zh-CN"/>
        </w:rPr>
      </w:pPr>
      <w:r>
        <w:rPr>
          <w:rFonts w:hint="eastAsia" w:ascii="宋体" w:hAnsi="宋体" w:eastAsia="宋体" w:cs="宋体"/>
          <w:color w:val="auto"/>
          <w:sz w:val="24"/>
          <w:lang w:eastAsia="zh-CN" w:bidi="ar"/>
        </w:rPr>
        <w:t>摄像机应能在DC（12±25%）V范围内正常工作，支持POE供电。</w:t>
      </w:r>
    </w:p>
    <w:p>
      <w:pPr>
        <w:pStyle w:val="5"/>
        <w:numPr>
          <w:ilvl w:val="0"/>
          <w:numId w:val="11"/>
        </w:numPr>
        <w:rPr>
          <w:rFonts w:hint="eastAsia" w:cs="微软雅黑"/>
          <w:color w:val="auto"/>
          <w:szCs w:val="21"/>
          <w:lang w:bidi="ar"/>
        </w:rPr>
      </w:pPr>
      <w:r>
        <w:rPr>
          <w:rFonts w:hint="eastAsia" w:cs="微软雅黑"/>
          <w:color w:val="auto"/>
          <w:szCs w:val="21"/>
          <w:lang w:bidi="ar"/>
        </w:rPr>
        <w:t>桥架 200*100</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200*100*1.2钢制防火涂层</w:t>
      </w:r>
    </w:p>
    <w:p>
      <w:pPr>
        <w:pStyle w:val="5"/>
        <w:numPr>
          <w:ilvl w:val="0"/>
          <w:numId w:val="11"/>
        </w:numPr>
        <w:rPr>
          <w:rFonts w:hint="eastAsia" w:cs="微软雅黑"/>
          <w:color w:val="auto"/>
          <w:szCs w:val="21"/>
          <w:lang w:bidi="ar"/>
        </w:rPr>
      </w:pPr>
      <w:r>
        <w:rPr>
          <w:rFonts w:hint="eastAsia" w:cs="微软雅黑"/>
          <w:color w:val="auto"/>
          <w:szCs w:val="21"/>
          <w:lang w:bidi="ar"/>
        </w:rPr>
        <w:t>24口POE交换机</w:t>
      </w:r>
    </w:p>
    <w:p>
      <w:pPr>
        <w:numPr>
          <w:ilvl w:val="0"/>
          <w:numId w:val="13"/>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轻网管，提供24个千兆PoE电口、2个千兆光口</w:t>
      </w:r>
    </w:p>
    <w:p>
      <w:pPr>
        <w:numPr>
          <w:ilvl w:val="0"/>
          <w:numId w:val="13"/>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整机最大POE供电功率：370 W</w:t>
      </w:r>
    </w:p>
    <w:p>
      <w:pPr>
        <w:pStyle w:val="5"/>
        <w:numPr>
          <w:ilvl w:val="0"/>
          <w:numId w:val="11"/>
        </w:numPr>
        <w:rPr>
          <w:rFonts w:hint="eastAsia" w:cs="微软雅黑"/>
          <w:color w:val="auto"/>
          <w:szCs w:val="21"/>
          <w:lang w:bidi="ar"/>
        </w:rPr>
      </w:pPr>
      <w:r>
        <w:rPr>
          <w:rFonts w:hint="eastAsia" w:cs="微软雅黑"/>
          <w:color w:val="auto"/>
          <w:szCs w:val="21"/>
          <w:lang w:bidi="ar"/>
        </w:rPr>
        <w:t>视频存储</w:t>
      </w:r>
    </w:p>
    <w:p>
      <w:pPr>
        <w:numPr>
          <w:ilvl w:val="0"/>
          <w:numId w:val="14"/>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2个HDMI接口、2个VGA接口、1个CVBS接口，2个RJ45千兆网络接口、2个USB2.0接口、2个USB3.0接口、1个RS232接口、1个RS485接口（可接入RS485键盘）、1个eSata接口；1+1冗余电源，1+1冗余风扇。具有1路音频输入接口、2路音频输出接口，15路报警输入接口、9路报警输出接口（其中第9路支持受控直流12V输出）；具有1路直流12V输出接口（12V 1A）；可内置8个SATA接口硬盘。</w:t>
      </w:r>
    </w:p>
    <w:p>
      <w:pPr>
        <w:numPr>
          <w:ilvl w:val="0"/>
          <w:numId w:val="14"/>
        </w:numPr>
        <w:spacing w:line="360" w:lineRule="auto"/>
        <w:ind w:firstLine="403"/>
        <w:jc w:val="both"/>
        <w:rPr>
          <w:rFonts w:hint="eastAsia" w:ascii="宋体" w:hAnsi="宋体" w:eastAsia="宋体" w:cs="宋体"/>
          <w:color w:val="auto"/>
          <w:sz w:val="24"/>
          <w:szCs w:val="24"/>
        </w:rPr>
      </w:pPr>
      <w:r>
        <w:rPr>
          <w:rFonts w:hint="eastAsia" w:ascii="宋体" w:hAnsi="宋体" w:eastAsia="宋体" w:cs="宋体"/>
          <w:color w:val="auto"/>
          <w:sz w:val="24"/>
          <w:szCs w:val="24"/>
        </w:rPr>
        <w:t>HDMI1和HDMI2支持单路8K（7680×4320）和1080P（1920×1080）异源输出</w:t>
      </w:r>
    </w:p>
    <w:p>
      <w:pPr>
        <w:numPr>
          <w:ilvl w:val="0"/>
          <w:numId w:val="14"/>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设备支持文搜功能，可通过文字语义描述，快速检索目标对象或内容；</w:t>
      </w:r>
    </w:p>
    <w:p>
      <w:pPr>
        <w:numPr>
          <w:ilvl w:val="0"/>
          <w:numId w:val="14"/>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支持将搜索内容添加到历史记录，历史检索词条保持最近10条，通过直接点击该高频热词或历史记录可直接进行重复检索。</w:t>
      </w:r>
    </w:p>
    <w:p>
      <w:pPr>
        <w:pStyle w:val="8"/>
        <w:numPr>
          <w:ilvl w:val="0"/>
          <w:numId w:val="14"/>
        </w:numPr>
        <w:spacing w:line="360" w:lineRule="auto"/>
        <w:ind w:firstLine="403"/>
        <w:rPr>
          <w:rFonts w:hint="eastAsia" w:ascii="宋体" w:hAnsi="宋体" w:eastAsia="宋体" w:cs="宋体"/>
          <w:color w:val="auto"/>
          <w:sz w:val="24"/>
          <w:lang w:eastAsia="zh-CN"/>
        </w:rPr>
      </w:pPr>
      <w:r>
        <w:rPr>
          <w:rFonts w:hint="eastAsia" w:ascii="宋体" w:hAnsi="宋体" w:eastAsia="宋体" w:cs="宋体"/>
          <w:color w:val="auto"/>
          <w:sz w:val="24"/>
          <w:lang w:eastAsia="zh-CN"/>
        </w:rPr>
        <w:t>支持接入带宽318Mbps，存储带宽318Mbps，转发带宽256Mbps；</w:t>
      </w:r>
    </w:p>
    <w:p>
      <w:pPr>
        <w:pStyle w:val="8"/>
        <w:numPr>
          <w:ilvl w:val="0"/>
          <w:numId w:val="14"/>
        </w:numPr>
        <w:spacing w:line="360" w:lineRule="auto"/>
        <w:ind w:firstLine="403"/>
        <w:rPr>
          <w:rFonts w:hint="eastAsia" w:ascii="宋体" w:hAnsi="宋体" w:eastAsia="宋体" w:cs="宋体"/>
          <w:color w:val="auto"/>
          <w:sz w:val="24"/>
          <w:lang w:eastAsia="zh-CN"/>
        </w:rPr>
      </w:pPr>
      <w:r>
        <w:rPr>
          <w:rFonts w:hint="eastAsia" w:ascii="宋体" w:hAnsi="宋体" w:eastAsia="宋体" w:cs="宋体"/>
          <w:color w:val="auto"/>
          <w:sz w:val="24"/>
          <w:lang w:eastAsia="zh-CN"/>
        </w:rPr>
        <w:t>自带20TB硬盘容量。</w:t>
      </w:r>
    </w:p>
    <w:p>
      <w:pPr>
        <w:pStyle w:val="4"/>
        <w:numPr>
          <w:ilvl w:val="2"/>
          <w:numId w:val="0"/>
        </w:numPr>
        <w:rPr>
          <w:rFonts w:hint="eastAsia"/>
          <w:color w:val="auto"/>
        </w:rPr>
      </w:pPr>
      <w:bookmarkStart w:id="40" w:name="_Toc280"/>
      <w:bookmarkStart w:id="41" w:name="_Toc32126"/>
      <w:r>
        <w:rPr>
          <w:rFonts w:hint="eastAsia"/>
          <w:color w:val="auto"/>
          <w:sz w:val="30"/>
          <w:szCs w:val="30"/>
        </w:rPr>
        <w:t>二、门禁系统</w:t>
      </w:r>
      <w:bookmarkEnd w:id="40"/>
      <w:bookmarkEnd w:id="41"/>
    </w:p>
    <w:p>
      <w:pPr>
        <w:pStyle w:val="5"/>
        <w:numPr>
          <w:ilvl w:val="0"/>
          <w:numId w:val="15"/>
        </w:numPr>
        <w:rPr>
          <w:rFonts w:hint="eastAsia"/>
          <w:color w:val="auto"/>
        </w:rPr>
      </w:pPr>
      <w:r>
        <w:rPr>
          <w:rFonts w:hint="eastAsia" w:cs="微软雅黑"/>
          <w:color w:val="auto"/>
          <w:szCs w:val="21"/>
          <w:lang w:bidi="ar"/>
        </w:rPr>
        <w:t>门禁一体机</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操作系统：嵌入式Linux操作系统；</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屏幕参数： ≥7英寸触摸显示屏，屏幕比例9:16，屏幕分辨率600*1024；</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摄像头参数：采用宽动态不低于200万双目摄像头；</w:t>
      </w:r>
    </w:p>
    <w:p>
      <w:pPr>
        <w:numPr>
          <w:ilvl w:val="0"/>
          <w:numId w:val="16"/>
        </w:numPr>
        <w:spacing w:line="360" w:lineRule="auto"/>
        <w:ind w:firstLine="403"/>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认证方式：支持人脸、刷卡（IC卡、手机NFC卡、CPU卡序列号/内容、身份证卡序列号）、密码认证方式，可外接身份证、指纹、蓝牙、功能模块；</w:t>
      </w:r>
    </w:p>
    <w:p>
      <w:pPr>
        <w:numPr>
          <w:ilvl w:val="0"/>
          <w:numId w:val="16"/>
        </w:numPr>
        <w:spacing w:line="360" w:lineRule="auto"/>
        <w:ind w:firstLine="403"/>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人脸验证：采用深度学习算法，支持单人或多人识别（最多4人同时认证）功能；支持照片、视频防假；1:N人脸验证速度≤0.2s，人脸验证准确率≥98%；</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存储容量：本地支持9999人脸库、49999张卡，14万条事件记录；</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通信方式及网络协议：有线网络；</w:t>
      </w:r>
    </w:p>
    <w:p>
      <w:pPr>
        <w:numPr>
          <w:ilvl w:val="0"/>
          <w:numId w:val="1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使用环境：IP65，室内外环境</w:t>
      </w:r>
    </w:p>
    <w:p>
      <w:pPr>
        <w:pStyle w:val="5"/>
        <w:numPr>
          <w:ilvl w:val="0"/>
          <w:numId w:val="15"/>
        </w:numPr>
        <w:rPr>
          <w:rFonts w:hint="eastAsia" w:cs="微软雅黑"/>
          <w:color w:val="auto"/>
          <w:szCs w:val="21"/>
          <w:lang w:bidi="ar"/>
        </w:rPr>
      </w:pPr>
      <w:r>
        <w:rPr>
          <w:rFonts w:hint="eastAsia" w:cs="微软雅黑"/>
          <w:color w:val="auto"/>
          <w:szCs w:val="21"/>
          <w:lang w:bidi="ar"/>
        </w:rPr>
        <w:t>电源类设备</w:t>
      </w:r>
    </w:p>
    <w:p>
      <w:pPr>
        <w:numPr>
          <w:ilvl w:val="0"/>
          <w:numId w:val="17"/>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输入电压：100-240VAC；</w:t>
      </w:r>
    </w:p>
    <w:p>
      <w:pPr>
        <w:numPr>
          <w:ilvl w:val="0"/>
          <w:numId w:val="17"/>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输出电压：12VDC；</w:t>
      </w:r>
    </w:p>
    <w:p>
      <w:pPr>
        <w:numPr>
          <w:ilvl w:val="0"/>
          <w:numId w:val="17"/>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输出电流：4.17A；</w:t>
      </w:r>
    </w:p>
    <w:p>
      <w:pPr>
        <w:numPr>
          <w:ilvl w:val="0"/>
          <w:numId w:val="17"/>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输出功率：50W；</w:t>
      </w:r>
    </w:p>
    <w:p>
      <w:pPr>
        <w:pStyle w:val="5"/>
        <w:numPr>
          <w:ilvl w:val="0"/>
          <w:numId w:val="15"/>
        </w:numPr>
        <w:rPr>
          <w:rFonts w:hint="eastAsia" w:cs="微软雅黑"/>
          <w:color w:val="auto"/>
          <w:szCs w:val="21"/>
          <w:lang w:bidi="ar"/>
        </w:rPr>
      </w:pPr>
      <w:r>
        <w:rPr>
          <w:rFonts w:hint="eastAsia" w:cs="微软雅黑"/>
          <w:color w:val="auto"/>
          <w:szCs w:val="21"/>
          <w:lang w:bidi="ar"/>
        </w:rPr>
        <w:t>门禁-开门按钮</w:t>
      </w:r>
    </w:p>
    <w:p>
      <w:pPr>
        <w:numPr>
          <w:ilvl w:val="0"/>
          <w:numId w:val="1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性能：最大耐电流1.25A，电压250V；</w:t>
      </w:r>
    </w:p>
    <w:p>
      <w:pPr>
        <w:numPr>
          <w:ilvl w:val="0"/>
          <w:numId w:val="18"/>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输出：常开；</w:t>
      </w:r>
    </w:p>
    <w:p>
      <w:pPr>
        <w:pStyle w:val="5"/>
        <w:numPr>
          <w:ilvl w:val="0"/>
          <w:numId w:val="15"/>
        </w:numPr>
        <w:rPr>
          <w:rFonts w:hint="eastAsia" w:cs="微软雅黑"/>
          <w:color w:val="auto"/>
          <w:szCs w:val="21"/>
          <w:lang w:bidi="ar"/>
        </w:rPr>
      </w:pPr>
      <w:r>
        <w:rPr>
          <w:rFonts w:hint="eastAsia" w:cs="微软雅黑"/>
          <w:color w:val="auto"/>
          <w:szCs w:val="21"/>
          <w:lang w:bidi="ar"/>
        </w:rPr>
        <w:t>刷卡读卡器</w:t>
      </w:r>
    </w:p>
    <w:p>
      <w:pPr>
        <w:numPr>
          <w:ilvl w:val="0"/>
          <w:numId w:val="1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可识别卡：Mifare卡号、Mifare卡内容、CPU卡号(不含加密功能)</w:t>
      </w:r>
    </w:p>
    <w:p>
      <w:pPr>
        <w:numPr>
          <w:ilvl w:val="0"/>
          <w:numId w:val="19"/>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通讯方式：RS485</w:t>
      </w:r>
    </w:p>
    <w:p>
      <w:pPr>
        <w:pStyle w:val="5"/>
        <w:numPr>
          <w:ilvl w:val="0"/>
          <w:numId w:val="15"/>
        </w:numPr>
        <w:rPr>
          <w:rFonts w:hint="eastAsia" w:cs="微软雅黑"/>
          <w:color w:val="auto"/>
          <w:szCs w:val="21"/>
          <w:lang w:bidi="ar"/>
        </w:rPr>
      </w:pPr>
      <w:r>
        <w:rPr>
          <w:rFonts w:hint="eastAsia" w:cs="微软雅黑"/>
          <w:color w:val="auto"/>
          <w:szCs w:val="21"/>
          <w:lang w:bidi="ar"/>
        </w:rPr>
        <w:t>生物信息采集仪</w:t>
      </w:r>
    </w:p>
    <w:p>
      <w:pPr>
        <w:numPr>
          <w:ilvl w:val="0"/>
          <w:numId w:val="20"/>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自带不小于3英寸触摸显示屏，屏幕分辨率800*480；</w:t>
      </w:r>
    </w:p>
    <w:p>
      <w:pPr>
        <w:numPr>
          <w:ilvl w:val="0"/>
          <w:numId w:val="20"/>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采用不低于200万双目摄像头，有照片视频防假功能；</w:t>
      </w:r>
    </w:p>
    <w:p>
      <w:pPr>
        <w:numPr>
          <w:ilvl w:val="0"/>
          <w:numId w:val="20"/>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支持人脸采集、卡片录入（ID/IC/普通CPU/国密CPU卡/二三代身份证序列号）；</w:t>
      </w:r>
    </w:p>
    <w:p>
      <w:pPr>
        <w:numPr>
          <w:ilvl w:val="0"/>
          <w:numId w:val="20"/>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支持有线网络、无线WiFi、USB口通信；</w:t>
      </w:r>
    </w:p>
    <w:p>
      <w:pPr>
        <w:numPr>
          <w:ilvl w:val="0"/>
          <w:numId w:val="20"/>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支持在线采集，通过网络协议或USB口对接到平台，平台进行在线采集，采集信息实时上传；</w:t>
      </w:r>
    </w:p>
    <w:p>
      <w:pPr>
        <w:pStyle w:val="5"/>
        <w:numPr>
          <w:ilvl w:val="0"/>
          <w:numId w:val="15"/>
        </w:numPr>
        <w:rPr>
          <w:rFonts w:hint="eastAsia" w:cs="微软雅黑"/>
          <w:color w:val="auto"/>
          <w:szCs w:val="21"/>
          <w:lang w:bidi="ar"/>
        </w:rPr>
      </w:pPr>
      <w:r>
        <w:rPr>
          <w:rFonts w:hint="eastAsia" w:cs="微软雅黑"/>
          <w:color w:val="auto"/>
          <w:szCs w:val="21"/>
          <w:lang w:bidi="ar"/>
        </w:rPr>
        <w:t>磁力锁</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最大静态直线拉力：280kg ± 5%*2；</w:t>
      </w:r>
    </w:p>
    <w:p>
      <w:pPr>
        <w:pStyle w:val="5"/>
        <w:numPr>
          <w:ilvl w:val="0"/>
          <w:numId w:val="15"/>
        </w:numPr>
        <w:rPr>
          <w:rFonts w:hint="eastAsia" w:cs="微软雅黑"/>
          <w:color w:val="auto"/>
          <w:szCs w:val="21"/>
          <w:lang w:bidi="ar"/>
        </w:rPr>
      </w:pPr>
      <w:r>
        <w:rPr>
          <w:rFonts w:hint="eastAsia" w:cs="微软雅黑"/>
          <w:color w:val="auto"/>
          <w:szCs w:val="21"/>
          <w:lang w:bidi="ar"/>
        </w:rPr>
        <w:t>磁力锁配件</w:t>
      </w:r>
    </w:p>
    <w:p>
      <w:pPr>
        <w:numPr>
          <w:ilvl w:val="0"/>
          <w:numId w:val="21"/>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高强铝合金，表面喷沙。</w:t>
      </w:r>
    </w:p>
    <w:p>
      <w:pPr>
        <w:numPr>
          <w:ilvl w:val="0"/>
          <w:numId w:val="21"/>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外壳处理：阳极硬化电镀处理</w:t>
      </w:r>
    </w:p>
    <w:p>
      <w:pPr>
        <w:pStyle w:val="5"/>
        <w:numPr>
          <w:ilvl w:val="0"/>
          <w:numId w:val="15"/>
        </w:numPr>
        <w:rPr>
          <w:rFonts w:hint="eastAsia" w:cs="微软雅黑"/>
          <w:color w:val="auto"/>
          <w:szCs w:val="21"/>
          <w:lang w:bidi="ar"/>
        </w:rPr>
      </w:pPr>
      <w:r>
        <w:rPr>
          <w:rFonts w:hint="eastAsia" w:cs="微软雅黑"/>
          <w:color w:val="auto"/>
          <w:szCs w:val="21"/>
          <w:lang w:bidi="ar"/>
        </w:rPr>
        <w:t>24口POE交换机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轻网管，提供24个千兆PoE电口、2个千兆光口</w:t>
      </w:r>
    </w:p>
    <w:p>
      <w:pPr>
        <w:pStyle w:val="5"/>
        <w:numPr>
          <w:ilvl w:val="0"/>
          <w:numId w:val="15"/>
        </w:numPr>
        <w:rPr>
          <w:rFonts w:hint="eastAsia" w:cs="微软雅黑"/>
          <w:color w:val="auto"/>
          <w:szCs w:val="21"/>
          <w:lang w:bidi="ar"/>
        </w:rPr>
      </w:pPr>
      <w:r>
        <w:rPr>
          <w:rFonts w:hint="eastAsia" w:cs="微软雅黑"/>
          <w:color w:val="auto"/>
          <w:szCs w:val="21"/>
          <w:lang w:bidi="ar"/>
        </w:rPr>
        <w:t>无刷通用摆闸（右）</w:t>
      </w:r>
    </w:p>
    <w:p>
      <w:pPr>
        <w:numPr>
          <w:ilvl w:val="0"/>
          <w:numId w:val="22"/>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通道宽度：550-9</w:t>
      </w:r>
      <w:r>
        <w:rPr>
          <w:rFonts w:hint="eastAsia" w:ascii="宋体" w:hAnsi="宋体" w:eastAsia="宋体" w:cs="宋体"/>
          <w:color w:val="auto"/>
          <w:sz w:val="24"/>
          <w:szCs w:val="24"/>
          <w:lang w:eastAsia="zh-CN" w:bidi="ar"/>
        </w:rPr>
        <w:t>50</w:t>
      </w:r>
      <w:r>
        <w:rPr>
          <w:rFonts w:hint="eastAsia" w:ascii="宋体" w:hAnsi="宋体" w:eastAsia="宋体" w:cs="宋体"/>
          <w:color w:val="auto"/>
          <w:sz w:val="24"/>
          <w:szCs w:val="24"/>
          <w:lang w:bidi="ar"/>
        </w:rPr>
        <w:t>mm,</w:t>
      </w:r>
    </w:p>
    <w:p>
      <w:pPr>
        <w:numPr>
          <w:ilvl w:val="0"/>
          <w:numId w:val="2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电机类型：直流无刷电机</w:t>
      </w:r>
    </w:p>
    <w:p>
      <w:pPr>
        <w:numPr>
          <w:ilvl w:val="0"/>
          <w:numId w:val="22"/>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红外对数：</w:t>
      </w:r>
      <w:r>
        <w:rPr>
          <w:rFonts w:hint="eastAsia" w:ascii="宋体" w:hAnsi="宋体" w:eastAsia="宋体" w:cs="宋体"/>
          <w:color w:val="auto"/>
          <w:sz w:val="24"/>
          <w:szCs w:val="24"/>
          <w:lang w:eastAsia="zh-CN" w:bidi="ar"/>
        </w:rPr>
        <w:t>不少于5</w:t>
      </w:r>
      <w:r>
        <w:rPr>
          <w:rFonts w:hint="eastAsia" w:ascii="宋体" w:hAnsi="宋体" w:eastAsia="宋体" w:cs="宋体"/>
          <w:color w:val="auto"/>
          <w:sz w:val="24"/>
          <w:szCs w:val="24"/>
          <w:lang w:bidi="ar"/>
        </w:rPr>
        <w:t>对</w:t>
      </w:r>
    </w:p>
    <w:p>
      <w:pPr>
        <w:numPr>
          <w:ilvl w:val="0"/>
          <w:numId w:val="22"/>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使用场景：IP54 室内外</w:t>
      </w:r>
    </w:p>
    <w:p>
      <w:pPr>
        <w:numPr>
          <w:ilvl w:val="0"/>
          <w:numId w:val="22"/>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通行速度：不低于20-50人每分钟，受人员情况和通行模式影响</w:t>
      </w:r>
    </w:p>
    <w:p>
      <w:pPr>
        <w:numPr>
          <w:ilvl w:val="0"/>
          <w:numId w:val="22"/>
        </w:numPr>
        <w:spacing w:line="0" w:lineRule="atLeast"/>
        <w:jc w:val="both"/>
        <w:rPr>
          <w:color w:val="auto"/>
          <w:lang w:eastAsia="zh-CN"/>
        </w:rPr>
      </w:pPr>
      <w:r>
        <w:rPr>
          <w:rFonts w:hint="eastAsia" w:ascii="宋体" w:hAnsi="宋体" w:eastAsia="宋体" w:cs="宋体"/>
          <w:color w:val="auto"/>
          <w:sz w:val="24"/>
          <w:szCs w:val="24"/>
          <w:lang w:bidi="ar"/>
        </w:rPr>
        <w:t>物理接口：TCP/IP,I/O,RS485</w:t>
      </w:r>
    </w:p>
    <w:p>
      <w:pPr>
        <w:pStyle w:val="5"/>
        <w:numPr>
          <w:ilvl w:val="0"/>
          <w:numId w:val="15"/>
        </w:numPr>
        <w:rPr>
          <w:rFonts w:hint="eastAsia" w:cs="微软雅黑"/>
          <w:color w:val="auto"/>
          <w:szCs w:val="21"/>
          <w:lang w:bidi="ar"/>
        </w:rPr>
      </w:pPr>
      <w:r>
        <w:rPr>
          <w:rFonts w:hint="eastAsia" w:cs="微软雅黑"/>
          <w:color w:val="auto"/>
          <w:szCs w:val="21"/>
          <w:lang w:bidi="ar"/>
        </w:rPr>
        <w:t>无刷通用摆闸（左）</w:t>
      </w:r>
    </w:p>
    <w:p>
      <w:pPr>
        <w:numPr>
          <w:ilvl w:val="0"/>
          <w:numId w:val="23"/>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通道宽度：550-9</w:t>
      </w:r>
      <w:r>
        <w:rPr>
          <w:rFonts w:hint="eastAsia" w:ascii="宋体" w:hAnsi="宋体" w:eastAsia="宋体" w:cs="宋体"/>
          <w:color w:val="auto"/>
          <w:sz w:val="24"/>
          <w:szCs w:val="24"/>
          <w:lang w:eastAsia="zh-CN" w:bidi="ar"/>
        </w:rPr>
        <w:t>5</w:t>
      </w:r>
      <w:r>
        <w:rPr>
          <w:rFonts w:hint="eastAsia" w:ascii="宋体" w:hAnsi="宋体" w:eastAsia="宋体" w:cs="宋体"/>
          <w:color w:val="auto"/>
          <w:sz w:val="24"/>
          <w:szCs w:val="24"/>
          <w:lang w:bidi="ar"/>
        </w:rPr>
        <w:t>0mm,</w:t>
      </w:r>
    </w:p>
    <w:p>
      <w:pPr>
        <w:numPr>
          <w:ilvl w:val="0"/>
          <w:numId w:val="23"/>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电机类型：直流无刷电机</w:t>
      </w:r>
    </w:p>
    <w:p>
      <w:pPr>
        <w:numPr>
          <w:ilvl w:val="0"/>
          <w:numId w:val="23"/>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红外对数：</w:t>
      </w:r>
      <w:r>
        <w:rPr>
          <w:rFonts w:hint="eastAsia" w:ascii="宋体" w:hAnsi="宋体" w:eastAsia="宋体" w:cs="宋体"/>
          <w:color w:val="auto"/>
          <w:sz w:val="24"/>
          <w:szCs w:val="24"/>
          <w:lang w:eastAsia="zh-CN" w:bidi="ar"/>
        </w:rPr>
        <w:t>不少于5</w:t>
      </w:r>
      <w:r>
        <w:rPr>
          <w:rFonts w:hint="eastAsia" w:ascii="宋体" w:hAnsi="宋体" w:eastAsia="宋体" w:cs="宋体"/>
          <w:color w:val="auto"/>
          <w:sz w:val="24"/>
          <w:szCs w:val="24"/>
          <w:lang w:bidi="ar"/>
        </w:rPr>
        <w:t>对</w:t>
      </w:r>
    </w:p>
    <w:p>
      <w:pPr>
        <w:numPr>
          <w:ilvl w:val="0"/>
          <w:numId w:val="23"/>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使用场景：IP54 室内外</w:t>
      </w:r>
    </w:p>
    <w:p>
      <w:pPr>
        <w:numPr>
          <w:ilvl w:val="0"/>
          <w:numId w:val="23"/>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通行速度：不低于20-50人每分钟，受人员情况和通行模式影响</w:t>
      </w:r>
    </w:p>
    <w:p>
      <w:pPr>
        <w:numPr>
          <w:ilvl w:val="0"/>
          <w:numId w:val="23"/>
        </w:numPr>
        <w:spacing w:line="0" w:lineRule="atLeast"/>
        <w:jc w:val="both"/>
        <w:rPr>
          <w:color w:val="auto"/>
          <w:lang w:eastAsia="zh-CN"/>
        </w:rPr>
      </w:pPr>
      <w:r>
        <w:rPr>
          <w:rFonts w:hint="eastAsia" w:ascii="宋体" w:hAnsi="宋体" w:eastAsia="宋体" w:cs="宋体"/>
          <w:color w:val="auto"/>
          <w:sz w:val="24"/>
          <w:szCs w:val="24"/>
          <w:lang w:bidi="ar"/>
        </w:rPr>
        <w:t>物理接口：TCP/IP,I/O,RS485</w:t>
      </w:r>
    </w:p>
    <w:p>
      <w:pPr>
        <w:pStyle w:val="5"/>
        <w:numPr>
          <w:ilvl w:val="0"/>
          <w:numId w:val="15"/>
        </w:numPr>
        <w:rPr>
          <w:rFonts w:hint="eastAsia" w:cs="微软雅黑"/>
          <w:color w:val="auto"/>
          <w:szCs w:val="21"/>
          <w:lang w:bidi="ar"/>
        </w:rPr>
      </w:pPr>
      <w:r>
        <w:rPr>
          <w:rFonts w:hint="eastAsia" w:cs="微软雅黑"/>
          <w:color w:val="auto"/>
          <w:szCs w:val="21"/>
          <w:lang w:bidi="ar"/>
        </w:rPr>
        <w:t>无刷通用摆闸（中）</w:t>
      </w:r>
    </w:p>
    <w:p>
      <w:pPr>
        <w:numPr>
          <w:ilvl w:val="0"/>
          <w:numId w:val="24"/>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通道宽度：550-9</w:t>
      </w:r>
      <w:r>
        <w:rPr>
          <w:rFonts w:hint="eastAsia" w:ascii="宋体" w:hAnsi="宋体" w:eastAsia="宋体" w:cs="宋体"/>
          <w:color w:val="auto"/>
          <w:sz w:val="24"/>
          <w:szCs w:val="24"/>
          <w:lang w:eastAsia="zh-CN" w:bidi="ar"/>
        </w:rPr>
        <w:t>5</w:t>
      </w:r>
      <w:r>
        <w:rPr>
          <w:rFonts w:hint="eastAsia" w:ascii="宋体" w:hAnsi="宋体" w:eastAsia="宋体" w:cs="宋体"/>
          <w:color w:val="auto"/>
          <w:sz w:val="24"/>
          <w:szCs w:val="24"/>
          <w:lang w:bidi="ar"/>
        </w:rPr>
        <w:t>0mm,</w:t>
      </w:r>
    </w:p>
    <w:p>
      <w:pPr>
        <w:numPr>
          <w:ilvl w:val="0"/>
          <w:numId w:val="24"/>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电机类型：直流无刷电机</w:t>
      </w:r>
    </w:p>
    <w:p>
      <w:pPr>
        <w:numPr>
          <w:ilvl w:val="0"/>
          <w:numId w:val="24"/>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红外对数：</w:t>
      </w:r>
      <w:r>
        <w:rPr>
          <w:rFonts w:hint="eastAsia" w:ascii="宋体" w:hAnsi="宋体" w:eastAsia="宋体" w:cs="宋体"/>
          <w:color w:val="auto"/>
          <w:sz w:val="24"/>
          <w:szCs w:val="24"/>
          <w:lang w:eastAsia="zh-CN" w:bidi="ar"/>
        </w:rPr>
        <w:t>不少于</w:t>
      </w:r>
    </w:p>
    <w:p>
      <w:pPr>
        <w:numPr>
          <w:ilvl w:val="0"/>
          <w:numId w:val="24"/>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使用场景：IP54 室内外</w:t>
      </w:r>
    </w:p>
    <w:p>
      <w:pPr>
        <w:numPr>
          <w:ilvl w:val="0"/>
          <w:numId w:val="24"/>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通行速度：不低于20-50人每分钟，受人员情况和通行模式影响</w:t>
      </w:r>
    </w:p>
    <w:p>
      <w:pPr>
        <w:numPr>
          <w:ilvl w:val="0"/>
          <w:numId w:val="24"/>
        </w:numPr>
        <w:spacing w:line="0" w:lineRule="atLeast"/>
        <w:jc w:val="both"/>
        <w:rPr>
          <w:color w:val="auto"/>
          <w:lang w:eastAsia="zh-CN"/>
        </w:rPr>
      </w:pPr>
      <w:r>
        <w:rPr>
          <w:rFonts w:hint="eastAsia" w:ascii="宋体" w:hAnsi="宋体" w:eastAsia="宋体" w:cs="宋体"/>
          <w:color w:val="auto"/>
          <w:sz w:val="24"/>
          <w:szCs w:val="24"/>
          <w:lang w:bidi="ar"/>
        </w:rPr>
        <w:t>物理接口：TCP/IP,I/O,RS485</w:t>
      </w:r>
    </w:p>
    <w:p>
      <w:pPr>
        <w:pStyle w:val="5"/>
        <w:numPr>
          <w:ilvl w:val="0"/>
          <w:numId w:val="15"/>
        </w:numPr>
        <w:rPr>
          <w:rFonts w:hint="eastAsia" w:cs="微软雅黑"/>
          <w:color w:val="auto"/>
          <w:szCs w:val="21"/>
          <w:lang w:bidi="ar"/>
        </w:rPr>
      </w:pPr>
      <w:r>
        <w:rPr>
          <w:rFonts w:hint="eastAsia" w:cs="微软雅黑"/>
          <w:color w:val="auto"/>
          <w:szCs w:val="21"/>
          <w:lang w:bidi="ar"/>
        </w:rPr>
        <w:t>24口POE交换机</w:t>
      </w:r>
    </w:p>
    <w:p>
      <w:pPr>
        <w:ind w:firstLine="480" w:firstLineChars="200"/>
        <w:rPr>
          <w:color w:val="auto"/>
          <w:sz w:val="24"/>
          <w:szCs w:val="24"/>
          <w:lang w:eastAsia="zh-CN"/>
        </w:rPr>
      </w:pPr>
      <w:r>
        <w:rPr>
          <w:rFonts w:hint="eastAsia" w:ascii="宋体" w:hAnsi="宋体" w:cs="微软雅黑"/>
          <w:color w:val="auto"/>
          <w:sz w:val="24"/>
          <w:szCs w:val="24"/>
          <w:lang w:eastAsia="zh-CN" w:bidi="ar"/>
        </w:rPr>
        <w:t>轻网管提供24个千兆PoE电口、2个千兆光口</w:t>
      </w:r>
    </w:p>
    <w:p>
      <w:pPr>
        <w:pStyle w:val="5"/>
        <w:numPr>
          <w:ilvl w:val="0"/>
          <w:numId w:val="15"/>
        </w:numPr>
        <w:rPr>
          <w:rFonts w:hint="eastAsia" w:cs="微软雅黑"/>
          <w:color w:val="auto"/>
          <w:szCs w:val="21"/>
          <w:lang w:bidi="ar"/>
        </w:rPr>
      </w:pPr>
      <w:r>
        <w:rPr>
          <w:rFonts w:hint="eastAsia" w:cs="微软雅黑"/>
          <w:color w:val="auto"/>
          <w:szCs w:val="21"/>
          <w:lang w:bidi="ar"/>
        </w:rPr>
        <w:t>电源</w:t>
      </w:r>
    </w:p>
    <w:p>
      <w:pPr>
        <w:numPr>
          <w:ilvl w:val="0"/>
          <w:numId w:val="25"/>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输入规格：AC100V~240V，50Hz/60Hz，最大0.3A</w:t>
      </w:r>
    </w:p>
    <w:p>
      <w:pPr>
        <w:numPr>
          <w:ilvl w:val="0"/>
          <w:numId w:val="25"/>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输出规格：DC12V/1A</w:t>
      </w:r>
    </w:p>
    <w:p>
      <w:pPr>
        <w:numPr>
          <w:ilvl w:val="0"/>
          <w:numId w:val="25"/>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输出功率：12W Max</w:t>
      </w:r>
    </w:p>
    <w:p>
      <w:pPr>
        <w:pStyle w:val="5"/>
        <w:numPr>
          <w:ilvl w:val="0"/>
          <w:numId w:val="15"/>
        </w:numPr>
        <w:rPr>
          <w:rFonts w:hint="eastAsia" w:cs="微软雅黑"/>
          <w:color w:val="auto"/>
          <w:szCs w:val="21"/>
          <w:lang w:bidi="ar"/>
        </w:rPr>
      </w:pPr>
      <w:r>
        <w:rPr>
          <w:rFonts w:hint="eastAsia" w:cs="微软雅黑"/>
          <w:color w:val="auto"/>
          <w:szCs w:val="21"/>
          <w:lang w:bidi="ar"/>
        </w:rPr>
        <w:t>人员通道遥控器</w:t>
      </w:r>
    </w:p>
    <w:p>
      <w:pPr>
        <w:numPr>
          <w:ilvl w:val="0"/>
          <w:numId w:val="2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遥控器支持一对多：一个遥控器可以同时控制不少于5个通道，一个通道支持不少于30个遥控器，空旷条件下遥控距离不低于29m。</w:t>
      </w:r>
    </w:p>
    <w:p>
      <w:pPr>
        <w:numPr>
          <w:ilvl w:val="0"/>
          <w:numId w:val="26"/>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遥控器包含4个按键（自上而下顺序）：进开门、关门、出开门、常开</w:t>
      </w:r>
    </w:p>
    <w:p>
      <w:pPr>
        <w:numPr>
          <w:ilvl w:val="0"/>
          <w:numId w:val="26"/>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发射频率：868MHz；</w:t>
      </w:r>
    </w:p>
    <w:p>
      <w:pPr>
        <w:pStyle w:val="5"/>
        <w:numPr>
          <w:ilvl w:val="0"/>
          <w:numId w:val="15"/>
        </w:numPr>
        <w:rPr>
          <w:rFonts w:hint="eastAsia" w:cs="微软雅黑"/>
          <w:color w:val="auto"/>
          <w:szCs w:val="21"/>
          <w:lang w:bidi="ar"/>
        </w:rPr>
      </w:pPr>
      <w:r>
        <w:rPr>
          <w:rFonts w:hint="eastAsia" w:cs="微软雅黑"/>
          <w:color w:val="auto"/>
          <w:szCs w:val="21"/>
          <w:lang w:bidi="ar"/>
        </w:rPr>
        <w:t>人脸识别组件</w:t>
      </w:r>
    </w:p>
    <w:p>
      <w:pPr>
        <w:numPr>
          <w:ilvl w:val="0"/>
          <w:numId w:val="27"/>
        </w:numPr>
        <w:spacing w:line="360" w:lineRule="auto"/>
        <w:jc w:val="both"/>
        <w:rPr>
          <w:color w:val="auto"/>
          <w:lang w:eastAsia="zh-CN"/>
        </w:rPr>
      </w:pPr>
      <w:r>
        <w:rPr>
          <w:rFonts w:hint="eastAsia" w:ascii="宋体" w:hAnsi="宋体" w:eastAsia="宋体" w:cs="宋体"/>
          <w:color w:val="auto"/>
          <w:sz w:val="24"/>
          <w:szCs w:val="24"/>
          <w:lang w:eastAsia="zh-CN"/>
        </w:rPr>
        <w:t>操作系统：嵌入式Linux操作系统。</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2.屏幕参数： 自带不小于6英寸LCD触摸显示屏，屏幕比例9:16，屏幕分辨率600*1024；</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3.摄像头参数：采用宽动态不低于200万双目摄像头；</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4.认证方式：支持人脸、密码、二维码（通过摄像头识别）认证方式，可通过   485 接口外接读卡器，也通过 USB 接口外接身份证，实现人证比对功能；</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5.人脸识别：采用深度学习算法，支持照片、视频防假；1:N人脸识别速度≤0.2s，人脸验证准确率≥98%；</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6.存储容量：本地支持不少于49999张人脸、49999张卡（外接读卡器），99999条事件记录；</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7.硬件接口：LAN*1、RS485*1、USB*1、电锁*1、门磁*1、报警输入*2、报警输出*1、开门按钮*1；</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 xml:space="preserve"> 8.通信方式：有线网络、WiFi；</w:t>
      </w:r>
    </w:p>
    <w:p>
      <w:pPr>
        <w:pStyle w:val="5"/>
        <w:numPr>
          <w:ilvl w:val="0"/>
          <w:numId w:val="15"/>
        </w:numPr>
        <w:rPr>
          <w:rFonts w:hint="eastAsia" w:cs="微软雅黑"/>
          <w:color w:val="auto"/>
          <w:szCs w:val="21"/>
          <w:lang w:bidi="ar"/>
        </w:rPr>
      </w:pPr>
      <w:r>
        <w:rPr>
          <w:rFonts w:hint="eastAsia" w:cs="微软雅黑"/>
          <w:color w:val="auto"/>
          <w:szCs w:val="21"/>
          <w:lang w:bidi="ar"/>
        </w:rPr>
        <w:t>台式机</w:t>
      </w:r>
    </w:p>
    <w:p>
      <w:pPr>
        <w:numPr>
          <w:ilvl w:val="0"/>
          <w:numId w:val="28"/>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CPU：</w:t>
      </w:r>
      <w:r>
        <w:rPr>
          <w:rFonts w:hint="eastAsia" w:ascii="宋体" w:hAnsi="宋体" w:eastAsia="宋体" w:cs="宋体"/>
          <w:color w:val="auto"/>
          <w:sz w:val="24"/>
          <w:szCs w:val="24"/>
          <w:lang w:eastAsia="zh-CN" w:bidi="ar"/>
        </w:rPr>
        <w:t>不低于</w:t>
      </w:r>
      <w:r>
        <w:rPr>
          <w:rFonts w:hint="eastAsia" w:ascii="宋体" w:hAnsi="宋体" w:eastAsia="宋体" w:cs="宋体"/>
          <w:color w:val="auto"/>
          <w:sz w:val="24"/>
          <w:szCs w:val="24"/>
          <w:lang w:bidi="ar"/>
        </w:rPr>
        <w:t>i5-12400F(6核/2.5GHz)；6核12线程</w:t>
      </w:r>
      <w:r>
        <w:rPr>
          <w:rFonts w:hint="eastAsia" w:ascii="宋体" w:hAnsi="宋体" w:eastAsia="宋体" w:cs="宋体"/>
          <w:color w:val="auto"/>
          <w:sz w:val="24"/>
          <w:szCs w:val="24"/>
          <w:lang w:eastAsia="zh-CN" w:bidi="ar"/>
        </w:rPr>
        <w:t>性能</w:t>
      </w:r>
    </w:p>
    <w:p>
      <w:pPr>
        <w:numPr>
          <w:ilvl w:val="0"/>
          <w:numId w:val="2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内存：8GB，3200MHz频率，最大支持64 GB内存；</w:t>
      </w:r>
    </w:p>
    <w:p>
      <w:pPr>
        <w:numPr>
          <w:ilvl w:val="0"/>
          <w:numId w:val="2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硬盘：不少于1个512G SSD，1个1T HDD，硬盘转速5400转</w:t>
      </w:r>
    </w:p>
    <w:p>
      <w:pPr>
        <w:numPr>
          <w:ilvl w:val="0"/>
          <w:numId w:val="2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扩展接口：支持4个SATA接口，1个M.2接口，1个PCIE×16插槽，1个PCIE×1插槽，10个USB接口，其中3个USB3.0</w:t>
      </w:r>
    </w:p>
    <w:p>
      <w:pPr>
        <w:numPr>
          <w:ilvl w:val="0"/>
          <w:numId w:val="2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显示器：不低于23.8英寸，分辨率1920x1080，刷新率60HZ</w:t>
      </w:r>
    </w:p>
    <w:p>
      <w:pPr>
        <w:numPr>
          <w:ilvl w:val="0"/>
          <w:numId w:val="2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显卡：独立显卡，显存容量2GB，独立显卡接口1个HDMI，1个VGA</w:t>
      </w:r>
    </w:p>
    <w:p>
      <w:pPr>
        <w:numPr>
          <w:ilvl w:val="0"/>
          <w:numId w:val="28"/>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光驱/键鼠：默认不带光驱，含USB有线键鼠</w:t>
      </w:r>
    </w:p>
    <w:p>
      <w:pPr>
        <w:numPr>
          <w:ilvl w:val="0"/>
          <w:numId w:val="28"/>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操作系统：Windows10 IoT版（含授权）</w:t>
      </w:r>
    </w:p>
    <w:p>
      <w:pPr>
        <w:pStyle w:val="5"/>
        <w:numPr>
          <w:ilvl w:val="0"/>
          <w:numId w:val="15"/>
        </w:numPr>
        <w:rPr>
          <w:rFonts w:hint="eastAsia"/>
          <w:color w:val="auto"/>
          <w:sz w:val="24"/>
          <w:szCs w:val="24"/>
          <w:lang w:bidi="ar"/>
        </w:rPr>
      </w:pPr>
      <w:r>
        <w:rPr>
          <w:rFonts w:hint="eastAsia" w:cs="微软雅黑"/>
          <w:color w:val="auto"/>
          <w:szCs w:val="21"/>
          <w:lang w:bidi="ar"/>
        </w:rPr>
        <w:t xml:space="preserve">通用服务器  </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CPU：配置1颗 x86架构处理器，核数≥8核，主频≥2.2GHz</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内存：配置不低于64G DDR4，16根内存插槽，最大支持扩展至2TB内存；</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硬盘：配置不少于2块600G SAS硬盘；</w:t>
      </w:r>
    </w:p>
    <w:p>
      <w:pPr>
        <w:numPr>
          <w:ilvl w:val="0"/>
          <w:numId w:val="29"/>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支持</w:t>
      </w:r>
      <w:r>
        <w:rPr>
          <w:rFonts w:hint="eastAsia" w:ascii="宋体" w:hAnsi="宋体" w:eastAsia="宋体" w:cs="宋体"/>
          <w:color w:val="auto"/>
          <w:sz w:val="24"/>
          <w:szCs w:val="24"/>
          <w:lang w:eastAsia="zh-CN" w:bidi="ar"/>
        </w:rPr>
        <w:t>≥10</w:t>
      </w:r>
      <w:r>
        <w:rPr>
          <w:rFonts w:hint="eastAsia" w:ascii="宋体" w:hAnsi="宋体" w:eastAsia="宋体" w:cs="宋体"/>
          <w:color w:val="auto"/>
          <w:sz w:val="24"/>
          <w:szCs w:val="24"/>
          <w:lang w:bidi="ar"/>
        </w:rPr>
        <w:t>块3.5寸(兼容2.5寸)热插拔SATA/SAS硬盘</w:t>
      </w:r>
    </w:p>
    <w:p>
      <w:pPr>
        <w:numPr>
          <w:ilvl w:val="0"/>
          <w:numId w:val="29"/>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支持</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2块后置2.5寸热插拔SATA/SAS硬盘</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支持≥6块NVME U.2热插拔硬盘  </w:t>
      </w:r>
    </w:p>
    <w:p>
      <w:pPr>
        <w:numPr>
          <w:ilvl w:val="0"/>
          <w:numId w:val="29"/>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支持</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1个M.2插槽；</w:t>
      </w:r>
    </w:p>
    <w:p>
      <w:pPr>
        <w:numPr>
          <w:ilvl w:val="0"/>
          <w:numId w:val="29"/>
        </w:numPr>
        <w:spacing w:line="0" w:lineRule="atLeast"/>
        <w:jc w:val="both"/>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阵列卡：配置SAS_HBA 卡，支持RAID 0/1/10；支持RAID 0/1/5/6/10/50，支持断电保护；</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PCIE扩展：支持不少于4个PCIe扩展插槽（最大支持2个半高半长GPU卡）；</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网口：配置≥3个千兆电口；</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其他接口：配置≥1个千兆RJ-45管理接口，2个USB 3.0接口，1个VGA口，1个COM口；</w:t>
      </w:r>
    </w:p>
    <w:p>
      <w:pPr>
        <w:numPr>
          <w:ilvl w:val="0"/>
          <w:numId w:val="29"/>
        </w:numPr>
        <w:spacing w:line="0" w:lineRule="atLeast"/>
        <w:jc w:val="both"/>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电源：标配550W（1+1）冗余电源</w:t>
      </w:r>
    </w:p>
    <w:p>
      <w:pPr>
        <w:pStyle w:val="5"/>
        <w:numPr>
          <w:ilvl w:val="0"/>
          <w:numId w:val="15"/>
        </w:numPr>
        <w:rPr>
          <w:rFonts w:hint="eastAsia" w:cs="微软雅黑"/>
          <w:color w:val="auto"/>
          <w:szCs w:val="21"/>
          <w:lang w:bidi="ar"/>
        </w:rPr>
      </w:pPr>
      <w:r>
        <w:rPr>
          <w:rFonts w:hint="eastAsia" w:cs="微软雅黑"/>
          <w:color w:val="auto"/>
          <w:szCs w:val="21"/>
          <w:lang w:bidi="ar"/>
        </w:rPr>
        <w:t>访客自助机</w:t>
      </w:r>
    </w:p>
    <w:p>
      <w:pPr>
        <w:numPr>
          <w:ilvl w:val="0"/>
          <w:numId w:val="30"/>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尺寸：</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eastAsia="zh-CN"/>
        </w:rPr>
        <w:t>15.6寸（触摸）+11.6（显示）,主屏触摸，副屏显示,2个200W镜头，1个RJ45，支持 WIFI，1个网口；</w:t>
      </w:r>
    </w:p>
    <w:p>
      <w:pPr>
        <w:numPr>
          <w:ilvl w:val="0"/>
          <w:numId w:val="30"/>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人证功能：支持人证（身份证）比对功能，即：将现场抓拍的访客人脸照片与身份证读取的人像信息进行比对，验证是否为本人；</w:t>
      </w:r>
    </w:p>
    <w:p>
      <w:pPr>
        <w:numPr>
          <w:ilvl w:val="0"/>
          <w:numId w:val="30"/>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凭条打印：内置热敏打印机，支持打印访客凭条，当访客登记成功后，打印访客登记信息；</w:t>
      </w:r>
    </w:p>
    <w:p>
      <w:pPr>
        <w:numPr>
          <w:ilvl w:val="0"/>
          <w:numId w:val="30"/>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已预约访客自助登记：提前预约的访客，当访客到达时，当到达时只需输入预约信息，即可完成访客登记。访客登记支持：二维码登记、身份证登记，访客码/手机号码登记；</w:t>
      </w:r>
    </w:p>
    <w:p>
      <w:pPr>
        <w:numPr>
          <w:ilvl w:val="0"/>
          <w:numId w:val="30"/>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未预约访客登记：未提前预约的访客，支持在工作人员协助下通过刷身份证在访客机上进行人工登记；</w:t>
      </w:r>
    </w:p>
    <w:p>
      <w:pPr>
        <w:numPr>
          <w:ilvl w:val="0"/>
          <w:numId w:val="30"/>
        </w:numPr>
        <w:spacing w:line="360" w:lineRule="auto"/>
        <w:ind w:firstLine="403"/>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已预约访客登记：被访者通过客户端可预约访客，访客预约后，访客可使用预约手机号或访客码进行访客登记，访客刷身份证并且人证比对通过后自动完成访客信息录入；</w:t>
      </w:r>
    </w:p>
    <w:p>
      <w:pPr>
        <w:numPr>
          <w:ilvl w:val="0"/>
          <w:numId w:val="30"/>
        </w:numPr>
        <w:spacing w:line="360" w:lineRule="auto"/>
        <w:ind w:firstLine="40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未预约访客登记：内部员工在访客机上刷员工卡完成被访对象身份验证，由工作人员手动输入身份信息完成登记。</w:t>
      </w:r>
    </w:p>
    <w:p>
      <w:pPr>
        <w:adjustRightInd w:val="0"/>
        <w:snapToGrid w:val="0"/>
        <w:ind w:left="0"/>
        <w:textAlignment w:val="center"/>
        <w:rPr>
          <w:rFonts w:hint="eastAsia" w:ascii="宋体" w:hAnsi="宋体" w:eastAsia="宋体" w:cs="微软雅黑"/>
          <w:color w:val="auto"/>
          <w:sz w:val="24"/>
          <w:szCs w:val="24"/>
          <w:lang w:eastAsia="zh-CN" w:bidi="ar"/>
        </w:rPr>
      </w:pPr>
    </w:p>
    <w:p>
      <w:pPr>
        <w:adjustRightInd w:val="0"/>
        <w:snapToGrid w:val="0"/>
        <w:ind w:left="0"/>
        <w:textAlignment w:val="center"/>
        <w:rPr>
          <w:rFonts w:hint="eastAsia" w:ascii="宋体" w:hAnsi="宋体" w:eastAsia="宋体" w:cs="微软雅黑"/>
          <w:color w:val="auto"/>
          <w:sz w:val="24"/>
          <w:szCs w:val="24"/>
          <w:lang w:eastAsia="zh-CN" w:bidi="ar"/>
        </w:rPr>
      </w:pPr>
    </w:p>
    <w:p>
      <w:pPr>
        <w:adjustRightInd w:val="0"/>
        <w:snapToGrid w:val="0"/>
        <w:ind w:left="0"/>
        <w:textAlignment w:val="center"/>
        <w:rPr>
          <w:rFonts w:hint="eastAsia" w:ascii="宋体" w:hAnsi="宋体" w:eastAsia="宋体" w:cs="微软雅黑"/>
          <w:color w:val="auto"/>
          <w:sz w:val="24"/>
          <w:szCs w:val="24"/>
          <w:lang w:eastAsia="zh-CN" w:bidi="ar"/>
        </w:rPr>
      </w:pPr>
    </w:p>
    <w:p>
      <w:pPr>
        <w:adjustRightInd w:val="0"/>
        <w:snapToGrid w:val="0"/>
        <w:ind w:left="0"/>
        <w:textAlignment w:val="center"/>
        <w:rPr>
          <w:rFonts w:hint="eastAsia" w:ascii="宋体" w:hAnsi="宋体" w:eastAsia="宋体" w:cs="微软雅黑"/>
          <w:color w:val="auto"/>
          <w:sz w:val="24"/>
          <w:szCs w:val="24"/>
          <w:lang w:eastAsia="zh-CN" w:bidi="ar"/>
        </w:rPr>
      </w:pPr>
    </w:p>
    <w:p>
      <w:pPr>
        <w:adjustRightInd w:val="0"/>
        <w:snapToGrid w:val="0"/>
        <w:ind w:left="0"/>
        <w:textAlignment w:val="center"/>
        <w:rPr>
          <w:rFonts w:hint="eastAsia" w:ascii="宋体" w:hAnsi="宋体" w:eastAsia="宋体" w:cs="微软雅黑"/>
          <w:color w:val="auto"/>
          <w:sz w:val="24"/>
          <w:szCs w:val="24"/>
          <w:lang w:eastAsia="zh-CN" w:bidi="ar"/>
        </w:rPr>
      </w:pPr>
    </w:p>
    <w:p>
      <w:pPr>
        <w:ind w:firstLine="0" w:firstLineChars="0"/>
        <w:rPr>
          <w:rFonts w:hint="eastAsia" w:ascii="宋体" w:hAnsi="宋体" w:eastAsia="宋体" w:cs="微软雅黑"/>
          <w:color w:val="auto"/>
          <w:sz w:val="24"/>
          <w:szCs w:val="24"/>
          <w:lang w:eastAsia="zh-CN" w:bidi="ar"/>
        </w:rPr>
      </w:pPr>
    </w:p>
    <w:p>
      <w:pPr>
        <w:pStyle w:val="2"/>
        <w:numPr>
          <w:ilvl w:val="0"/>
          <w:numId w:val="31"/>
        </w:numPr>
        <w:rPr>
          <w:rFonts w:hint="eastAsia"/>
          <w:color w:val="auto"/>
        </w:rPr>
      </w:pPr>
      <w:bookmarkStart w:id="42" w:name="_Toc20769"/>
      <w:bookmarkStart w:id="43" w:name="_Toc5580"/>
      <w:r>
        <w:rPr>
          <w:rFonts w:hint="eastAsia"/>
          <w:color w:val="auto"/>
        </w:rPr>
        <w:t>其它</w:t>
      </w:r>
      <w:bookmarkEnd w:id="42"/>
      <w:bookmarkEnd w:id="43"/>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pPr>
        <w:pStyle w:val="3"/>
        <w:numPr>
          <w:ilvl w:val="1"/>
          <w:numId w:val="31"/>
        </w:numPr>
        <w:rPr>
          <w:rFonts w:hint="eastAsia"/>
          <w:color w:val="auto"/>
        </w:rPr>
      </w:pPr>
      <w:bookmarkStart w:id="44" w:name="_Toc16749"/>
      <w:bookmarkStart w:id="45" w:name="_Toc6825"/>
      <w:bookmarkStart w:id="46" w:name="_Toc4998"/>
      <w:r>
        <w:rPr>
          <w:rFonts w:hint="eastAsia"/>
          <w:color w:val="auto"/>
        </w:rPr>
        <w:t>技术资料</w:t>
      </w:r>
      <w:bookmarkEnd w:id="44"/>
      <w:bookmarkEnd w:id="45"/>
      <w:bookmarkEnd w:id="46"/>
    </w:p>
    <w:p>
      <w:pPr>
        <w:spacing w:after="0" w:line="360" w:lineRule="auto"/>
        <w:ind w:firstLine="488"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投标方应提供系统的安装文件和图纸、检验记录、工程竣工文件、SAT 文档、技术手册、 用户手册、设备技术使用的说明书等资料，并对所提供的全部技术资料的准确性负责。</w:t>
      </w:r>
    </w:p>
    <w:p>
      <w:pPr>
        <w:pStyle w:val="3"/>
        <w:numPr>
          <w:ilvl w:val="1"/>
          <w:numId w:val="31"/>
        </w:numPr>
        <w:rPr>
          <w:rFonts w:hint="eastAsia"/>
          <w:color w:val="auto"/>
        </w:rPr>
      </w:pPr>
      <w:bookmarkStart w:id="47" w:name="_Toc12558"/>
      <w:bookmarkStart w:id="48" w:name="_Toc4276"/>
      <w:bookmarkStart w:id="49" w:name="_Toc28126"/>
      <w:r>
        <w:rPr>
          <w:rFonts w:hint="eastAsia"/>
          <w:color w:val="auto"/>
        </w:rPr>
        <w:t>文件资料的内容</w:t>
      </w:r>
      <w:bookmarkEnd w:id="47"/>
      <w:bookmarkEnd w:id="48"/>
      <w:bookmarkEnd w:id="49"/>
    </w:p>
    <w:p>
      <w:pPr>
        <w:numPr>
          <w:ilvl w:val="0"/>
          <w:numId w:val="32"/>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资料手册对每一设备都应有完整的、原始的、装订好的安装图和说明手册，随设备装箱一起运往现场。</w:t>
      </w:r>
    </w:p>
    <w:p>
      <w:pPr>
        <w:numPr>
          <w:ilvl w:val="0"/>
          <w:numId w:val="32"/>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工程资料</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 A）投标方负责编写本项目有关的建设、详细设计方案、运行维护和安全管理方案；</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B）投标方提供的书面技术资料应能满足系统正常运行所需的管理、运营及维护等有关工作；</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C）投标方应向最终用户提供安装调试过程中的各种文档资料（包括工程施工图纸、竣工图纸），以便招标方能掌握操作和维护方法；</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D）投标方在投标文件中应列出其所提供的技术资料的详细清单；</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E）投标方提供的技术资料应与其提供的设备（包括软件和硬件）相一致，技术资料应该全面、详细。</w:t>
      </w:r>
    </w:p>
    <w:p>
      <w:pPr>
        <w:numPr>
          <w:ilvl w:val="0"/>
          <w:numId w:val="32"/>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主要内容应包括：</w:t>
      </w:r>
    </w:p>
    <w:p>
      <w:pPr>
        <w:spacing w:after="0" w:line="360" w:lineRule="auto"/>
        <w:ind w:firstLine="480"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经</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确</w:t>
      </w:r>
      <w:r>
        <w:rPr>
          <w:rFonts w:hint="eastAsia" w:ascii="宋体" w:hAnsi="宋体" w:eastAsia="宋体" w:cs="宋体"/>
          <w:color w:val="auto"/>
          <w:sz w:val="24"/>
          <w:szCs w:val="24"/>
          <w:lang w:eastAsia="zh-CN"/>
        </w:rPr>
        <w:t>认</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全</w:t>
      </w:r>
      <w:r>
        <w:rPr>
          <w:rFonts w:hint="eastAsia" w:ascii="宋体" w:hAnsi="宋体" w:eastAsia="宋体" w:cs="宋体"/>
          <w:color w:val="auto"/>
          <w:spacing w:val="2"/>
          <w:sz w:val="24"/>
          <w:szCs w:val="24"/>
          <w:lang w:eastAsia="zh-CN"/>
        </w:rPr>
        <w:t>部</w:t>
      </w:r>
      <w:r>
        <w:rPr>
          <w:rFonts w:hint="eastAsia" w:ascii="宋体" w:hAnsi="宋体" w:eastAsia="宋体" w:cs="宋体"/>
          <w:color w:val="auto"/>
          <w:sz w:val="24"/>
          <w:szCs w:val="24"/>
          <w:lang w:eastAsia="zh-CN"/>
        </w:rPr>
        <w:t>订</w:t>
      </w:r>
      <w:r>
        <w:rPr>
          <w:rFonts w:hint="eastAsia" w:ascii="宋体" w:hAnsi="宋体" w:eastAsia="宋体" w:cs="宋体"/>
          <w:color w:val="auto"/>
          <w:spacing w:val="2"/>
          <w:sz w:val="24"/>
          <w:szCs w:val="24"/>
          <w:lang w:eastAsia="zh-CN"/>
        </w:rPr>
        <w:t>购</w:t>
      </w:r>
      <w:r>
        <w:rPr>
          <w:rFonts w:hint="eastAsia" w:ascii="宋体" w:hAnsi="宋体" w:eastAsia="宋体" w:cs="宋体"/>
          <w:color w:val="auto"/>
          <w:sz w:val="24"/>
          <w:szCs w:val="24"/>
          <w:lang w:eastAsia="zh-CN"/>
        </w:rPr>
        <w:t>设</w:t>
      </w:r>
      <w:r>
        <w:rPr>
          <w:rFonts w:hint="eastAsia" w:ascii="宋体" w:hAnsi="宋体" w:eastAsia="宋体" w:cs="宋体"/>
          <w:color w:val="auto"/>
          <w:spacing w:val="2"/>
          <w:sz w:val="24"/>
          <w:szCs w:val="24"/>
          <w:lang w:eastAsia="zh-CN"/>
        </w:rPr>
        <w:t>备</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型</w:t>
      </w:r>
      <w:r>
        <w:rPr>
          <w:rFonts w:hint="eastAsia" w:ascii="宋体" w:hAnsi="宋体" w:eastAsia="宋体" w:cs="宋体"/>
          <w:color w:val="auto"/>
          <w:sz w:val="24"/>
          <w:szCs w:val="24"/>
          <w:lang w:eastAsia="zh-CN"/>
        </w:rPr>
        <w:t>号</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技</w:t>
      </w:r>
      <w:r>
        <w:rPr>
          <w:rFonts w:hint="eastAsia" w:ascii="宋体" w:hAnsi="宋体" w:eastAsia="宋体" w:cs="宋体"/>
          <w:color w:val="auto"/>
          <w:spacing w:val="2"/>
          <w:sz w:val="24"/>
          <w:szCs w:val="24"/>
          <w:lang w:eastAsia="zh-CN"/>
        </w:rPr>
        <w:t>术</w:t>
      </w:r>
      <w:r>
        <w:rPr>
          <w:rFonts w:hint="eastAsia" w:ascii="宋体" w:hAnsi="宋体" w:eastAsia="宋体" w:cs="宋体"/>
          <w:color w:val="auto"/>
          <w:sz w:val="24"/>
          <w:szCs w:val="24"/>
          <w:lang w:eastAsia="zh-CN"/>
        </w:rPr>
        <w:t>特</w:t>
      </w:r>
      <w:r>
        <w:rPr>
          <w:rFonts w:hint="eastAsia" w:ascii="宋体" w:hAnsi="宋体" w:eastAsia="宋体" w:cs="宋体"/>
          <w:color w:val="auto"/>
          <w:spacing w:val="2"/>
          <w:sz w:val="24"/>
          <w:szCs w:val="24"/>
          <w:lang w:eastAsia="zh-CN"/>
        </w:rPr>
        <w:t>点</w:t>
      </w:r>
      <w:r>
        <w:rPr>
          <w:rFonts w:hint="eastAsia" w:ascii="宋体" w:hAnsi="宋体" w:eastAsia="宋体" w:cs="宋体"/>
          <w:color w:val="auto"/>
          <w:sz w:val="24"/>
          <w:szCs w:val="24"/>
          <w:lang w:eastAsia="zh-CN"/>
        </w:rPr>
        <w:t>和</w:t>
      </w:r>
      <w:r>
        <w:rPr>
          <w:rFonts w:hint="eastAsia" w:ascii="宋体" w:hAnsi="宋体" w:eastAsia="宋体" w:cs="宋体"/>
          <w:color w:val="auto"/>
          <w:spacing w:val="2"/>
          <w:sz w:val="24"/>
          <w:szCs w:val="24"/>
          <w:lang w:eastAsia="zh-CN"/>
        </w:rPr>
        <w:t>性</w:t>
      </w:r>
      <w:r>
        <w:rPr>
          <w:rFonts w:hint="eastAsia" w:ascii="宋体" w:hAnsi="宋体" w:eastAsia="宋体" w:cs="宋体"/>
          <w:color w:val="auto"/>
          <w:sz w:val="24"/>
          <w:szCs w:val="24"/>
          <w:lang w:eastAsia="zh-CN"/>
        </w:rPr>
        <w:t>能</w:t>
      </w:r>
      <w:r>
        <w:rPr>
          <w:rFonts w:hint="eastAsia" w:ascii="宋体" w:hAnsi="宋体" w:eastAsia="宋体" w:cs="宋体"/>
          <w:color w:val="auto"/>
          <w:spacing w:val="2"/>
          <w:sz w:val="24"/>
          <w:szCs w:val="24"/>
          <w:lang w:eastAsia="zh-CN"/>
        </w:rPr>
        <w:t>参</w:t>
      </w:r>
      <w:r>
        <w:rPr>
          <w:rFonts w:hint="eastAsia" w:ascii="宋体" w:hAnsi="宋体" w:eastAsia="宋体" w:cs="宋体"/>
          <w:color w:val="auto"/>
          <w:sz w:val="24"/>
          <w:szCs w:val="24"/>
          <w:lang w:eastAsia="zh-CN"/>
        </w:rPr>
        <w:t>数</w:t>
      </w:r>
      <w:r>
        <w:rPr>
          <w:rFonts w:hint="eastAsia" w:ascii="宋体" w:hAnsi="宋体" w:eastAsia="宋体" w:cs="宋体"/>
          <w:color w:val="auto"/>
          <w:spacing w:val="2"/>
          <w:sz w:val="24"/>
          <w:szCs w:val="24"/>
          <w:lang w:eastAsia="zh-CN"/>
        </w:rPr>
        <w:t>清</w:t>
      </w:r>
      <w:r>
        <w:rPr>
          <w:rFonts w:hint="eastAsia" w:ascii="宋体" w:hAnsi="宋体" w:eastAsia="宋体" w:cs="宋体"/>
          <w:color w:val="auto"/>
          <w:sz w:val="24"/>
          <w:szCs w:val="24"/>
          <w:lang w:eastAsia="zh-CN"/>
        </w:rPr>
        <w:t>单；</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根</w:t>
      </w:r>
      <w:r>
        <w:rPr>
          <w:rFonts w:hint="eastAsia" w:ascii="宋体" w:hAnsi="宋体" w:eastAsia="宋体" w:cs="宋体"/>
          <w:color w:val="auto"/>
          <w:sz w:val="24"/>
          <w:szCs w:val="24"/>
          <w:lang w:eastAsia="zh-CN"/>
        </w:rPr>
        <w:t>据</w:t>
      </w:r>
      <w:r>
        <w:rPr>
          <w:rFonts w:hint="eastAsia" w:ascii="宋体" w:hAnsi="宋体" w:eastAsia="宋体" w:cs="宋体"/>
          <w:color w:val="auto"/>
          <w:spacing w:val="2"/>
          <w:sz w:val="24"/>
          <w:szCs w:val="24"/>
          <w:lang w:eastAsia="zh-CN"/>
        </w:rPr>
        <w:t>合</w:t>
      </w:r>
      <w:r>
        <w:rPr>
          <w:rFonts w:hint="eastAsia" w:ascii="宋体" w:hAnsi="宋体" w:eastAsia="宋体" w:cs="宋体"/>
          <w:color w:val="auto"/>
          <w:sz w:val="24"/>
          <w:szCs w:val="24"/>
          <w:lang w:eastAsia="zh-CN"/>
        </w:rPr>
        <w:t>同</w:t>
      </w:r>
      <w:r>
        <w:rPr>
          <w:rFonts w:hint="eastAsia" w:ascii="宋体" w:hAnsi="宋体" w:eastAsia="宋体" w:cs="宋体"/>
          <w:color w:val="auto"/>
          <w:spacing w:val="2"/>
          <w:sz w:val="24"/>
          <w:szCs w:val="24"/>
          <w:lang w:eastAsia="zh-CN"/>
        </w:rPr>
        <w:t>所</w:t>
      </w:r>
      <w:r>
        <w:rPr>
          <w:rFonts w:hint="eastAsia" w:ascii="宋体" w:hAnsi="宋体" w:eastAsia="宋体" w:cs="宋体"/>
          <w:color w:val="auto"/>
          <w:sz w:val="24"/>
          <w:szCs w:val="24"/>
          <w:lang w:eastAsia="zh-CN"/>
        </w:rPr>
        <w:t>描</w:t>
      </w:r>
      <w:r>
        <w:rPr>
          <w:rFonts w:hint="eastAsia" w:ascii="宋体" w:hAnsi="宋体" w:eastAsia="宋体" w:cs="宋体"/>
          <w:color w:val="auto"/>
          <w:spacing w:val="2"/>
          <w:sz w:val="24"/>
          <w:szCs w:val="24"/>
          <w:lang w:eastAsia="zh-CN"/>
        </w:rPr>
        <w:t>述</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性</w:t>
      </w:r>
      <w:r>
        <w:rPr>
          <w:rFonts w:hint="eastAsia" w:ascii="宋体" w:hAnsi="宋体" w:eastAsia="宋体" w:cs="宋体"/>
          <w:color w:val="auto"/>
          <w:sz w:val="24"/>
          <w:szCs w:val="24"/>
          <w:lang w:eastAsia="zh-CN"/>
        </w:rPr>
        <w:t>能</w:t>
      </w:r>
      <w:r>
        <w:rPr>
          <w:rFonts w:hint="eastAsia" w:ascii="宋体" w:hAnsi="宋体" w:eastAsia="宋体" w:cs="宋体"/>
          <w:color w:val="auto"/>
          <w:spacing w:val="2"/>
          <w:sz w:val="24"/>
          <w:szCs w:val="24"/>
          <w:lang w:eastAsia="zh-CN"/>
        </w:rPr>
        <w:t>保</w:t>
      </w:r>
      <w:r>
        <w:rPr>
          <w:rFonts w:hint="eastAsia" w:ascii="宋体" w:hAnsi="宋体" w:eastAsia="宋体" w:cs="宋体"/>
          <w:color w:val="auto"/>
          <w:sz w:val="24"/>
          <w:szCs w:val="24"/>
          <w:lang w:eastAsia="zh-CN"/>
        </w:rPr>
        <w:t>证</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最</w:t>
      </w:r>
      <w:r>
        <w:rPr>
          <w:rFonts w:hint="eastAsia" w:ascii="宋体" w:hAnsi="宋体" w:eastAsia="宋体" w:cs="宋体"/>
          <w:color w:val="auto"/>
          <w:sz w:val="24"/>
          <w:szCs w:val="24"/>
          <w:lang w:eastAsia="zh-CN"/>
        </w:rPr>
        <w:t>终</w:t>
      </w:r>
      <w:r>
        <w:rPr>
          <w:rFonts w:hint="eastAsia" w:ascii="宋体" w:hAnsi="宋体" w:eastAsia="宋体" w:cs="宋体"/>
          <w:color w:val="auto"/>
          <w:spacing w:val="2"/>
          <w:sz w:val="24"/>
          <w:szCs w:val="24"/>
          <w:lang w:eastAsia="zh-CN"/>
        </w:rPr>
        <w:t>说</w:t>
      </w:r>
      <w:r>
        <w:rPr>
          <w:rFonts w:hint="eastAsia" w:ascii="宋体" w:hAnsi="宋体" w:eastAsia="宋体" w:cs="宋体"/>
          <w:color w:val="auto"/>
          <w:sz w:val="24"/>
          <w:szCs w:val="24"/>
          <w:lang w:eastAsia="zh-CN"/>
        </w:rPr>
        <w:t>明</w:t>
      </w:r>
      <w:r>
        <w:rPr>
          <w:rFonts w:hint="eastAsia" w:ascii="宋体" w:hAnsi="宋体" w:eastAsia="宋体" w:cs="宋体"/>
          <w:color w:val="auto"/>
          <w:spacing w:val="2"/>
          <w:sz w:val="24"/>
          <w:szCs w:val="24"/>
          <w:lang w:eastAsia="zh-CN"/>
        </w:rPr>
        <w:t>手</w:t>
      </w:r>
      <w:r>
        <w:rPr>
          <w:rFonts w:hint="eastAsia" w:ascii="宋体" w:hAnsi="宋体" w:eastAsia="宋体" w:cs="宋体"/>
          <w:color w:val="auto"/>
          <w:sz w:val="24"/>
          <w:szCs w:val="24"/>
          <w:lang w:eastAsia="zh-CN"/>
        </w:rPr>
        <w:t>册；</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系</w:t>
      </w:r>
      <w:r>
        <w:rPr>
          <w:rFonts w:hint="eastAsia" w:ascii="宋体" w:hAnsi="宋体" w:eastAsia="宋体" w:cs="宋体"/>
          <w:color w:val="auto"/>
          <w:sz w:val="24"/>
          <w:szCs w:val="24"/>
          <w:lang w:eastAsia="zh-CN"/>
        </w:rPr>
        <w:t>统</w:t>
      </w:r>
      <w:r>
        <w:rPr>
          <w:rFonts w:hint="eastAsia" w:ascii="宋体" w:hAnsi="宋体" w:eastAsia="宋体" w:cs="宋体"/>
          <w:color w:val="auto"/>
          <w:spacing w:val="2"/>
          <w:sz w:val="24"/>
          <w:szCs w:val="24"/>
          <w:lang w:eastAsia="zh-CN"/>
        </w:rPr>
        <w:t>配</w:t>
      </w:r>
      <w:r>
        <w:rPr>
          <w:rFonts w:hint="eastAsia" w:ascii="宋体" w:hAnsi="宋体" w:eastAsia="宋体" w:cs="宋体"/>
          <w:color w:val="auto"/>
          <w:sz w:val="24"/>
          <w:szCs w:val="24"/>
          <w:lang w:eastAsia="zh-CN"/>
        </w:rPr>
        <w:t>置</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所</w:t>
      </w:r>
      <w:r>
        <w:rPr>
          <w:rFonts w:hint="eastAsia" w:ascii="宋体" w:hAnsi="宋体" w:eastAsia="宋体" w:cs="宋体"/>
          <w:color w:val="auto"/>
          <w:spacing w:val="2"/>
          <w:sz w:val="24"/>
          <w:szCs w:val="24"/>
          <w:lang w:eastAsia="zh-CN"/>
        </w:rPr>
        <w:t>有</w:t>
      </w:r>
      <w:r>
        <w:rPr>
          <w:rFonts w:hint="eastAsia" w:ascii="宋体" w:hAnsi="宋体" w:eastAsia="宋体" w:cs="宋体"/>
          <w:color w:val="auto"/>
          <w:sz w:val="24"/>
          <w:szCs w:val="24"/>
          <w:lang w:eastAsia="zh-CN"/>
        </w:rPr>
        <w:t>组</w:t>
      </w:r>
      <w:r>
        <w:rPr>
          <w:rFonts w:hint="eastAsia" w:ascii="宋体" w:hAnsi="宋体" w:eastAsia="宋体" w:cs="宋体"/>
          <w:color w:val="auto"/>
          <w:spacing w:val="2"/>
          <w:sz w:val="24"/>
          <w:szCs w:val="24"/>
          <w:lang w:eastAsia="zh-CN"/>
        </w:rPr>
        <w:t>件</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详</w:t>
      </w:r>
      <w:r>
        <w:rPr>
          <w:rFonts w:hint="eastAsia" w:ascii="宋体" w:hAnsi="宋体" w:eastAsia="宋体" w:cs="宋体"/>
          <w:color w:val="auto"/>
          <w:sz w:val="24"/>
          <w:szCs w:val="24"/>
          <w:lang w:eastAsia="zh-CN"/>
        </w:rPr>
        <w:t>细</w:t>
      </w:r>
      <w:r>
        <w:rPr>
          <w:rFonts w:hint="eastAsia" w:ascii="宋体" w:hAnsi="宋体" w:eastAsia="宋体" w:cs="宋体"/>
          <w:color w:val="auto"/>
          <w:spacing w:val="2"/>
          <w:sz w:val="24"/>
          <w:szCs w:val="24"/>
          <w:lang w:eastAsia="zh-CN"/>
        </w:rPr>
        <w:t>图</w:t>
      </w:r>
      <w:r>
        <w:rPr>
          <w:rFonts w:hint="eastAsia" w:ascii="宋体" w:hAnsi="宋体" w:eastAsia="宋体" w:cs="宋体"/>
          <w:color w:val="auto"/>
          <w:sz w:val="24"/>
          <w:szCs w:val="24"/>
          <w:lang w:eastAsia="zh-CN"/>
        </w:rPr>
        <w:t>纸</w:t>
      </w:r>
      <w:r>
        <w:rPr>
          <w:rFonts w:hint="eastAsia" w:ascii="宋体" w:hAnsi="宋体" w:eastAsia="宋体" w:cs="宋体"/>
          <w:color w:val="auto"/>
          <w:spacing w:val="2"/>
          <w:sz w:val="24"/>
          <w:szCs w:val="24"/>
          <w:lang w:eastAsia="zh-CN"/>
        </w:rPr>
        <w:t>及</w:t>
      </w:r>
      <w:r>
        <w:rPr>
          <w:rFonts w:hint="eastAsia" w:ascii="宋体" w:hAnsi="宋体" w:eastAsia="宋体" w:cs="宋体"/>
          <w:color w:val="auto"/>
          <w:sz w:val="24"/>
          <w:szCs w:val="24"/>
          <w:lang w:eastAsia="zh-CN"/>
        </w:rPr>
        <w:t>系</w:t>
      </w:r>
      <w:r>
        <w:rPr>
          <w:rFonts w:hint="eastAsia" w:ascii="宋体" w:hAnsi="宋体" w:eastAsia="宋体" w:cs="宋体"/>
          <w:color w:val="auto"/>
          <w:spacing w:val="2"/>
          <w:sz w:val="24"/>
          <w:szCs w:val="24"/>
          <w:lang w:eastAsia="zh-CN"/>
        </w:rPr>
        <w:t>统</w:t>
      </w:r>
      <w:r>
        <w:rPr>
          <w:rFonts w:hint="eastAsia" w:ascii="宋体" w:hAnsi="宋体" w:eastAsia="宋体" w:cs="宋体"/>
          <w:color w:val="auto"/>
          <w:sz w:val="24"/>
          <w:szCs w:val="24"/>
          <w:lang w:eastAsia="zh-CN"/>
        </w:rPr>
        <w:t>全</w:t>
      </w:r>
      <w:r>
        <w:rPr>
          <w:rFonts w:hint="eastAsia" w:ascii="宋体" w:hAnsi="宋体" w:eastAsia="宋体" w:cs="宋体"/>
          <w:color w:val="auto"/>
          <w:spacing w:val="2"/>
          <w:sz w:val="24"/>
          <w:szCs w:val="24"/>
          <w:lang w:eastAsia="zh-CN"/>
        </w:rPr>
        <w:t>套</w:t>
      </w:r>
      <w:r>
        <w:rPr>
          <w:rFonts w:hint="eastAsia" w:ascii="宋体" w:hAnsi="宋体" w:eastAsia="宋体" w:cs="宋体"/>
          <w:color w:val="auto"/>
          <w:sz w:val="24"/>
          <w:szCs w:val="24"/>
          <w:lang w:eastAsia="zh-CN"/>
        </w:rPr>
        <w:t>图</w:t>
      </w:r>
      <w:r>
        <w:rPr>
          <w:rFonts w:hint="eastAsia" w:ascii="宋体" w:hAnsi="宋体" w:eastAsia="宋体" w:cs="宋体"/>
          <w:color w:val="auto"/>
          <w:spacing w:val="2"/>
          <w:sz w:val="24"/>
          <w:szCs w:val="24"/>
          <w:lang w:eastAsia="zh-CN"/>
        </w:rPr>
        <w:t>纸</w:t>
      </w:r>
      <w:r>
        <w:rPr>
          <w:rFonts w:hint="eastAsia" w:ascii="宋体" w:hAnsi="宋体" w:eastAsia="宋体" w:cs="宋体"/>
          <w:color w:val="auto"/>
          <w:sz w:val="24"/>
          <w:szCs w:val="24"/>
          <w:lang w:eastAsia="zh-CN"/>
        </w:rPr>
        <w:t>；</w:t>
      </w:r>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所</w:t>
      </w:r>
      <w:r>
        <w:rPr>
          <w:rFonts w:hint="eastAsia" w:ascii="宋体" w:hAnsi="宋体" w:eastAsia="宋体" w:cs="宋体"/>
          <w:color w:val="auto"/>
          <w:sz w:val="24"/>
          <w:szCs w:val="24"/>
          <w:lang w:eastAsia="zh-CN"/>
        </w:rPr>
        <w:t>有</w:t>
      </w:r>
      <w:r>
        <w:rPr>
          <w:rFonts w:hint="eastAsia" w:ascii="宋体" w:hAnsi="宋体" w:eastAsia="宋体" w:cs="宋体"/>
          <w:color w:val="auto"/>
          <w:spacing w:val="2"/>
          <w:sz w:val="24"/>
          <w:szCs w:val="24"/>
          <w:lang w:eastAsia="zh-CN"/>
        </w:rPr>
        <w:t>设</w:t>
      </w:r>
      <w:r>
        <w:rPr>
          <w:rFonts w:hint="eastAsia" w:ascii="宋体" w:hAnsi="宋体" w:eastAsia="宋体" w:cs="宋体"/>
          <w:color w:val="auto"/>
          <w:sz w:val="24"/>
          <w:szCs w:val="24"/>
          <w:lang w:eastAsia="zh-CN"/>
        </w:rPr>
        <w:t>备</w:t>
      </w:r>
      <w:r>
        <w:rPr>
          <w:rFonts w:hint="eastAsia" w:ascii="宋体" w:hAnsi="宋体" w:eastAsia="宋体" w:cs="宋体"/>
          <w:color w:val="auto"/>
          <w:spacing w:val="2"/>
          <w:sz w:val="24"/>
          <w:szCs w:val="24"/>
          <w:lang w:eastAsia="zh-CN"/>
        </w:rPr>
        <w:t>及</w:t>
      </w:r>
      <w:r>
        <w:rPr>
          <w:rFonts w:hint="eastAsia" w:ascii="宋体" w:hAnsi="宋体" w:eastAsia="宋体" w:cs="宋体"/>
          <w:color w:val="auto"/>
          <w:sz w:val="24"/>
          <w:szCs w:val="24"/>
          <w:lang w:eastAsia="zh-CN"/>
        </w:rPr>
        <w:t>软</w:t>
      </w:r>
      <w:r>
        <w:rPr>
          <w:rFonts w:hint="eastAsia" w:ascii="宋体" w:hAnsi="宋体" w:eastAsia="宋体" w:cs="宋体"/>
          <w:color w:val="auto"/>
          <w:spacing w:val="2"/>
          <w:sz w:val="24"/>
          <w:szCs w:val="24"/>
          <w:lang w:eastAsia="zh-CN"/>
        </w:rPr>
        <w:t>件</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安</w:t>
      </w:r>
      <w:r>
        <w:rPr>
          <w:rFonts w:hint="eastAsia" w:ascii="宋体" w:hAnsi="宋体" w:eastAsia="宋体" w:cs="宋体"/>
          <w:color w:val="auto"/>
          <w:sz w:val="24"/>
          <w:szCs w:val="24"/>
          <w:lang w:eastAsia="zh-CN"/>
        </w:rPr>
        <w:t>装</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运</w:t>
      </w:r>
      <w:r>
        <w:rPr>
          <w:rFonts w:hint="eastAsia" w:ascii="宋体" w:hAnsi="宋体" w:eastAsia="宋体" w:cs="宋体"/>
          <w:color w:val="auto"/>
          <w:spacing w:val="2"/>
          <w:sz w:val="24"/>
          <w:szCs w:val="24"/>
          <w:lang w:eastAsia="zh-CN"/>
        </w:rPr>
        <w:t>行</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使</w:t>
      </w:r>
      <w:r>
        <w:rPr>
          <w:rFonts w:hint="eastAsia" w:ascii="宋体" w:hAnsi="宋体" w:eastAsia="宋体" w:cs="宋体"/>
          <w:color w:val="auto"/>
          <w:sz w:val="24"/>
          <w:szCs w:val="24"/>
          <w:lang w:eastAsia="zh-CN"/>
        </w:rPr>
        <w:t>用</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lang w:eastAsia="zh-CN"/>
        </w:rPr>
        <w:t>测</w:t>
      </w:r>
      <w:r>
        <w:rPr>
          <w:rFonts w:hint="eastAsia" w:ascii="宋体" w:hAnsi="宋体" w:eastAsia="宋体" w:cs="宋体"/>
          <w:color w:val="auto"/>
          <w:spacing w:val="2"/>
          <w:sz w:val="24"/>
          <w:szCs w:val="24"/>
          <w:lang w:eastAsia="zh-CN"/>
        </w:rPr>
        <w:t>试</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诊</w:t>
      </w:r>
      <w:r>
        <w:rPr>
          <w:rFonts w:hint="eastAsia" w:ascii="宋体" w:hAnsi="宋体" w:eastAsia="宋体" w:cs="宋体"/>
          <w:color w:val="auto"/>
          <w:sz w:val="24"/>
          <w:szCs w:val="24"/>
          <w:lang w:eastAsia="zh-CN"/>
        </w:rPr>
        <w:t>断</w:t>
      </w:r>
      <w:r>
        <w:rPr>
          <w:rFonts w:hint="eastAsia" w:ascii="宋体" w:hAnsi="宋体" w:eastAsia="宋体" w:cs="宋体"/>
          <w:color w:val="auto"/>
          <w:spacing w:val="2"/>
          <w:sz w:val="24"/>
          <w:szCs w:val="24"/>
          <w:lang w:eastAsia="zh-CN"/>
        </w:rPr>
        <w:t>和</w:t>
      </w:r>
      <w:r>
        <w:rPr>
          <w:rFonts w:hint="eastAsia" w:ascii="宋体" w:hAnsi="宋体" w:eastAsia="宋体" w:cs="宋体"/>
          <w:color w:val="auto"/>
          <w:sz w:val="24"/>
          <w:szCs w:val="24"/>
          <w:lang w:eastAsia="zh-CN"/>
        </w:rPr>
        <w:t>维</w:t>
      </w:r>
      <w:r>
        <w:rPr>
          <w:rFonts w:hint="eastAsia" w:ascii="宋体" w:hAnsi="宋体" w:eastAsia="宋体" w:cs="宋体"/>
          <w:color w:val="auto"/>
          <w:spacing w:val="2"/>
          <w:sz w:val="24"/>
          <w:szCs w:val="24"/>
          <w:lang w:eastAsia="zh-CN"/>
        </w:rPr>
        <w:t>修</w:t>
      </w:r>
      <w:r>
        <w:rPr>
          <w:rFonts w:hint="eastAsia" w:ascii="宋体" w:hAnsi="宋体" w:eastAsia="宋体" w:cs="宋体"/>
          <w:color w:val="auto"/>
          <w:sz w:val="24"/>
          <w:szCs w:val="24"/>
          <w:lang w:eastAsia="zh-CN"/>
        </w:rPr>
        <w:t>的</w:t>
      </w:r>
      <w:r>
        <w:rPr>
          <w:rFonts w:hint="eastAsia" w:ascii="宋体" w:hAnsi="宋体" w:eastAsia="宋体" w:cs="宋体"/>
          <w:color w:val="auto"/>
          <w:spacing w:val="2"/>
          <w:sz w:val="24"/>
          <w:szCs w:val="24"/>
          <w:lang w:eastAsia="zh-CN"/>
        </w:rPr>
        <w:t>文</w:t>
      </w:r>
      <w:r>
        <w:rPr>
          <w:rFonts w:hint="eastAsia" w:ascii="宋体" w:hAnsi="宋体" w:eastAsia="宋体" w:cs="宋体"/>
          <w:color w:val="auto"/>
          <w:sz w:val="24"/>
          <w:szCs w:val="24"/>
          <w:lang w:eastAsia="zh-CN"/>
        </w:rPr>
        <w:t>件； 现</w:t>
      </w:r>
      <w:r>
        <w:rPr>
          <w:rFonts w:hint="eastAsia" w:ascii="宋体" w:hAnsi="宋体" w:eastAsia="宋体" w:cs="宋体"/>
          <w:color w:val="auto"/>
          <w:spacing w:val="2"/>
          <w:sz w:val="24"/>
          <w:szCs w:val="24"/>
          <w:lang w:eastAsia="zh-CN"/>
        </w:rPr>
        <w:t>场</w:t>
      </w:r>
      <w:r>
        <w:rPr>
          <w:rFonts w:hint="eastAsia" w:ascii="宋体" w:hAnsi="宋体" w:eastAsia="宋体" w:cs="宋体"/>
          <w:color w:val="auto"/>
          <w:sz w:val="24"/>
          <w:szCs w:val="24"/>
          <w:lang w:eastAsia="zh-CN"/>
        </w:rPr>
        <w:t>验</w:t>
      </w:r>
      <w:r>
        <w:rPr>
          <w:rFonts w:hint="eastAsia" w:ascii="宋体" w:hAnsi="宋体" w:eastAsia="宋体" w:cs="宋体"/>
          <w:color w:val="auto"/>
          <w:spacing w:val="2"/>
          <w:sz w:val="24"/>
          <w:szCs w:val="24"/>
          <w:lang w:eastAsia="zh-CN"/>
        </w:rPr>
        <w:t>收</w:t>
      </w:r>
      <w:r>
        <w:rPr>
          <w:rFonts w:hint="eastAsia" w:ascii="宋体" w:hAnsi="宋体" w:eastAsia="宋体" w:cs="宋体"/>
          <w:color w:val="auto"/>
          <w:sz w:val="24"/>
          <w:szCs w:val="24"/>
          <w:lang w:eastAsia="zh-CN"/>
        </w:rPr>
        <w:t>大</w:t>
      </w:r>
      <w:r>
        <w:rPr>
          <w:rFonts w:hint="eastAsia" w:ascii="宋体" w:hAnsi="宋体" w:eastAsia="宋体" w:cs="宋体"/>
          <w:color w:val="auto"/>
          <w:spacing w:val="2"/>
          <w:sz w:val="24"/>
          <w:szCs w:val="24"/>
          <w:lang w:eastAsia="zh-CN"/>
        </w:rPr>
        <w:t>纲</w:t>
      </w:r>
      <w:r>
        <w:rPr>
          <w:rFonts w:hint="eastAsia" w:ascii="宋体" w:hAnsi="宋体" w:eastAsia="宋体" w:cs="宋体"/>
          <w:color w:val="auto"/>
          <w:sz w:val="24"/>
          <w:szCs w:val="24"/>
          <w:lang w:eastAsia="zh-CN"/>
        </w:rPr>
        <w:t>。</w:t>
      </w:r>
    </w:p>
    <w:p>
      <w:pPr>
        <w:numPr>
          <w:ilvl w:val="0"/>
          <w:numId w:val="32"/>
        </w:numPr>
        <w:spacing w:after="0" w:line="360" w:lineRule="auto"/>
        <w:ind w:left="0" w:firstLine="488" w:firstLineChars="200"/>
        <w:jc w:val="both"/>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系统资料</w:t>
      </w:r>
    </w:p>
    <w:p>
      <w:pPr>
        <w:pStyle w:val="3"/>
        <w:numPr>
          <w:ilvl w:val="1"/>
          <w:numId w:val="31"/>
        </w:numPr>
        <w:rPr>
          <w:rFonts w:hint="eastAsia"/>
          <w:color w:val="auto"/>
        </w:rPr>
      </w:pPr>
      <w:bookmarkStart w:id="50" w:name="_Toc12703"/>
      <w:bookmarkStart w:id="51" w:name="_Toc6868"/>
      <w:bookmarkStart w:id="52" w:name="_Toc11760"/>
      <w:r>
        <w:rPr>
          <w:rFonts w:hint="eastAsia"/>
          <w:color w:val="auto"/>
        </w:rPr>
        <w:t>使用手册与培训</w:t>
      </w:r>
      <w:bookmarkEnd w:id="50"/>
      <w:bookmarkEnd w:id="51"/>
      <w:bookmarkEnd w:id="52"/>
    </w:p>
    <w:p>
      <w:pPr>
        <w:spacing w:after="0" w:line="360" w:lineRule="auto"/>
        <w:ind w:firstLine="500"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投标方</w:t>
      </w:r>
      <w:r>
        <w:rPr>
          <w:rFonts w:hint="eastAsia" w:ascii="宋体" w:hAnsi="宋体" w:eastAsia="宋体" w:cs="宋体"/>
          <w:color w:val="auto"/>
          <w:spacing w:val="2"/>
          <w:sz w:val="24"/>
          <w:szCs w:val="24"/>
          <w:lang w:eastAsia="zh-CN"/>
        </w:rPr>
        <w:t>提</w:t>
      </w:r>
      <w:r>
        <w:rPr>
          <w:rFonts w:hint="eastAsia" w:ascii="宋体" w:hAnsi="宋体" w:eastAsia="宋体" w:cs="宋体"/>
          <w:color w:val="auto"/>
          <w:spacing w:val="5"/>
          <w:sz w:val="24"/>
          <w:szCs w:val="24"/>
          <w:lang w:eastAsia="zh-CN"/>
        </w:rPr>
        <w:t>供的项目简</w:t>
      </w:r>
      <w:r>
        <w:rPr>
          <w:rFonts w:hint="eastAsia" w:ascii="宋体" w:hAnsi="宋体" w:eastAsia="宋体" w:cs="宋体"/>
          <w:color w:val="auto"/>
          <w:spacing w:val="2"/>
          <w:sz w:val="24"/>
          <w:szCs w:val="24"/>
          <w:lang w:eastAsia="zh-CN"/>
        </w:rPr>
        <w:t>易</w:t>
      </w:r>
      <w:r>
        <w:rPr>
          <w:rFonts w:hint="eastAsia" w:ascii="宋体" w:hAnsi="宋体" w:eastAsia="宋体" w:cs="宋体"/>
          <w:color w:val="auto"/>
          <w:spacing w:val="5"/>
          <w:sz w:val="24"/>
          <w:szCs w:val="24"/>
          <w:lang w:eastAsia="zh-CN"/>
        </w:rPr>
        <w:t>使用手册编</w:t>
      </w:r>
      <w:r>
        <w:rPr>
          <w:rFonts w:hint="eastAsia" w:ascii="宋体" w:hAnsi="宋体" w:eastAsia="宋体" w:cs="宋体"/>
          <w:color w:val="auto"/>
          <w:spacing w:val="2"/>
          <w:sz w:val="24"/>
          <w:szCs w:val="24"/>
          <w:lang w:eastAsia="zh-CN"/>
        </w:rPr>
        <w:t>制</w:t>
      </w:r>
      <w:r>
        <w:rPr>
          <w:rFonts w:hint="eastAsia" w:ascii="宋体" w:hAnsi="宋体" w:eastAsia="宋体" w:cs="宋体"/>
          <w:color w:val="auto"/>
          <w:spacing w:val="5"/>
          <w:sz w:val="24"/>
          <w:szCs w:val="24"/>
          <w:lang w:eastAsia="zh-CN"/>
        </w:rPr>
        <w:t>，并负责免费</w:t>
      </w:r>
      <w:r>
        <w:rPr>
          <w:rFonts w:hint="eastAsia" w:ascii="宋体" w:hAnsi="宋体" w:eastAsia="宋体" w:cs="宋体"/>
          <w:color w:val="auto"/>
          <w:spacing w:val="2"/>
          <w:sz w:val="24"/>
          <w:szCs w:val="24"/>
          <w:lang w:eastAsia="zh-CN"/>
        </w:rPr>
        <w:t>为</w:t>
      </w:r>
      <w:r>
        <w:rPr>
          <w:rFonts w:hint="eastAsia" w:ascii="宋体" w:hAnsi="宋体" w:eastAsia="宋体" w:cs="宋体"/>
          <w:color w:val="auto"/>
          <w:spacing w:val="5"/>
          <w:sz w:val="24"/>
          <w:szCs w:val="24"/>
          <w:lang w:eastAsia="zh-CN"/>
        </w:rPr>
        <w:t>使用单位提</w:t>
      </w:r>
      <w:r>
        <w:rPr>
          <w:rFonts w:hint="eastAsia" w:ascii="宋体" w:hAnsi="宋体" w:eastAsia="宋体" w:cs="宋体"/>
          <w:color w:val="auto"/>
          <w:spacing w:val="2"/>
          <w:sz w:val="24"/>
          <w:szCs w:val="24"/>
          <w:lang w:eastAsia="zh-CN"/>
        </w:rPr>
        <w:t>供</w:t>
      </w:r>
      <w:r>
        <w:rPr>
          <w:rFonts w:hint="eastAsia" w:ascii="宋体" w:hAnsi="宋体" w:eastAsia="宋体" w:cs="宋体"/>
          <w:color w:val="auto"/>
          <w:spacing w:val="5"/>
          <w:sz w:val="24"/>
          <w:szCs w:val="24"/>
          <w:lang w:eastAsia="zh-CN"/>
        </w:rPr>
        <w:t>不少三天的</w:t>
      </w:r>
      <w:r>
        <w:rPr>
          <w:rFonts w:hint="eastAsia" w:ascii="宋体" w:hAnsi="宋体" w:eastAsia="宋体" w:cs="宋体"/>
          <w:color w:val="auto"/>
          <w:spacing w:val="2"/>
          <w:sz w:val="24"/>
          <w:szCs w:val="24"/>
          <w:lang w:eastAsia="zh-CN"/>
        </w:rPr>
        <w:t>操</w:t>
      </w:r>
      <w:r>
        <w:rPr>
          <w:rFonts w:hint="eastAsia" w:ascii="宋体" w:hAnsi="宋体" w:eastAsia="宋体" w:cs="宋体"/>
          <w:color w:val="auto"/>
          <w:spacing w:val="5"/>
          <w:sz w:val="24"/>
          <w:szCs w:val="24"/>
          <w:lang w:eastAsia="zh-CN"/>
        </w:rPr>
        <w:t>作</w:t>
      </w:r>
      <w:r>
        <w:rPr>
          <w:rFonts w:hint="eastAsia" w:ascii="宋体" w:hAnsi="宋体" w:eastAsia="宋体" w:cs="宋体"/>
          <w:color w:val="auto"/>
          <w:sz w:val="24"/>
          <w:szCs w:val="24"/>
          <w:lang w:eastAsia="zh-CN"/>
        </w:rPr>
        <w:t>培训。</w:t>
      </w:r>
    </w:p>
    <w:p>
      <w:pPr>
        <w:pStyle w:val="3"/>
        <w:numPr>
          <w:ilvl w:val="1"/>
          <w:numId w:val="31"/>
        </w:numPr>
        <w:rPr>
          <w:rFonts w:hint="eastAsia"/>
          <w:color w:val="auto"/>
        </w:rPr>
      </w:pPr>
      <w:bookmarkStart w:id="53" w:name="_Toc5359"/>
      <w:bookmarkStart w:id="54" w:name="_Toc8695"/>
      <w:bookmarkStart w:id="55" w:name="_Toc25431"/>
      <w:r>
        <w:rPr>
          <w:rFonts w:hint="eastAsia"/>
          <w:color w:val="auto"/>
        </w:rPr>
        <w:t>保密要求</w:t>
      </w:r>
      <w:bookmarkEnd w:id="53"/>
      <w:bookmarkEnd w:id="54"/>
      <w:bookmarkEnd w:id="55"/>
    </w:p>
    <w:p>
      <w:pPr>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除</w:t>
      </w:r>
      <w:r>
        <w:rPr>
          <w:rFonts w:hint="eastAsia" w:ascii="宋体" w:hAnsi="宋体" w:eastAsia="宋体" w:cs="宋体"/>
          <w:color w:val="auto"/>
          <w:sz w:val="24"/>
          <w:szCs w:val="24"/>
          <w:lang w:eastAsia="zh-CN"/>
        </w:rPr>
        <w:t>以</w:t>
      </w:r>
      <w:r>
        <w:rPr>
          <w:rFonts w:hint="eastAsia" w:ascii="宋体" w:hAnsi="宋体" w:eastAsia="宋体" w:cs="宋体"/>
          <w:color w:val="auto"/>
          <w:spacing w:val="2"/>
          <w:sz w:val="24"/>
          <w:szCs w:val="24"/>
          <w:lang w:eastAsia="zh-CN"/>
        </w:rPr>
        <w:t>下</w:t>
      </w:r>
      <w:r>
        <w:rPr>
          <w:rFonts w:hint="eastAsia" w:ascii="宋体" w:hAnsi="宋体" w:eastAsia="宋体" w:cs="宋体"/>
          <w:color w:val="auto"/>
          <w:sz w:val="24"/>
          <w:szCs w:val="24"/>
          <w:lang w:eastAsia="zh-CN"/>
        </w:rPr>
        <w:t>情</w:t>
      </w:r>
      <w:r>
        <w:rPr>
          <w:rFonts w:hint="eastAsia" w:ascii="宋体" w:hAnsi="宋体" w:eastAsia="宋体" w:cs="宋体"/>
          <w:color w:val="auto"/>
          <w:spacing w:val="2"/>
          <w:sz w:val="24"/>
          <w:szCs w:val="24"/>
          <w:lang w:eastAsia="zh-CN"/>
        </w:rPr>
        <w:t>况</w:t>
      </w:r>
      <w:r>
        <w:rPr>
          <w:rFonts w:hint="eastAsia" w:ascii="宋体" w:hAnsi="宋体" w:eastAsia="宋体" w:cs="宋体"/>
          <w:color w:val="auto"/>
          <w:sz w:val="24"/>
          <w:szCs w:val="24"/>
          <w:lang w:eastAsia="zh-CN"/>
        </w:rPr>
        <w:t>外</w:t>
      </w:r>
      <w:r>
        <w:rPr>
          <w:rFonts w:hint="eastAsia" w:ascii="宋体" w:hAnsi="宋体" w:eastAsia="宋体" w:cs="宋体"/>
          <w:color w:val="auto"/>
          <w:spacing w:val="-46"/>
          <w:sz w:val="24"/>
          <w:szCs w:val="24"/>
          <w:lang w:eastAsia="zh-CN"/>
        </w:rPr>
        <w:t>，</w:t>
      </w:r>
      <w:r>
        <w:rPr>
          <w:rFonts w:hint="eastAsia" w:ascii="宋体" w:hAnsi="宋体" w:eastAsia="宋体" w:cs="宋体"/>
          <w:color w:val="auto"/>
          <w:sz w:val="24"/>
          <w:szCs w:val="24"/>
          <w:lang w:eastAsia="zh-CN"/>
        </w:rPr>
        <w:t>非</w:t>
      </w:r>
      <w:r>
        <w:rPr>
          <w:rFonts w:hint="eastAsia" w:ascii="宋体" w:hAnsi="宋体" w:eastAsia="宋体" w:cs="宋体"/>
          <w:color w:val="auto"/>
          <w:spacing w:val="2"/>
          <w:sz w:val="24"/>
          <w:szCs w:val="24"/>
          <w:lang w:eastAsia="zh-CN"/>
        </w:rPr>
        <w:t>经</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面</w:t>
      </w:r>
      <w:r>
        <w:rPr>
          <w:rFonts w:hint="eastAsia" w:ascii="宋体" w:hAnsi="宋体" w:eastAsia="宋体" w:cs="宋体"/>
          <w:color w:val="auto"/>
          <w:spacing w:val="2"/>
          <w:sz w:val="24"/>
          <w:szCs w:val="24"/>
          <w:lang w:eastAsia="zh-CN"/>
        </w:rPr>
        <w:t>许可</w:t>
      </w:r>
      <w:r>
        <w:rPr>
          <w:rFonts w:hint="eastAsia" w:ascii="宋体" w:hAnsi="宋体" w:eastAsia="宋体" w:cs="宋体"/>
          <w:color w:val="auto"/>
          <w:spacing w:val="-46"/>
          <w:sz w:val="24"/>
          <w:szCs w:val="24"/>
          <w:lang w:eastAsia="zh-CN"/>
        </w:rPr>
        <w:t>，</w:t>
      </w:r>
      <w:r>
        <w:rPr>
          <w:rFonts w:hint="eastAsia" w:ascii="宋体" w:hAnsi="宋体" w:eastAsia="宋体" w:cs="宋体"/>
          <w:color w:val="auto"/>
          <w:sz w:val="24"/>
          <w:szCs w:val="24"/>
          <w:lang w:eastAsia="zh-CN"/>
        </w:rPr>
        <w:t>不</w:t>
      </w:r>
      <w:r>
        <w:rPr>
          <w:rFonts w:hint="eastAsia" w:ascii="宋体" w:hAnsi="宋体" w:eastAsia="宋体" w:cs="宋体"/>
          <w:color w:val="auto"/>
          <w:spacing w:val="2"/>
          <w:sz w:val="24"/>
          <w:szCs w:val="24"/>
          <w:lang w:eastAsia="zh-CN"/>
        </w:rPr>
        <w:t>得</w:t>
      </w:r>
      <w:r>
        <w:rPr>
          <w:rFonts w:hint="eastAsia" w:ascii="宋体" w:hAnsi="宋体" w:eastAsia="宋体" w:cs="宋体"/>
          <w:color w:val="auto"/>
          <w:sz w:val="24"/>
          <w:szCs w:val="24"/>
          <w:lang w:eastAsia="zh-CN"/>
        </w:rPr>
        <w:t>将</w:t>
      </w:r>
      <w:r>
        <w:rPr>
          <w:rFonts w:hint="eastAsia" w:ascii="宋体" w:hAnsi="宋体" w:eastAsia="宋体" w:cs="宋体"/>
          <w:color w:val="auto"/>
          <w:spacing w:val="2"/>
          <w:sz w:val="24"/>
          <w:szCs w:val="24"/>
          <w:lang w:eastAsia="zh-CN"/>
        </w:rPr>
        <w:t>文</w:t>
      </w:r>
      <w:r>
        <w:rPr>
          <w:rFonts w:hint="eastAsia" w:ascii="宋体" w:hAnsi="宋体" w:eastAsia="宋体" w:cs="宋体"/>
          <w:color w:val="auto"/>
          <w:sz w:val="24"/>
          <w:szCs w:val="24"/>
          <w:lang w:eastAsia="zh-CN"/>
        </w:rPr>
        <w:t>件</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任</w:t>
      </w:r>
      <w:r>
        <w:rPr>
          <w:rFonts w:hint="eastAsia" w:ascii="宋体" w:hAnsi="宋体" w:eastAsia="宋体" w:cs="宋体"/>
          <w:color w:val="auto"/>
          <w:spacing w:val="2"/>
          <w:sz w:val="24"/>
          <w:szCs w:val="24"/>
          <w:lang w:eastAsia="zh-CN"/>
        </w:rPr>
        <w:t>何</w:t>
      </w:r>
      <w:r>
        <w:rPr>
          <w:rFonts w:hint="eastAsia" w:ascii="宋体" w:hAnsi="宋体" w:eastAsia="宋体" w:cs="宋体"/>
          <w:color w:val="auto"/>
          <w:sz w:val="24"/>
          <w:szCs w:val="24"/>
          <w:lang w:eastAsia="zh-CN"/>
        </w:rPr>
        <w:t>内</w:t>
      </w:r>
      <w:r>
        <w:rPr>
          <w:rFonts w:hint="eastAsia" w:ascii="宋体" w:hAnsi="宋体" w:eastAsia="宋体" w:cs="宋体"/>
          <w:color w:val="auto"/>
          <w:spacing w:val="2"/>
          <w:sz w:val="24"/>
          <w:szCs w:val="24"/>
          <w:lang w:eastAsia="zh-CN"/>
        </w:rPr>
        <w:t>容</w:t>
      </w:r>
      <w:r>
        <w:rPr>
          <w:rFonts w:hint="eastAsia" w:ascii="宋体" w:hAnsi="宋体" w:eastAsia="宋体" w:cs="宋体"/>
          <w:color w:val="auto"/>
          <w:sz w:val="24"/>
          <w:szCs w:val="24"/>
          <w:lang w:eastAsia="zh-CN"/>
        </w:rPr>
        <w:t>透</w:t>
      </w:r>
      <w:r>
        <w:rPr>
          <w:rFonts w:hint="eastAsia" w:ascii="宋体" w:hAnsi="宋体" w:eastAsia="宋体" w:cs="宋体"/>
          <w:color w:val="auto"/>
          <w:spacing w:val="2"/>
          <w:sz w:val="24"/>
          <w:szCs w:val="24"/>
          <w:lang w:eastAsia="zh-CN"/>
        </w:rPr>
        <w:t>露</w:t>
      </w:r>
      <w:r>
        <w:rPr>
          <w:rFonts w:hint="eastAsia" w:ascii="宋体" w:hAnsi="宋体" w:eastAsia="宋体" w:cs="宋体"/>
          <w:color w:val="auto"/>
          <w:sz w:val="24"/>
          <w:szCs w:val="24"/>
          <w:lang w:eastAsia="zh-CN"/>
        </w:rPr>
        <w:t>给</w:t>
      </w:r>
      <w:r>
        <w:rPr>
          <w:rFonts w:hint="eastAsia" w:ascii="宋体" w:hAnsi="宋体" w:eastAsia="宋体" w:cs="宋体"/>
          <w:color w:val="auto"/>
          <w:spacing w:val="2"/>
          <w:sz w:val="24"/>
          <w:szCs w:val="24"/>
          <w:lang w:eastAsia="zh-CN"/>
        </w:rPr>
        <w:t>除</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方以外</w:t>
      </w:r>
      <w:r>
        <w:rPr>
          <w:rFonts w:hint="eastAsia" w:ascii="宋体" w:hAnsi="宋体" w:eastAsia="宋体" w:cs="宋体"/>
          <w:color w:val="auto"/>
          <w:spacing w:val="2"/>
          <w:sz w:val="24"/>
          <w:szCs w:val="24"/>
          <w:lang w:eastAsia="zh-CN"/>
        </w:rPr>
        <w:t>的</w:t>
      </w:r>
      <w:r>
        <w:rPr>
          <w:rFonts w:hint="eastAsia" w:ascii="宋体" w:hAnsi="宋体" w:eastAsia="宋体" w:cs="宋体"/>
          <w:color w:val="auto"/>
          <w:sz w:val="24"/>
          <w:szCs w:val="24"/>
          <w:lang w:eastAsia="zh-CN"/>
        </w:rPr>
        <w:t>第</w:t>
      </w:r>
      <w:r>
        <w:rPr>
          <w:rFonts w:hint="eastAsia" w:ascii="宋体" w:hAnsi="宋体" w:eastAsia="宋体" w:cs="宋体"/>
          <w:color w:val="auto"/>
          <w:spacing w:val="2"/>
          <w:sz w:val="24"/>
          <w:szCs w:val="24"/>
          <w:lang w:eastAsia="zh-CN"/>
        </w:rPr>
        <w:t>三</w:t>
      </w:r>
      <w:r>
        <w:rPr>
          <w:rFonts w:hint="eastAsia" w:ascii="宋体" w:hAnsi="宋体" w:eastAsia="宋体" w:cs="宋体"/>
          <w:color w:val="auto"/>
          <w:sz w:val="24"/>
          <w:szCs w:val="24"/>
          <w:lang w:eastAsia="zh-CN"/>
        </w:rPr>
        <w:t>方。</w:t>
      </w:r>
    </w:p>
    <w:p>
      <w:pPr>
        <w:spacing w:after="0" w:line="360" w:lineRule="auto"/>
        <w:ind w:firstLine="488"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经</w:t>
      </w:r>
      <w:r>
        <w:rPr>
          <w:rFonts w:hint="eastAsia" w:ascii="宋体" w:hAnsi="宋体" w:eastAsia="宋体" w:cs="宋体"/>
          <w:color w:val="auto"/>
          <w:sz w:val="24"/>
          <w:szCs w:val="24"/>
          <w:lang w:eastAsia="zh-CN"/>
        </w:rPr>
        <w:t>招</w:t>
      </w:r>
      <w:r>
        <w:rPr>
          <w:rFonts w:hint="eastAsia" w:ascii="宋体" w:hAnsi="宋体" w:eastAsia="宋体" w:cs="宋体"/>
          <w:color w:val="auto"/>
          <w:spacing w:val="2"/>
          <w:sz w:val="24"/>
          <w:szCs w:val="24"/>
          <w:lang w:eastAsia="zh-CN"/>
        </w:rPr>
        <w:t>标</w:t>
      </w:r>
      <w:r>
        <w:rPr>
          <w:rFonts w:hint="eastAsia" w:ascii="宋体" w:hAnsi="宋体" w:eastAsia="宋体" w:cs="宋体"/>
          <w:color w:val="auto"/>
          <w:sz w:val="24"/>
          <w:szCs w:val="24"/>
          <w:lang w:eastAsia="zh-CN"/>
        </w:rPr>
        <w:t>方</w:t>
      </w:r>
      <w:r>
        <w:rPr>
          <w:rFonts w:hint="eastAsia" w:ascii="宋体" w:hAnsi="宋体" w:eastAsia="宋体" w:cs="宋体"/>
          <w:color w:val="auto"/>
          <w:spacing w:val="2"/>
          <w:sz w:val="24"/>
          <w:szCs w:val="24"/>
          <w:lang w:eastAsia="zh-CN"/>
        </w:rPr>
        <w:t>书</w:t>
      </w:r>
      <w:r>
        <w:rPr>
          <w:rFonts w:hint="eastAsia" w:ascii="宋体" w:hAnsi="宋体" w:eastAsia="宋体" w:cs="宋体"/>
          <w:color w:val="auto"/>
          <w:sz w:val="24"/>
          <w:szCs w:val="24"/>
          <w:lang w:eastAsia="zh-CN"/>
        </w:rPr>
        <w:t>面</w:t>
      </w:r>
      <w:r>
        <w:rPr>
          <w:rFonts w:hint="eastAsia" w:ascii="宋体" w:hAnsi="宋体" w:eastAsia="宋体" w:cs="宋体"/>
          <w:color w:val="auto"/>
          <w:spacing w:val="2"/>
          <w:sz w:val="24"/>
          <w:szCs w:val="24"/>
          <w:lang w:eastAsia="zh-CN"/>
        </w:rPr>
        <w:t>许</w:t>
      </w:r>
      <w:r>
        <w:rPr>
          <w:rFonts w:hint="eastAsia" w:ascii="宋体" w:hAnsi="宋体" w:eastAsia="宋体" w:cs="宋体"/>
          <w:color w:val="auto"/>
          <w:sz w:val="24"/>
          <w:szCs w:val="24"/>
          <w:lang w:eastAsia="zh-CN"/>
        </w:rPr>
        <w:t>可</w:t>
      </w:r>
      <w:r>
        <w:rPr>
          <w:rFonts w:hint="eastAsia" w:ascii="宋体" w:hAnsi="宋体" w:eastAsia="宋体" w:cs="宋体"/>
          <w:color w:val="auto"/>
          <w:spacing w:val="-24"/>
          <w:sz w:val="24"/>
          <w:szCs w:val="24"/>
          <w:lang w:eastAsia="zh-CN"/>
        </w:rPr>
        <w:t>，</w:t>
      </w:r>
      <w:r>
        <w:rPr>
          <w:rFonts w:hint="eastAsia" w:ascii="宋体" w:hAnsi="宋体" w:eastAsia="宋体" w:cs="宋体"/>
          <w:color w:val="auto"/>
          <w:spacing w:val="2"/>
          <w:sz w:val="24"/>
          <w:szCs w:val="24"/>
          <w:lang w:eastAsia="zh-CN"/>
        </w:rPr>
        <w:t>投</w:t>
      </w:r>
      <w:r>
        <w:rPr>
          <w:rFonts w:hint="eastAsia" w:ascii="宋体" w:hAnsi="宋体" w:eastAsia="宋体" w:cs="宋体"/>
          <w:color w:val="auto"/>
          <w:sz w:val="24"/>
          <w:szCs w:val="24"/>
          <w:lang w:eastAsia="zh-CN"/>
        </w:rPr>
        <w:t>标</w:t>
      </w:r>
      <w:r>
        <w:rPr>
          <w:rFonts w:hint="eastAsia" w:ascii="宋体" w:hAnsi="宋体" w:eastAsia="宋体" w:cs="宋体"/>
          <w:color w:val="auto"/>
          <w:spacing w:val="2"/>
          <w:sz w:val="24"/>
          <w:szCs w:val="24"/>
          <w:lang w:eastAsia="zh-CN"/>
        </w:rPr>
        <w:t>方</w:t>
      </w:r>
      <w:r>
        <w:rPr>
          <w:rFonts w:hint="eastAsia" w:ascii="宋体" w:hAnsi="宋体" w:eastAsia="宋体" w:cs="宋体"/>
          <w:color w:val="auto"/>
          <w:sz w:val="24"/>
          <w:szCs w:val="24"/>
          <w:lang w:eastAsia="zh-CN"/>
        </w:rPr>
        <w:t>才</w:t>
      </w:r>
      <w:r>
        <w:rPr>
          <w:rFonts w:hint="eastAsia" w:ascii="宋体" w:hAnsi="宋体" w:eastAsia="宋体" w:cs="宋体"/>
          <w:color w:val="auto"/>
          <w:spacing w:val="2"/>
          <w:sz w:val="24"/>
          <w:szCs w:val="24"/>
          <w:lang w:eastAsia="zh-CN"/>
        </w:rPr>
        <w:t>允</w:t>
      </w:r>
      <w:r>
        <w:rPr>
          <w:rFonts w:hint="eastAsia" w:ascii="宋体" w:hAnsi="宋体" w:eastAsia="宋体" w:cs="宋体"/>
          <w:color w:val="auto"/>
          <w:sz w:val="24"/>
          <w:szCs w:val="24"/>
          <w:lang w:eastAsia="zh-CN"/>
        </w:rPr>
        <w:t>许</w:t>
      </w:r>
      <w:r>
        <w:rPr>
          <w:rFonts w:hint="eastAsia" w:ascii="宋体" w:hAnsi="宋体" w:eastAsia="宋体" w:cs="宋体"/>
          <w:color w:val="auto"/>
          <w:spacing w:val="2"/>
          <w:sz w:val="24"/>
          <w:szCs w:val="24"/>
          <w:lang w:eastAsia="zh-CN"/>
        </w:rPr>
        <w:t>将</w:t>
      </w:r>
      <w:r>
        <w:rPr>
          <w:rFonts w:hint="eastAsia" w:ascii="宋体" w:hAnsi="宋体" w:eastAsia="宋体" w:cs="宋体"/>
          <w:color w:val="auto"/>
          <w:sz w:val="24"/>
          <w:szCs w:val="24"/>
          <w:lang w:eastAsia="zh-CN"/>
        </w:rPr>
        <w:t>本</w:t>
      </w:r>
      <w:r>
        <w:rPr>
          <w:rFonts w:hint="eastAsia" w:ascii="宋体" w:hAnsi="宋体" w:eastAsia="宋体" w:cs="宋体"/>
          <w:color w:val="auto"/>
          <w:spacing w:val="-19"/>
          <w:sz w:val="24"/>
          <w:szCs w:val="24"/>
          <w:lang w:eastAsia="zh-CN"/>
        </w:rPr>
        <w:t>文</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限</w:t>
      </w:r>
      <w:r>
        <w:rPr>
          <w:rFonts w:hint="eastAsia" w:ascii="宋体" w:hAnsi="宋体" w:eastAsia="宋体" w:cs="宋体"/>
          <w:color w:val="auto"/>
          <w:sz w:val="24"/>
          <w:szCs w:val="24"/>
          <w:lang w:eastAsia="zh-CN"/>
        </w:rPr>
        <w:t>于</w:t>
      </w:r>
      <w:r>
        <w:rPr>
          <w:rFonts w:hint="eastAsia" w:ascii="宋体" w:hAnsi="宋体" w:eastAsia="宋体" w:cs="宋体"/>
          <w:color w:val="auto"/>
          <w:spacing w:val="2"/>
          <w:sz w:val="24"/>
          <w:szCs w:val="24"/>
          <w:lang w:eastAsia="zh-CN"/>
        </w:rPr>
        <w:t>必</w:t>
      </w:r>
      <w:r>
        <w:rPr>
          <w:rFonts w:hint="eastAsia" w:ascii="宋体" w:hAnsi="宋体" w:eastAsia="宋体" w:cs="宋体"/>
          <w:color w:val="auto"/>
          <w:sz w:val="24"/>
          <w:szCs w:val="24"/>
          <w:lang w:eastAsia="zh-CN"/>
        </w:rPr>
        <w:t>要</w:t>
      </w:r>
      <w:r>
        <w:rPr>
          <w:rFonts w:hint="eastAsia" w:ascii="宋体" w:hAnsi="宋体" w:eastAsia="宋体" w:cs="宋体"/>
          <w:color w:val="auto"/>
          <w:spacing w:val="2"/>
          <w:sz w:val="24"/>
          <w:szCs w:val="24"/>
          <w:lang w:eastAsia="zh-CN"/>
        </w:rPr>
        <w:t>部</w:t>
      </w:r>
      <w:r>
        <w:rPr>
          <w:rFonts w:hint="eastAsia" w:ascii="宋体" w:hAnsi="宋体" w:eastAsia="宋体" w:cs="宋体"/>
          <w:color w:val="auto"/>
          <w:sz w:val="24"/>
          <w:szCs w:val="24"/>
          <w:lang w:eastAsia="zh-CN"/>
        </w:rPr>
        <w:t>分</w:t>
      </w:r>
      <w:r>
        <w:rPr>
          <w:rFonts w:hint="eastAsia" w:ascii="宋体" w:hAnsi="宋体" w:eastAsia="宋体" w:cs="宋体"/>
          <w:color w:val="auto"/>
          <w:spacing w:val="-22"/>
          <w:sz w:val="24"/>
          <w:szCs w:val="24"/>
          <w:lang w:eastAsia="zh-CN"/>
        </w:rPr>
        <w:t>）</w:t>
      </w:r>
      <w:r>
        <w:rPr>
          <w:rFonts w:hint="eastAsia" w:ascii="宋体" w:hAnsi="宋体" w:eastAsia="宋体" w:cs="宋体"/>
          <w:color w:val="auto"/>
          <w:spacing w:val="2"/>
          <w:sz w:val="24"/>
          <w:szCs w:val="24"/>
          <w:lang w:eastAsia="zh-CN"/>
        </w:rPr>
        <w:t>透</w:t>
      </w:r>
      <w:r>
        <w:rPr>
          <w:rFonts w:hint="eastAsia" w:ascii="宋体" w:hAnsi="宋体" w:eastAsia="宋体" w:cs="宋体"/>
          <w:color w:val="auto"/>
          <w:sz w:val="24"/>
          <w:szCs w:val="24"/>
          <w:lang w:eastAsia="zh-CN"/>
        </w:rPr>
        <w:t>露</w:t>
      </w:r>
      <w:r>
        <w:rPr>
          <w:rFonts w:hint="eastAsia" w:ascii="宋体" w:hAnsi="宋体" w:eastAsia="宋体" w:cs="宋体"/>
          <w:color w:val="auto"/>
          <w:spacing w:val="2"/>
          <w:sz w:val="24"/>
          <w:szCs w:val="24"/>
          <w:lang w:eastAsia="zh-CN"/>
        </w:rPr>
        <w:t>给</w:t>
      </w:r>
      <w:r>
        <w:rPr>
          <w:rFonts w:hint="eastAsia" w:ascii="宋体" w:hAnsi="宋体" w:eastAsia="宋体" w:cs="宋体"/>
          <w:color w:val="auto"/>
          <w:sz w:val="24"/>
          <w:szCs w:val="24"/>
          <w:lang w:eastAsia="zh-CN"/>
        </w:rPr>
        <w:t>其</w:t>
      </w:r>
      <w:r>
        <w:rPr>
          <w:rFonts w:hint="eastAsia" w:ascii="宋体" w:hAnsi="宋体" w:eastAsia="宋体" w:cs="宋体"/>
          <w:color w:val="auto"/>
          <w:spacing w:val="2"/>
          <w:sz w:val="24"/>
          <w:szCs w:val="24"/>
          <w:lang w:eastAsia="zh-CN"/>
        </w:rPr>
        <w:t>合</w:t>
      </w:r>
      <w:r>
        <w:rPr>
          <w:rFonts w:hint="eastAsia" w:ascii="宋体" w:hAnsi="宋体" w:eastAsia="宋体" w:cs="宋体"/>
          <w:color w:val="auto"/>
          <w:sz w:val="24"/>
          <w:szCs w:val="24"/>
          <w:lang w:eastAsia="zh-CN"/>
        </w:rPr>
        <w:t>作</w:t>
      </w:r>
      <w:r>
        <w:rPr>
          <w:rFonts w:hint="eastAsia" w:ascii="宋体" w:hAnsi="宋体" w:eastAsia="宋体" w:cs="宋体"/>
          <w:color w:val="auto"/>
          <w:spacing w:val="2"/>
          <w:sz w:val="24"/>
          <w:szCs w:val="24"/>
          <w:lang w:eastAsia="zh-CN"/>
        </w:rPr>
        <w:t>伙</w:t>
      </w:r>
      <w:r>
        <w:rPr>
          <w:rFonts w:hint="eastAsia" w:ascii="宋体" w:hAnsi="宋体" w:eastAsia="宋体" w:cs="宋体"/>
          <w:color w:val="auto"/>
          <w:sz w:val="24"/>
          <w:szCs w:val="24"/>
          <w:lang w:eastAsia="zh-CN"/>
        </w:rPr>
        <w:t>伴</w:t>
      </w:r>
      <w:r>
        <w:rPr>
          <w:rFonts w:hint="eastAsia" w:ascii="宋体" w:hAnsi="宋体" w:eastAsia="宋体" w:cs="宋体"/>
          <w:color w:val="auto"/>
          <w:spacing w:val="-22"/>
          <w:sz w:val="24"/>
          <w:szCs w:val="24"/>
          <w:lang w:eastAsia="zh-CN"/>
        </w:rPr>
        <w:t>，</w:t>
      </w:r>
      <w:r>
        <w:rPr>
          <w:rFonts w:hint="eastAsia" w:ascii="宋体" w:hAnsi="宋体" w:eastAsia="宋体" w:cs="宋体"/>
          <w:color w:val="auto"/>
          <w:spacing w:val="2"/>
          <w:sz w:val="24"/>
          <w:szCs w:val="24"/>
          <w:lang w:eastAsia="zh-CN"/>
        </w:rPr>
        <w:t>并</w:t>
      </w:r>
      <w:r>
        <w:rPr>
          <w:rFonts w:hint="eastAsia" w:ascii="宋体" w:hAnsi="宋体" w:eastAsia="宋体" w:cs="宋体"/>
          <w:color w:val="auto"/>
          <w:sz w:val="24"/>
          <w:szCs w:val="24"/>
          <w:lang w:eastAsia="zh-CN"/>
        </w:rPr>
        <w:t>保证其</w:t>
      </w:r>
      <w:r>
        <w:rPr>
          <w:rFonts w:hint="eastAsia" w:ascii="宋体" w:hAnsi="宋体" w:eastAsia="宋体" w:cs="宋体"/>
          <w:color w:val="auto"/>
          <w:spacing w:val="2"/>
          <w:sz w:val="24"/>
          <w:szCs w:val="24"/>
          <w:lang w:eastAsia="zh-CN"/>
        </w:rPr>
        <w:t>合</w:t>
      </w:r>
      <w:r>
        <w:rPr>
          <w:rFonts w:hint="eastAsia" w:ascii="宋体" w:hAnsi="宋体" w:eastAsia="宋体" w:cs="宋体"/>
          <w:color w:val="auto"/>
          <w:sz w:val="24"/>
          <w:szCs w:val="24"/>
          <w:lang w:eastAsia="zh-CN"/>
        </w:rPr>
        <w:t>作</w:t>
      </w:r>
      <w:r>
        <w:rPr>
          <w:rFonts w:hint="eastAsia" w:ascii="宋体" w:hAnsi="宋体" w:eastAsia="宋体" w:cs="宋体"/>
          <w:color w:val="auto"/>
          <w:spacing w:val="2"/>
          <w:sz w:val="24"/>
          <w:szCs w:val="24"/>
          <w:lang w:eastAsia="zh-CN"/>
        </w:rPr>
        <w:t>伙</w:t>
      </w:r>
      <w:r>
        <w:rPr>
          <w:rFonts w:hint="eastAsia" w:ascii="宋体" w:hAnsi="宋体" w:eastAsia="宋体" w:cs="宋体"/>
          <w:color w:val="auto"/>
          <w:sz w:val="24"/>
          <w:szCs w:val="24"/>
          <w:lang w:eastAsia="zh-CN"/>
        </w:rPr>
        <w:t>伴</w:t>
      </w:r>
      <w:r>
        <w:rPr>
          <w:rFonts w:hint="eastAsia" w:ascii="宋体" w:hAnsi="宋体" w:eastAsia="宋体" w:cs="宋体"/>
          <w:color w:val="auto"/>
          <w:spacing w:val="2"/>
          <w:sz w:val="24"/>
          <w:szCs w:val="24"/>
          <w:lang w:eastAsia="zh-CN"/>
        </w:rPr>
        <w:t>不</w:t>
      </w:r>
      <w:r>
        <w:rPr>
          <w:rFonts w:hint="eastAsia" w:ascii="宋体" w:hAnsi="宋体" w:eastAsia="宋体" w:cs="宋体"/>
          <w:color w:val="auto"/>
          <w:sz w:val="24"/>
          <w:szCs w:val="24"/>
          <w:lang w:eastAsia="zh-CN"/>
        </w:rPr>
        <w:t>将</w:t>
      </w:r>
      <w:r>
        <w:rPr>
          <w:rFonts w:hint="eastAsia" w:ascii="宋体" w:hAnsi="宋体" w:eastAsia="宋体" w:cs="宋体"/>
          <w:color w:val="auto"/>
          <w:spacing w:val="2"/>
          <w:sz w:val="24"/>
          <w:szCs w:val="24"/>
          <w:lang w:eastAsia="zh-CN"/>
        </w:rPr>
        <w:t>本</w:t>
      </w:r>
      <w:r>
        <w:rPr>
          <w:rFonts w:hint="eastAsia" w:ascii="宋体" w:hAnsi="宋体" w:eastAsia="宋体" w:cs="宋体"/>
          <w:color w:val="auto"/>
          <w:sz w:val="24"/>
          <w:szCs w:val="24"/>
          <w:lang w:eastAsia="zh-CN"/>
        </w:rPr>
        <w:t>文</w:t>
      </w:r>
      <w:r>
        <w:rPr>
          <w:rFonts w:hint="eastAsia" w:ascii="宋体" w:hAnsi="宋体" w:eastAsia="宋体" w:cs="宋体"/>
          <w:color w:val="auto"/>
          <w:spacing w:val="2"/>
          <w:sz w:val="24"/>
          <w:szCs w:val="24"/>
          <w:lang w:eastAsia="zh-CN"/>
        </w:rPr>
        <w:t>透</w:t>
      </w:r>
      <w:r>
        <w:rPr>
          <w:rFonts w:hint="eastAsia" w:ascii="宋体" w:hAnsi="宋体" w:eastAsia="宋体" w:cs="宋体"/>
          <w:color w:val="auto"/>
          <w:sz w:val="24"/>
          <w:szCs w:val="24"/>
          <w:lang w:eastAsia="zh-CN"/>
        </w:rPr>
        <w:t>露</w:t>
      </w:r>
      <w:r>
        <w:rPr>
          <w:rFonts w:hint="eastAsia" w:ascii="宋体" w:hAnsi="宋体" w:eastAsia="宋体" w:cs="宋体"/>
          <w:color w:val="auto"/>
          <w:spacing w:val="2"/>
          <w:sz w:val="24"/>
          <w:szCs w:val="24"/>
          <w:lang w:eastAsia="zh-CN"/>
        </w:rPr>
        <w:t>给</w:t>
      </w:r>
      <w:r>
        <w:rPr>
          <w:rFonts w:hint="eastAsia" w:ascii="宋体" w:hAnsi="宋体" w:eastAsia="宋体" w:cs="宋体"/>
          <w:color w:val="auto"/>
          <w:sz w:val="24"/>
          <w:szCs w:val="24"/>
          <w:lang w:eastAsia="zh-CN"/>
        </w:rPr>
        <w:t>其</w:t>
      </w:r>
      <w:r>
        <w:rPr>
          <w:rFonts w:hint="eastAsia" w:ascii="宋体" w:hAnsi="宋体" w:eastAsia="宋体" w:cs="宋体"/>
          <w:color w:val="auto"/>
          <w:spacing w:val="2"/>
          <w:sz w:val="24"/>
          <w:szCs w:val="24"/>
          <w:lang w:eastAsia="zh-CN"/>
        </w:rPr>
        <w:t>他</w:t>
      </w:r>
      <w:r>
        <w:rPr>
          <w:rFonts w:hint="eastAsia" w:ascii="宋体" w:hAnsi="宋体" w:eastAsia="宋体" w:cs="宋体"/>
          <w:color w:val="auto"/>
          <w:sz w:val="24"/>
          <w:szCs w:val="24"/>
          <w:lang w:eastAsia="zh-CN"/>
        </w:rPr>
        <w:t>人。</w:t>
      </w:r>
    </w:p>
    <w:p>
      <w:pPr>
        <w:pStyle w:val="3"/>
        <w:numPr>
          <w:ilvl w:val="1"/>
          <w:numId w:val="31"/>
        </w:numPr>
        <w:rPr>
          <w:rFonts w:hint="eastAsia"/>
          <w:color w:val="auto"/>
        </w:rPr>
      </w:pPr>
      <w:bookmarkStart w:id="56" w:name="_Toc27449"/>
      <w:bookmarkStart w:id="57" w:name="_Toc31102"/>
      <w:r>
        <w:rPr>
          <w:rFonts w:hint="eastAsia"/>
          <w:color w:val="auto"/>
        </w:rPr>
        <w:t>其它</w:t>
      </w:r>
      <w:bookmarkEnd w:id="56"/>
      <w:bookmarkEnd w:id="57"/>
    </w:p>
    <w:p>
      <w:pPr>
        <w:spacing w:after="0" w:line="360" w:lineRule="auto"/>
        <w:ind w:firstLine="488" w:firstLineChars="200"/>
        <w:rPr>
          <w:color w:val="auto"/>
          <w:lang w:eastAsia="zh-CN"/>
        </w:rPr>
      </w:pPr>
      <w:r>
        <w:rPr>
          <w:rFonts w:hint="eastAsia" w:ascii="宋体" w:hAnsi="宋体" w:eastAsia="宋体" w:cs="宋体"/>
          <w:color w:val="auto"/>
          <w:spacing w:val="2"/>
          <w:sz w:val="24"/>
          <w:szCs w:val="24"/>
          <w:lang w:eastAsia="zh-CN"/>
        </w:rPr>
        <w:t>本技术规范书的最终解释权归海南电力交易中心有限责任公司所有。</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66C3C"/>
    <w:multiLevelType w:val="singleLevel"/>
    <w:tmpl w:val="81E66C3C"/>
    <w:lvl w:ilvl="0" w:tentative="0">
      <w:start w:val="1"/>
      <w:numFmt w:val="decimal"/>
      <w:suff w:val="nothing"/>
      <w:lvlText w:val="%1．"/>
      <w:lvlJc w:val="left"/>
      <w:pPr>
        <w:ind w:left="0" w:firstLine="400"/>
      </w:pPr>
      <w:rPr>
        <w:rFonts w:hint="default"/>
      </w:rPr>
    </w:lvl>
  </w:abstractNum>
  <w:abstractNum w:abstractNumId="1">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8B90ADAD"/>
    <w:multiLevelType w:val="singleLevel"/>
    <w:tmpl w:val="8B90ADAD"/>
    <w:lvl w:ilvl="0" w:tentative="0">
      <w:start w:val="1"/>
      <w:numFmt w:val="decimal"/>
      <w:lvlText w:val="%1)"/>
      <w:lvlJc w:val="left"/>
      <w:pPr>
        <w:ind w:left="425" w:hanging="425"/>
      </w:pPr>
      <w:rPr>
        <w:rFonts w:hint="default"/>
      </w:rPr>
    </w:lvl>
  </w:abstractNum>
  <w:abstractNum w:abstractNumId="3">
    <w:nsid w:val="92B87F85"/>
    <w:multiLevelType w:val="singleLevel"/>
    <w:tmpl w:val="92B87F85"/>
    <w:lvl w:ilvl="0" w:tentative="0">
      <w:start w:val="1"/>
      <w:numFmt w:val="decimal"/>
      <w:suff w:val="nothing"/>
      <w:lvlText w:val="%1．"/>
      <w:lvlJc w:val="left"/>
      <w:pPr>
        <w:ind w:left="0" w:firstLine="400"/>
      </w:pPr>
      <w:rPr>
        <w:rFonts w:hint="default"/>
      </w:rPr>
    </w:lvl>
  </w:abstractNum>
  <w:abstractNum w:abstractNumId="4">
    <w:nsid w:val="9D0EF8EA"/>
    <w:multiLevelType w:val="singleLevel"/>
    <w:tmpl w:val="9D0EF8EA"/>
    <w:lvl w:ilvl="0" w:tentative="0">
      <w:start w:val="1"/>
      <w:numFmt w:val="decimal"/>
      <w:lvlText w:val="%1."/>
      <w:lvlJc w:val="left"/>
      <w:pPr>
        <w:ind w:left="425" w:hanging="425"/>
      </w:pPr>
      <w:rPr>
        <w:rFonts w:hint="default"/>
      </w:rPr>
    </w:lvl>
  </w:abstractNum>
  <w:abstractNum w:abstractNumId="5">
    <w:nsid w:val="9DE01BAA"/>
    <w:multiLevelType w:val="singleLevel"/>
    <w:tmpl w:val="9DE01BAA"/>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6">
    <w:nsid w:val="B00F9105"/>
    <w:multiLevelType w:val="singleLevel"/>
    <w:tmpl w:val="B00F9105"/>
    <w:lvl w:ilvl="0" w:tentative="0">
      <w:start w:val="1"/>
      <w:numFmt w:val="decimal"/>
      <w:suff w:val="nothing"/>
      <w:lvlText w:val="%1．"/>
      <w:lvlJc w:val="left"/>
      <w:pPr>
        <w:ind w:left="0" w:firstLine="400"/>
      </w:pPr>
      <w:rPr>
        <w:rFonts w:hint="default"/>
      </w:rPr>
    </w:lvl>
  </w:abstractNum>
  <w:abstractNum w:abstractNumId="7">
    <w:nsid w:val="B5177B1F"/>
    <w:multiLevelType w:val="singleLevel"/>
    <w:tmpl w:val="B5177B1F"/>
    <w:lvl w:ilvl="0" w:tentative="0">
      <w:start w:val="1"/>
      <w:numFmt w:val="decimal"/>
      <w:suff w:val="nothing"/>
      <w:lvlText w:val="%1．"/>
      <w:lvlJc w:val="left"/>
      <w:pPr>
        <w:ind w:left="0" w:firstLine="400"/>
      </w:pPr>
      <w:rPr>
        <w:rFonts w:hint="default"/>
      </w:rPr>
    </w:lvl>
  </w:abstractNum>
  <w:abstractNum w:abstractNumId="8">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C306A230"/>
    <w:multiLevelType w:val="multilevel"/>
    <w:tmpl w:val="C306A230"/>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CA7B74AF"/>
    <w:multiLevelType w:val="singleLevel"/>
    <w:tmpl w:val="CA7B74AF"/>
    <w:lvl w:ilvl="0" w:tentative="0">
      <w:start w:val="1"/>
      <w:numFmt w:val="decimal"/>
      <w:suff w:val="nothing"/>
      <w:lvlText w:val="%1．"/>
      <w:lvlJc w:val="left"/>
      <w:pPr>
        <w:ind w:left="0" w:firstLine="400"/>
      </w:pPr>
      <w:rPr>
        <w:rFonts w:hint="default"/>
      </w:rPr>
    </w:lvl>
  </w:abstractNum>
  <w:abstractNum w:abstractNumId="11">
    <w:nsid w:val="D5F2503F"/>
    <w:multiLevelType w:val="singleLevel"/>
    <w:tmpl w:val="D5F2503F"/>
    <w:lvl w:ilvl="0" w:tentative="0">
      <w:start w:val="1"/>
      <w:numFmt w:val="decimal"/>
      <w:suff w:val="nothing"/>
      <w:lvlText w:val="%1．"/>
      <w:lvlJc w:val="left"/>
      <w:pPr>
        <w:ind w:left="0" w:firstLine="400"/>
      </w:pPr>
      <w:rPr>
        <w:rFonts w:hint="default"/>
      </w:rPr>
    </w:lvl>
  </w:abstractNum>
  <w:abstractNum w:abstractNumId="12">
    <w:nsid w:val="DDFAAFBB"/>
    <w:multiLevelType w:val="singleLevel"/>
    <w:tmpl w:val="DDFAAFBB"/>
    <w:lvl w:ilvl="0" w:tentative="0">
      <w:start w:val="1"/>
      <w:numFmt w:val="decimal"/>
      <w:lvlText w:val="%1."/>
      <w:lvlJc w:val="left"/>
      <w:pPr>
        <w:ind w:left="425" w:hanging="425"/>
      </w:pPr>
      <w:rPr>
        <w:rFonts w:hint="default"/>
      </w:rPr>
    </w:lvl>
  </w:abstractNum>
  <w:abstractNum w:abstractNumId="13">
    <w:nsid w:val="E1944E9A"/>
    <w:multiLevelType w:val="singleLevel"/>
    <w:tmpl w:val="E1944E9A"/>
    <w:lvl w:ilvl="0" w:tentative="0">
      <w:start w:val="1"/>
      <w:numFmt w:val="decimal"/>
      <w:suff w:val="nothing"/>
      <w:lvlText w:val="%1．"/>
      <w:lvlJc w:val="left"/>
      <w:pPr>
        <w:ind w:left="0" w:firstLine="400"/>
      </w:pPr>
      <w:rPr>
        <w:rFonts w:hint="default"/>
      </w:rPr>
    </w:lvl>
  </w:abstractNum>
  <w:abstractNum w:abstractNumId="14">
    <w:nsid w:val="F48681B9"/>
    <w:multiLevelType w:val="singleLevel"/>
    <w:tmpl w:val="F48681B9"/>
    <w:lvl w:ilvl="0" w:tentative="0">
      <w:start w:val="1"/>
      <w:numFmt w:val="decimal"/>
      <w:suff w:val="nothing"/>
      <w:lvlText w:val="%1．"/>
      <w:lvlJc w:val="left"/>
      <w:pPr>
        <w:ind w:left="0" w:firstLine="400"/>
      </w:pPr>
      <w:rPr>
        <w:rFonts w:hint="default"/>
      </w:rPr>
    </w:lvl>
  </w:abstractNum>
  <w:abstractNum w:abstractNumId="15">
    <w:nsid w:val="07A75C1A"/>
    <w:multiLevelType w:val="singleLevel"/>
    <w:tmpl w:val="07A75C1A"/>
    <w:lvl w:ilvl="0" w:tentative="0">
      <w:start w:val="1"/>
      <w:numFmt w:val="decimal"/>
      <w:suff w:val="nothing"/>
      <w:lvlText w:val="%1．"/>
      <w:lvlJc w:val="left"/>
      <w:pPr>
        <w:ind w:left="0" w:firstLine="400"/>
      </w:pPr>
      <w:rPr>
        <w:rFonts w:hint="default"/>
      </w:rPr>
    </w:lvl>
  </w:abstractNum>
  <w:abstractNum w:abstractNumId="16">
    <w:nsid w:val="0ACD784C"/>
    <w:multiLevelType w:val="singleLevel"/>
    <w:tmpl w:val="0ACD784C"/>
    <w:lvl w:ilvl="0" w:tentative="0">
      <w:start w:val="1"/>
      <w:numFmt w:val="decimal"/>
      <w:suff w:val="nothing"/>
      <w:lvlText w:val="%1．"/>
      <w:lvlJc w:val="left"/>
      <w:pPr>
        <w:ind w:left="0" w:firstLine="400"/>
      </w:pPr>
      <w:rPr>
        <w:rFonts w:hint="default"/>
      </w:rPr>
    </w:lvl>
  </w:abstractNum>
  <w:abstractNum w:abstractNumId="17">
    <w:nsid w:val="183C9884"/>
    <w:multiLevelType w:val="singleLevel"/>
    <w:tmpl w:val="183C9884"/>
    <w:lvl w:ilvl="0" w:tentative="0">
      <w:start w:val="1"/>
      <w:numFmt w:val="decimal"/>
      <w:suff w:val="nothing"/>
      <w:lvlText w:val="%1．"/>
      <w:lvlJc w:val="left"/>
      <w:pPr>
        <w:ind w:left="0" w:firstLine="400"/>
      </w:pPr>
      <w:rPr>
        <w:rFonts w:hint="default"/>
      </w:rPr>
    </w:lvl>
  </w:abstractNum>
  <w:abstractNum w:abstractNumId="18">
    <w:nsid w:val="2E747572"/>
    <w:multiLevelType w:val="singleLevel"/>
    <w:tmpl w:val="2E747572"/>
    <w:lvl w:ilvl="0" w:tentative="0">
      <w:start w:val="1"/>
      <w:numFmt w:val="decimal"/>
      <w:suff w:val="nothing"/>
      <w:lvlText w:val="%1．"/>
      <w:lvlJc w:val="left"/>
      <w:pPr>
        <w:ind w:left="0" w:firstLine="400"/>
      </w:pPr>
      <w:rPr>
        <w:rFonts w:hint="default"/>
      </w:rPr>
    </w:lvl>
  </w:abstractNum>
  <w:abstractNum w:abstractNumId="19">
    <w:nsid w:val="35060D4B"/>
    <w:multiLevelType w:val="singleLevel"/>
    <w:tmpl w:val="35060D4B"/>
    <w:lvl w:ilvl="0" w:tentative="0">
      <w:start w:val="1"/>
      <w:numFmt w:val="decimal"/>
      <w:suff w:val="nothing"/>
      <w:lvlText w:val="%1．"/>
      <w:lvlJc w:val="left"/>
      <w:pPr>
        <w:ind w:left="0" w:firstLine="400"/>
      </w:pPr>
      <w:rPr>
        <w:rFonts w:hint="default"/>
      </w:rPr>
    </w:lvl>
  </w:abstractNum>
  <w:abstractNum w:abstractNumId="20">
    <w:nsid w:val="53C0B21B"/>
    <w:multiLevelType w:val="singleLevel"/>
    <w:tmpl w:val="53C0B21B"/>
    <w:lvl w:ilvl="0" w:tentative="0">
      <w:start w:val="1"/>
      <w:numFmt w:val="decimal"/>
      <w:lvlText w:val="(%1)"/>
      <w:lvlJc w:val="left"/>
      <w:pPr>
        <w:ind w:left="425" w:hanging="425"/>
      </w:pPr>
      <w:rPr>
        <w:rFonts w:hint="default"/>
      </w:rPr>
    </w:lvl>
  </w:abstractNum>
  <w:abstractNum w:abstractNumId="21">
    <w:nsid w:val="55321C28"/>
    <w:multiLevelType w:val="singleLevel"/>
    <w:tmpl w:val="55321C28"/>
    <w:lvl w:ilvl="0" w:tentative="0">
      <w:start w:val="1"/>
      <w:numFmt w:val="decimal"/>
      <w:suff w:val="nothing"/>
      <w:lvlText w:val="%1．"/>
      <w:lvlJc w:val="left"/>
      <w:pPr>
        <w:ind w:left="0" w:firstLine="400"/>
      </w:pPr>
      <w:rPr>
        <w:rFonts w:hint="default"/>
      </w:rPr>
    </w:lvl>
  </w:abstractNum>
  <w:abstractNum w:abstractNumId="22">
    <w:nsid w:val="56CF74A4"/>
    <w:multiLevelType w:val="singleLevel"/>
    <w:tmpl w:val="56CF74A4"/>
    <w:lvl w:ilvl="0" w:tentative="0">
      <w:start w:val="1"/>
      <w:numFmt w:val="decimal"/>
      <w:suff w:val="nothing"/>
      <w:lvlText w:val="%1．"/>
      <w:lvlJc w:val="left"/>
      <w:pPr>
        <w:ind w:left="0" w:firstLine="400"/>
      </w:pPr>
      <w:rPr>
        <w:rFonts w:hint="default"/>
      </w:rPr>
    </w:lvl>
  </w:abstractNum>
  <w:abstractNum w:abstractNumId="23">
    <w:nsid w:val="5A3B1C5D"/>
    <w:multiLevelType w:val="singleLevel"/>
    <w:tmpl w:val="5A3B1C5D"/>
    <w:lvl w:ilvl="0" w:tentative="0">
      <w:start w:val="1"/>
      <w:numFmt w:val="decimal"/>
      <w:lvlText w:val="(%1)"/>
      <w:lvlJc w:val="left"/>
      <w:pPr>
        <w:ind w:left="425" w:hanging="425"/>
      </w:pPr>
      <w:rPr>
        <w:rFonts w:hint="default"/>
      </w:rPr>
    </w:lvl>
  </w:abstractNum>
  <w:abstractNum w:abstractNumId="24">
    <w:nsid w:val="5A948B8B"/>
    <w:multiLevelType w:val="singleLevel"/>
    <w:tmpl w:val="5A948B8B"/>
    <w:lvl w:ilvl="0" w:tentative="0">
      <w:start w:val="1"/>
      <w:numFmt w:val="decimal"/>
      <w:suff w:val="nothing"/>
      <w:lvlText w:val="%1．"/>
      <w:lvlJc w:val="left"/>
      <w:pPr>
        <w:ind w:left="0" w:firstLine="400"/>
      </w:pPr>
      <w:rPr>
        <w:rFonts w:hint="default"/>
      </w:rPr>
    </w:lvl>
  </w:abstractNum>
  <w:abstractNum w:abstractNumId="25">
    <w:nsid w:val="61F647AD"/>
    <w:multiLevelType w:val="multilevel"/>
    <w:tmpl w:val="61F647AD"/>
    <w:lvl w:ilvl="0" w:tentative="0">
      <w:start w:val="1"/>
      <w:numFmt w:val="decimal"/>
      <w:suff w:val="space"/>
      <w:lvlText w:val="%1."/>
      <w:lvlJc w:val="left"/>
      <w:pPr>
        <w:ind w:left="597" w:hanging="425"/>
      </w:pPr>
      <w:rPr>
        <w:rFonts w:hint="default"/>
        <w:color w:val="000000" w:themeColor="text1"/>
        <w14:textFill>
          <w14:solidFill>
            <w14:schemeClr w14:val="tx1"/>
          </w14:solidFill>
        </w14:textFill>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6">
    <w:nsid w:val="620D0264"/>
    <w:multiLevelType w:val="singleLevel"/>
    <w:tmpl w:val="620D0264"/>
    <w:lvl w:ilvl="0" w:tentative="0">
      <w:start w:val="1"/>
      <w:numFmt w:val="decimal"/>
      <w:suff w:val="nothing"/>
      <w:lvlText w:val="%1．"/>
      <w:lvlJc w:val="left"/>
      <w:pPr>
        <w:ind w:left="0" w:firstLine="400"/>
      </w:pPr>
      <w:rPr>
        <w:rFonts w:hint="default"/>
      </w:rPr>
    </w:lvl>
  </w:abstractNum>
  <w:abstractNum w:abstractNumId="27">
    <w:nsid w:val="70D19E47"/>
    <w:multiLevelType w:val="multilevel"/>
    <w:tmpl w:val="70D19E47"/>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suff w:val="nothing"/>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8">
    <w:nsid w:val="77B2A1AF"/>
    <w:multiLevelType w:val="multilevel"/>
    <w:tmpl w:val="77B2A1AF"/>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9">
    <w:nsid w:val="7B1B3977"/>
    <w:multiLevelType w:val="multilevel"/>
    <w:tmpl w:val="7B1B397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0">
    <w:nsid w:val="7DB54632"/>
    <w:multiLevelType w:val="singleLevel"/>
    <w:tmpl w:val="7DB54632"/>
    <w:lvl w:ilvl="0" w:tentative="0">
      <w:start w:val="1"/>
      <w:numFmt w:val="decimal"/>
      <w:suff w:val="nothing"/>
      <w:lvlText w:val="%1．"/>
      <w:lvlJc w:val="left"/>
      <w:pPr>
        <w:ind w:left="0" w:firstLine="400"/>
      </w:pPr>
      <w:rPr>
        <w:rFonts w:hint="default"/>
      </w:rPr>
    </w:lvl>
  </w:abstractNum>
  <w:num w:numId="1">
    <w:abstractNumId w:val="27"/>
  </w:num>
  <w:num w:numId="2">
    <w:abstractNumId w:val="25"/>
  </w:num>
  <w:num w:numId="3">
    <w:abstractNumId w:val="29"/>
  </w:num>
  <w:num w:numId="4">
    <w:abstractNumId w:val="9"/>
  </w:num>
  <w:num w:numId="5">
    <w:abstractNumId w:val="28"/>
  </w:num>
  <w:num w:numId="6">
    <w:abstractNumId w:val="4"/>
  </w:num>
  <w:num w:numId="7">
    <w:abstractNumId w:val="2"/>
  </w:num>
  <w:num w:numId="8">
    <w:abstractNumId w:val="12"/>
  </w:num>
  <w:num w:numId="9">
    <w:abstractNumId w:val="8"/>
  </w:num>
  <w:num w:numId="10">
    <w:abstractNumId w:val="1"/>
  </w:num>
  <w:num w:numId="11">
    <w:abstractNumId w:val="20"/>
  </w:num>
  <w:num w:numId="12">
    <w:abstractNumId w:val="24"/>
  </w:num>
  <w:num w:numId="13">
    <w:abstractNumId w:val="13"/>
  </w:num>
  <w:num w:numId="14">
    <w:abstractNumId w:val="18"/>
  </w:num>
  <w:num w:numId="15">
    <w:abstractNumId w:val="23"/>
  </w:num>
  <w:num w:numId="16">
    <w:abstractNumId w:val="21"/>
  </w:num>
  <w:num w:numId="17">
    <w:abstractNumId w:val="17"/>
  </w:num>
  <w:num w:numId="18">
    <w:abstractNumId w:val="7"/>
  </w:num>
  <w:num w:numId="19">
    <w:abstractNumId w:val="16"/>
  </w:num>
  <w:num w:numId="20">
    <w:abstractNumId w:val="0"/>
  </w:num>
  <w:num w:numId="21">
    <w:abstractNumId w:val="11"/>
  </w:num>
  <w:num w:numId="22">
    <w:abstractNumId w:val="3"/>
  </w:num>
  <w:num w:numId="23">
    <w:abstractNumId w:val="19"/>
  </w:num>
  <w:num w:numId="24">
    <w:abstractNumId w:val="6"/>
  </w:num>
  <w:num w:numId="25">
    <w:abstractNumId w:val="22"/>
  </w:num>
  <w:num w:numId="26">
    <w:abstractNumId w:val="30"/>
  </w:num>
  <w:num w:numId="27">
    <w:abstractNumId w:val="10"/>
  </w:num>
  <w:num w:numId="28">
    <w:abstractNumId w:val="15"/>
  </w:num>
  <w:num w:numId="29">
    <w:abstractNumId w:val="14"/>
  </w:num>
  <w:num w:numId="30">
    <w:abstractNumId w:val="26"/>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wNjcwZmEyZDk3MjRmZDJjZGRhODg5ZmIxMGUxOWIifQ=="/>
  </w:docVars>
  <w:rsids>
    <w:rsidRoot w:val="00700362"/>
    <w:rsid w:val="00004FDA"/>
    <w:rsid w:val="000B04FE"/>
    <w:rsid w:val="00132032"/>
    <w:rsid w:val="001C2100"/>
    <w:rsid w:val="002B5D27"/>
    <w:rsid w:val="003E7B18"/>
    <w:rsid w:val="003F03D1"/>
    <w:rsid w:val="00490F78"/>
    <w:rsid w:val="004B664F"/>
    <w:rsid w:val="00544941"/>
    <w:rsid w:val="00555502"/>
    <w:rsid w:val="00593038"/>
    <w:rsid w:val="00683642"/>
    <w:rsid w:val="006E2DDE"/>
    <w:rsid w:val="00700362"/>
    <w:rsid w:val="00703A42"/>
    <w:rsid w:val="00777BF6"/>
    <w:rsid w:val="00926C8B"/>
    <w:rsid w:val="00926F58"/>
    <w:rsid w:val="009F21E7"/>
    <w:rsid w:val="00A61833"/>
    <w:rsid w:val="00BF64AF"/>
    <w:rsid w:val="00D46EDA"/>
    <w:rsid w:val="00D517F4"/>
    <w:rsid w:val="00E67E35"/>
    <w:rsid w:val="00ED1C98"/>
    <w:rsid w:val="00F123AF"/>
    <w:rsid w:val="03642C85"/>
    <w:rsid w:val="03AD287E"/>
    <w:rsid w:val="05F964A2"/>
    <w:rsid w:val="062F3A3A"/>
    <w:rsid w:val="06B33653"/>
    <w:rsid w:val="0731580B"/>
    <w:rsid w:val="073B2FFD"/>
    <w:rsid w:val="08990BCB"/>
    <w:rsid w:val="08CA6CBB"/>
    <w:rsid w:val="08E04B71"/>
    <w:rsid w:val="093A3588"/>
    <w:rsid w:val="095F763D"/>
    <w:rsid w:val="096473F5"/>
    <w:rsid w:val="0BF4099A"/>
    <w:rsid w:val="0D39327C"/>
    <w:rsid w:val="0E122ED0"/>
    <w:rsid w:val="0E4869BE"/>
    <w:rsid w:val="0E617CB9"/>
    <w:rsid w:val="0EE3107B"/>
    <w:rsid w:val="0EF41315"/>
    <w:rsid w:val="10272128"/>
    <w:rsid w:val="105834B3"/>
    <w:rsid w:val="106464FE"/>
    <w:rsid w:val="115A6918"/>
    <w:rsid w:val="11B938A8"/>
    <w:rsid w:val="11D44D9D"/>
    <w:rsid w:val="12453AF7"/>
    <w:rsid w:val="131C29E9"/>
    <w:rsid w:val="146A4F99"/>
    <w:rsid w:val="15161464"/>
    <w:rsid w:val="15302525"/>
    <w:rsid w:val="162B22EC"/>
    <w:rsid w:val="1A3B007B"/>
    <w:rsid w:val="1A4B35E4"/>
    <w:rsid w:val="1B10101D"/>
    <w:rsid w:val="1B3A5814"/>
    <w:rsid w:val="1BEC70AB"/>
    <w:rsid w:val="1CB4486B"/>
    <w:rsid w:val="1E5660C5"/>
    <w:rsid w:val="1F10520A"/>
    <w:rsid w:val="20D97901"/>
    <w:rsid w:val="21894F27"/>
    <w:rsid w:val="225F4807"/>
    <w:rsid w:val="226D49C9"/>
    <w:rsid w:val="25062233"/>
    <w:rsid w:val="255549CD"/>
    <w:rsid w:val="26A56238"/>
    <w:rsid w:val="26E76D98"/>
    <w:rsid w:val="275A5024"/>
    <w:rsid w:val="27B4350B"/>
    <w:rsid w:val="28606A11"/>
    <w:rsid w:val="2A665E1A"/>
    <w:rsid w:val="2AD71E4C"/>
    <w:rsid w:val="2C2D4686"/>
    <w:rsid w:val="2C8C70A2"/>
    <w:rsid w:val="2D355CE0"/>
    <w:rsid w:val="2DB84DAF"/>
    <w:rsid w:val="320761D2"/>
    <w:rsid w:val="32FF7EB7"/>
    <w:rsid w:val="353F3C69"/>
    <w:rsid w:val="357E757C"/>
    <w:rsid w:val="36BB3D77"/>
    <w:rsid w:val="38EA4DB3"/>
    <w:rsid w:val="39E331D2"/>
    <w:rsid w:val="3B0E5C5E"/>
    <w:rsid w:val="3BA15EE2"/>
    <w:rsid w:val="3C1744FA"/>
    <w:rsid w:val="3C6A5E0A"/>
    <w:rsid w:val="3E3C48FD"/>
    <w:rsid w:val="3E725C32"/>
    <w:rsid w:val="40462ED7"/>
    <w:rsid w:val="40622AB1"/>
    <w:rsid w:val="4C4C7C20"/>
    <w:rsid w:val="4CF41255"/>
    <w:rsid w:val="51C770FB"/>
    <w:rsid w:val="53E21E30"/>
    <w:rsid w:val="54836BEC"/>
    <w:rsid w:val="561B71B4"/>
    <w:rsid w:val="57E918BC"/>
    <w:rsid w:val="5A0F46DC"/>
    <w:rsid w:val="5B0A2F3D"/>
    <w:rsid w:val="5C685E15"/>
    <w:rsid w:val="5CAE3391"/>
    <w:rsid w:val="5CF4539B"/>
    <w:rsid w:val="5D1E440A"/>
    <w:rsid w:val="5E6261E1"/>
    <w:rsid w:val="5F1429C8"/>
    <w:rsid w:val="5F574813"/>
    <w:rsid w:val="5F7B4E36"/>
    <w:rsid w:val="5FCB425A"/>
    <w:rsid w:val="5FDC1FC3"/>
    <w:rsid w:val="600B15CC"/>
    <w:rsid w:val="60250E69"/>
    <w:rsid w:val="608D15AC"/>
    <w:rsid w:val="61B63590"/>
    <w:rsid w:val="62177F67"/>
    <w:rsid w:val="63E818F6"/>
    <w:rsid w:val="64B9579D"/>
    <w:rsid w:val="65605444"/>
    <w:rsid w:val="661F2C0A"/>
    <w:rsid w:val="66441755"/>
    <w:rsid w:val="666A0329"/>
    <w:rsid w:val="66A1591D"/>
    <w:rsid w:val="66CB2AFE"/>
    <w:rsid w:val="67BC6CEB"/>
    <w:rsid w:val="67C11F46"/>
    <w:rsid w:val="67E97104"/>
    <w:rsid w:val="69FD6AD5"/>
    <w:rsid w:val="6CB27040"/>
    <w:rsid w:val="6D324426"/>
    <w:rsid w:val="6EFB7D4E"/>
    <w:rsid w:val="713816C4"/>
    <w:rsid w:val="71533A79"/>
    <w:rsid w:val="725C5D19"/>
    <w:rsid w:val="74904F21"/>
    <w:rsid w:val="752B3379"/>
    <w:rsid w:val="77034864"/>
    <w:rsid w:val="778D3715"/>
    <w:rsid w:val="78583717"/>
    <w:rsid w:val="78A82EF9"/>
    <w:rsid w:val="78F9378E"/>
    <w:rsid w:val="79FD71B2"/>
    <w:rsid w:val="7A33538F"/>
    <w:rsid w:val="7AFB2BD3"/>
    <w:rsid w:val="7B386719"/>
    <w:rsid w:val="7B822664"/>
    <w:rsid w:val="7BA934F5"/>
    <w:rsid w:val="7BC84478"/>
    <w:rsid w:val="7C1E59E5"/>
    <w:rsid w:val="7C547659"/>
    <w:rsid w:val="7D6E1CFA"/>
    <w:rsid w:val="7DC26844"/>
    <w:rsid w:val="7F843F41"/>
    <w:rsid w:val="7FA05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0"/>
    <w:pPr>
      <w:keepNext/>
      <w:keepLines/>
      <w:numPr>
        <w:ilvl w:val="0"/>
        <w:numId w:val="1"/>
      </w:numPr>
      <w:spacing w:after="0" w:line="360" w:lineRule="auto"/>
      <w:outlineLvl w:val="0"/>
    </w:pPr>
    <w:rPr>
      <w:rFonts w:ascii="宋体" w:hAnsi="宋体" w:eastAsia="宋体" w:cs="宋体"/>
      <w:b/>
      <w:kern w:val="44"/>
      <w:sz w:val="28"/>
      <w:szCs w:val="28"/>
      <w:lang w:eastAsia="zh-CN"/>
    </w:rPr>
  </w:style>
  <w:style w:type="paragraph" w:styleId="3">
    <w:name w:val="heading 2"/>
    <w:basedOn w:val="1"/>
    <w:next w:val="1"/>
    <w:unhideWhenUsed/>
    <w:qFormat/>
    <w:uiPriority w:val="0"/>
    <w:pPr>
      <w:keepNext/>
      <w:keepLines/>
      <w:numPr>
        <w:ilvl w:val="1"/>
        <w:numId w:val="1"/>
      </w:numPr>
      <w:spacing w:after="0" w:line="360" w:lineRule="auto"/>
      <w:outlineLvl w:val="1"/>
    </w:pPr>
    <w:rPr>
      <w:rFonts w:ascii="宋体" w:hAnsi="宋体" w:eastAsia="宋体" w:cs="宋体"/>
      <w:b/>
      <w:sz w:val="28"/>
      <w:szCs w:val="28"/>
      <w:lang w:eastAsia="zh-CN"/>
    </w:rPr>
  </w:style>
  <w:style w:type="paragraph" w:styleId="4">
    <w:name w:val="heading 3"/>
    <w:basedOn w:val="1"/>
    <w:next w:val="1"/>
    <w:unhideWhenUsed/>
    <w:qFormat/>
    <w:uiPriority w:val="0"/>
    <w:pPr>
      <w:keepNext/>
      <w:keepLines/>
      <w:numPr>
        <w:ilvl w:val="2"/>
        <w:numId w:val="1"/>
      </w:numPr>
      <w:tabs>
        <w:tab w:val="left" w:pos="0"/>
      </w:tabs>
      <w:spacing w:after="0" w:line="360" w:lineRule="auto"/>
      <w:outlineLvl w:val="2"/>
    </w:pPr>
    <w:rPr>
      <w:rFonts w:ascii="宋体" w:hAnsi="宋体" w:eastAsia="宋体" w:cs="宋体"/>
      <w:b/>
      <w:sz w:val="28"/>
      <w:szCs w:val="24"/>
      <w:lang w:eastAsia="zh-CN"/>
    </w:rPr>
  </w:style>
  <w:style w:type="paragraph" w:styleId="5">
    <w:name w:val="heading 4"/>
    <w:basedOn w:val="1"/>
    <w:next w:val="1"/>
    <w:unhideWhenUsed/>
    <w:qFormat/>
    <w:uiPriority w:val="0"/>
    <w:pPr>
      <w:keepNext/>
      <w:keepLines/>
      <w:numPr>
        <w:ilvl w:val="3"/>
        <w:numId w:val="1"/>
      </w:numPr>
      <w:spacing w:after="0" w:line="360" w:lineRule="auto"/>
      <w:outlineLvl w:val="3"/>
    </w:pPr>
    <w:rPr>
      <w:rFonts w:ascii="宋体" w:hAnsi="宋体" w:eastAsia="宋体" w:cs="宋体"/>
      <w:b/>
      <w:sz w:val="28"/>
      <w:lang w:eastAsia="zh-CN"/>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caption"/>
    <w:basedOn w:val="1"/>
    <w:next w:val="1"/>
    <w:qFormat/>
    <w:uiPriority w:val="99"/>
    <w:rPr>
      <w:rFonts w:ascii="宋体" w:hAnsi="Arial" w:cs="Arial"/>
      <w:sz w:val="28"/>
      <w:szCs w:val="20"/>
    </w:rPr>
  </w:style>
  <w:style w:type="paragraph" w:styleId="7">
    <w:name w:val="annotation text"/>
    <w:basedOn w:val="1"/>
    <w:link w:val="27"/>
    <w:qFormat/>
    <w:uiPriority w:val="0"/>
  </w:style>
  <w:style w:type="paragraph" w:styleId="8">
    <w:name w:val="Body Text"/>
    <w:basedOn w:val="1"/>
    <w:next w:val="1"/>
    <w:qFormat/>
    <w:uiPriority w:val="0"/>
    <w:pPr>
      <w:spacing w:after="120"/>
    </w:pPr>
    <w:rPr>
      <w:sz w:val="20"/>
      <w:szCs w:val="24"/>
    </w:rPr>
  </w:style>
  <w:style w:type="paragraph" w:styleId="9">
    <w:name w:val="toc 3"/>
    <w:basedOn w:val="1"/>
    <w:next w:val="1"/>
    <w:qFormat/>
    <w:uiPriority w:val="39"/>
    <w:pPr>
      <w:ind w:left="840" w:leftChars="400"/>
    </w:pPr>
    <w:rPr>
      <w:rFonts w:eastAsiaTheme="minorEastAsia"/>
    </w:rPr>
  </w:style>
  <w:style w:type="paragraph" w:styleId="10">
    <w:name w:val="footer"/>
    <w:basedOn w:val="1"/>
    <w:qFormat/>
    <w:uiPriority w:val="0"/>
    <w:pPr>
      <w:tabs>
        <w:tab w:val="center" w:pos="4153"/>
        <w:tab w:val="right" w:pos="8306"/>
      </w:tabs>
      <w:snapToGrid w:val="0"/>
    </w:pPr>
    <w:rPr>
      <w:sz w:val="18"/>
    </w:rPr>
  </w:style>
  <w:style w:type="paragraph" w:styleId="11">
    <w:name w:val="header"/>
    <w:basedOn w:val="1"/>
    <w:link w:val="30"/>
    <w:qFormat/>
    <w:uiPriority w:val="0"/>
    <w:pPr>
      <w:tabs>
        <w:tab w:val="center" w:pos="4153"/>
        <w:tab w:val="right" w:pos="8306"/>
      </w:tabs>
      <w:snapToGrid w:val="0"/>
      <w:spacing w:line="240" w:lineRule="auto"/>
      <w:jc w:val="center"/>
    </w:pPr>
    <w:rPr>
      <w:sz w:val="18"/>
      <w:szCs w:val="18"/>
    </w:rPr>
  </w:style>
  <w:style w:type="paragraph" w:styleId="12">
    <w:name w:val="toc 1"/>
    <w:basedOn w:val="1"/>
    <w:next w:val="1"/>
    <w:qFormat/>
    <w:uiPriority w:val="39"/>
    <w:rPr>
      <w:rFonts w:eastAsia="宋体"/>
    </w:rPr>
  </w:style>
  <w:style w:type="paragraph" w:styleId="13">
    <w:name w:val="toc 2"/>
    <w:basedOn w:val="1"/>
    <w:next w:val="1"/>
    <w:qFormat/>
    <w:uiPriority w:val="39"/>
    <w:pPr>
      <w:ind w:left="420" w:leftChars="200"/>
    </w:pPr>
  </w:style>
  <w:style w:type="paragraph" w:styleId="14">
    <w:name w:val="Normal (Web)"/>
    <w:basedOn w:val="1"/>
    <w:qFormat/>
    <w:uiPriority w:val="0"/>
    <w:pPr>
      <w:spacing w:beforeAutospacing="1" w:after="0" w:afterAutospacing="1"/>
    </w:pPr>
    <w:rPr>
      <w:rFonts w:cs="Times New Roman"/>
      <w:sz w:val="24"/>
      <w:lang w:eastAsia="zh-CN"/>
    </w:rPr>
  </w:style>
  <w:style w:type="paragraph" w:styleId="15">
    <w:name w:val="annotation subject"/>
    <w:basedOn w:val="7"/>
    <w:next w:val="7"/>
    <w:link w:val="28"/>
    <w:qFormat/>
    <w:uiPriority w:val="0"/>
    <w:rPr>
      <w:b/>
      <w:bCs/>
    </w:rPr>
  </w:style>
  <w:style w:type="character" w:styleId="18">
    <w:name w:val="annotation reference"/>
    <w:basedOn w:val="17"/>
    <w:qFormat/>
    <w:uiPriority w:val="0"/>
    <w:rPr>
      <w:sz w:val="21"/>
      <w:szCs w:val="21"/>
    </w:rPr>
  </w:style>
  <w:style w:type="paragraph" w:customStyle="1" w:styleId="1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0">
    <w:name w:val="GEDI正文样式"/>
    <w:basedOn w:val="21"/>
    <w:qFormat/>
    <w:uiPriority w:val="0"/>
    <w:pPr>
      <w:adjustRightInd w:val="0"/>
      <w:snapToGrid w:val="0"/>
      <w:spacing w:line="480" w:lineRule="atLeast"/>
    </w:pPr>
  </w:style>
  <w:style w:type="paragraph" w:customStyle="1" w:styleId="21">
    <w:name w:val="正文文字样式"/>
    <w:basedOn w:val="1"/>
    <w:qFormat/>
    <w:uiPriority w:val="0"/>
    <w:pPr>
      <w:ind w:firstLine="480"/>
    </w:p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rPr>
      <w:rFonts w:ascii="宋体" w:hAnsi="宋体" w:eastAsia="宋体" w:cs="宋体"/>
      <w:sz w:val="20"/>
      <w:szCs w:val="20"/>
    </w:rPr>
  </w:style>
  <w:style w:type="character" w:customStyle="1" w:styleId="24">
    <w:name w:val="font11"/>
    <w:basedOn w:val="17"/>
    <w:qFormat/>
    <w:uiPriority w:val="0"/>
    <w:rPr>
      <w:rFonts w:hint="eastAsia" w:ascii="微软雅黑" w:hAnsi="微软雅黑" w:eastAsia="微软雅黑" w:cs="微软雅黑"/>
      <w:color w:val="000000"/>
      <w:sz w:val="16"/>
      <w:szCs w:val="16"/>
      <w:u w:val="none"/>
    </w:rPr>
  </w:style>
  <w:style w:type="paragraph" w:customStyle="1" w:styleId="25">
    <w:name w:val="正文1"/>
    <w:basedOn w:val="1"/>
    <w:qFormat/>
    <w:uiPriority w:val="0"/>
    <w:pPr>
      <w:snapToGrid w:val="0"/>
      <w:spacing w:line="480" w:lineRule="atLeast"/>
      <w:ind w:firstLine="567"/>
    </w:pPr>
    <w:rPr>
      <w:rFonts w:ascii="宋体" w:hAnsi="宋体" w:cs="宋体"/>
      <w:sz w:val="28"/>
      <w:szCs w:val="24"/>
      <w:lang w:val="sq-AL"/>
    </w:rPr>
  </w:style>
  <w:style w:type="paragraph" w:customStyle="1" w:styleId="26">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7">
    <w:name w:val="批注文字 字符"/>
    <w:basedOn w:val="17"/>
    <w:link w:val="7"/>
    <w:qFormat/>
    <w:uiPriority w:val="0"/>
    <w:rPr>
      <w:rFonts w:asciiTheme="minorHAnsi" w:hAnsiTheme="minorHAnsi" w:eastAsiaTheme="minorHAnsi" w:cstheme="minorBidi"/>
      <w:sz w:val="22"/>
      <w:szCs w:val="22"/>
      <w:lang w:eastAsia="en-US"/>
    </w:rPr>
  </w:style>
  <w:style w:type="character" w:customStyle="1" w:styleId="28">
    <w:name w:val="批注主题 字符"/>
    <w:basedOn w:val="27"/>
    <w:link w:val="15"/>
    <w:qFormat/>
    <w:uiPriority w:val="0"/>
    <w:rPr>
      <w:rFonts w:asciiTheme="minorHAnsi" w:hAnsiTheme="minorHAnsi" w:eastAsiaTheme="minorHAnsi" w:cstheme="minorBidi"/>
      <w:b/>
      <w:bCs/>
      <w:sz w:val="22"/>
      <w:szCs w:val="22"/>
      <w:lang w:eastAsia="en-US"/>
    </w:rPr>
  </w:style>
  <w:style w:type="paragraph" w:customStyle="1" w:styleId="29">
    <w:name w:val="Revision"/>
    <w:hidden/>
    <w:unhideWhenUsed/>
    <w:qFormat/>
    <w:uiPriority w:val="99"/>
    <w:rPr>
      <w:rFonts w:asciiTheme="minorHAnsi" w:hAnsiTheme="minorHAnsi" w:eastAsiaTheme="minorHAnsi" w:cstheme="minorBidi"/>
      <w:sz w:val="22"/>
      <w:szCs w:val="22"/>
      <w:lang w:val="en-US" w:eastAsia="en-US" w:bidi="ar-SA"/>
    </w:rPr>
  </w:style>
  <w:style w:type="character" w:customStyle="1" w:styleId="30">
    <w:name w:val="页眉 字符"/>
    <w:basedOn w:val="17"/>
    <w:link w:val="11"/>
    <w:qFormat/>
    <w:uiPriority w:val="0"/>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7821</Words>
  <Characters>8444</Characters>
  <Lines>264</Lines>
  <Paragraphs>74</Paragraphs>
  <TotalTime>0</TotalTime>
  <ScaleCrop>false</ScaleCrop>
  <LinksUpToDate>false</LinksUpToDate>
  <CharactersWithSpaces>8511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2025-06-22T08:08:00Z</dcterms:created>
  <dc:creator>34334</dc:creator>
  <cp:lastModifiedBy>童清雄</cp:lastModifiedBy>
  <cp:lastPrinted>2025-03-17T09:11:00Z</cp:lastPrinted>
  <dcterms:modified xsi:type="dcterms:W3CDTF">2025-07-14T07:12:33Z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B6F747947EEA4711A5C15DFA3B6C4116</vt:lpwstr>
  </property>
  <property fmtid="{D5CDD505-2E9C-101B-9397-08002B2CF9AE}" pid="4" name="KSOTemplateDocerSaveRecord">
    <vt:lpwstr>eyJoZGlkIjoiNzI1MzljODBiNDliMzEyMzFlZWNlN2EzYjU0N2YzMWEiLCJ1c2VySWQiOiI2Mzc2OTA4NTMifQ==</vt:lpwstr>
  </property>
</Properties>
</file>