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07991">
      <w:pPr>
        <w:jc w:val="center"/>
        <w:rPr>
          <w:rFonts w:hint="eastAsia" w:ascii="仿宋_GB2312" w:hAnsi="仿宋_GB2312" w:eastAsia="仿宋_GB2312" w:cs="仿宋_GB2312"/>
          <w:b/>
          <w:bCs/>
          <w:sz w:val="32"/>
          <w:szCs w:val="32"/>
          <w:u w:val="single"/>
          <w:lang w:val="en-US" w:eastAsia="zh-CN"/>
        </w:rPr>
      </w:pPr>
      <w:r>
        <w:rPr>
          <w:rFonts w:hint="eastAsia" w:ascii="仿宋_GB2312" w:hAnsi="仿宋_GB2312" w:eastAsia="仿宋_GB2312" w:cs="仿宋_GB2312"/>
          <w:b/>
          <w:bCs/>
          <w:sz w:val="32"/>
          <w:szCs w:val="32"/>
          <w:u w:val="single"/>
        </w:rPr>
        <w:t>深圳南方电网深港科技创新有限公司202</w:t>
      </w:r>
      <w:r>
        <w:rPr>
          <w:rFonts w:hint="eastAsia" w:ascii="仿宋_GB2312" w:hAnsi="仿宋_GB2312" w:eastAsia="仿宋_GB2312" w:cs="仿宋_GB2312"/>
          <w:b/>
          <w:bCs/>
          <w:sz w:val="32"/>
          <w:szCs w:val="32"/>
          <w:u w:val="single"/>
          <w:lang w:val="en-US" w:eastAsia="zh-CN"/>
        </w:rPr>
        <w:t>5-2027</w:t>
      </w:r>
      <w:r>
        <w:rPr>
          <w:rFonts w:hint="eastAsia" w:ascii="仿宋_GB2312" w:hAnsi="仿宋_GB2312" w:eastAsia="仿宋_GB2312" w:cs="仿宋_GB2312"/>
          <w:b/>
          <w:bCs/>
          <w:sz w:val="32"/>
          <w:szCs w:val="32"/>
          <w:u w:val="single"/>
        </w:rPr>
        <w:t>年知识产权管理体系认证资质（再认证、监审）咨询服务</w:t>
      </w:r>
      <w:r>
        <w:rPr>
          <w:rFonts w:hint="eastAsia" w:ascii="仿宋_GB2312" w:hAnsi="仿宋_GB2312" w:eastAsia="仿宋_GB2312" w:cs="仿宋_GB2312"/>
          <w:b/>
          <w:bCs/>
          <w:sz w:val="32"/>
          <w:szCs w:val="32"/>
          <w:u w:val="single"/>
          <w:lang w:val="en-US" w:eastAsia="zh-CN"/>
        </w:rPr>
        <w:t>零星采购项目</w:t>
      </w:r>
    </w:p>
    <w:p w14:paraId="3D6A5385">
      <w:pPr>
        <w:jc w:val="center"/>
        <w:rPr>
          <w:rFonts w:hint="eastAsia" w:ascii="仿宋_GB2312" w:hAnsi="仿宋_GB2312" w:eastAsia="仿宋_GB2312" w:cs="仿宋_GB2312"/>
          <w:b/>
          <w:bCs/>
          <w:sz w:val="32"/>
          <w:szCs w:val="32"/>
          <w:u w:val="none"/>
        </w:rPr>
      </w:pPr>
      <w:r>
        <w:rPr>
          <w:rFonts w:hint="eastAsia" w:ascii="仿宋_GB2312" w:hAnsi="仿宋_GB2312" w:eastAsia="仿宋_GB2312" w:cs="仿宋_GB2312"/>
          <w:b/>
          <w:bCs/>
          <w:sz w:val="32"/>
          <w:szCs w:val="32"/>
          <w:u w:val="none"/>
        </w:rPr>
        <w:t>报价明细表</w:t>
      </w:r>
    </w:p>
    <w:p w14:paraId="02BA1102">
      <w:pPr>
        <w:rPr>
          <w:rFonts w:hint="eastAsia"/>
        </w:rPr>
      </w:pPr>
    </w:p>
    <w:tbl>
      <w:tblPr>
        <w:tblStyle w:val="7"/>
        <w:tblpPr w:leftFromText="180" w:rightFromText="180" w:vertAnchor="text" w:horzAnchor="page" w:tblpX="1611" w:tblpY="115"/>
        <w:tblOverlap w:val="never"/>
        <w:tblW w:w="8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6"/>
        <w:gridCol w:w="1919"/>
        <w:gridCol w:w="1661"/>
        <w:gridCol w:w="1661"/>
        <w:gridCol w:w="1661"/>
      </w:tblGrid>
      <w:tr w14:paraId="4905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756" w:type="dxa"/>
            <w:vAlign w:val="center"/>
          </w:tcPr>
          <w:p w14:paraId="4E9467A7">
            <w:pPr>
              <w:keepNext w:val="0"/>
              <w:keepLines w:val="0"/>
              <w:widowControl/>
              <w:suppressLineNumbers w:val="0"/>
              <w:jc w:val="center"/>
              <w:textAlignment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采购内容</w:t>
            </w:r>
          </w:p>
        </w:tc>
        <w:tc>
          <w:tcPr>
            <w:tcW w:w="1919" w:type="dxa"/>
            <w:vAlign w:val="center"/>
          </w:tcPr>
          <w:p w14:paraId="5B6EA8C4">
            <w:pPr>
              <w:keepNext w:val="0"/>
              <w:keepLines w:val="0"/>
              <w:widowControl/>
              <w:suppressLineNumbers w:val="0"/>
              <w:jc w:val="center"/>
              <w:textAlignment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阶段</w:t>
            </w:r>
          </w:p>
        </w:tc>
        <w:tc>
          <w:tcPr>
            <w:tcW w:w="1661" w:type="dxa"/>
            <w:vAlign w:val="center"/>
          </w:tcPr>
          <w:p w14:paraId="363A96B5">
            <w:pPr>
              <w:keepNext w:val="0"/>
              <w:keepLines w:val="0"/>
              <w:widowControl/>
              <w:suppressLineNumbers w:val="0"/>
              <w:jc w:val="center"/>
              <w:textAlignment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费用（元）</w:t>
            </w:r>
          </w:p>
        </w:tc>
        <w:tc>
          <w:tcPr>
            <w:tcW w:w="1661" w:type="dxa"/>
            <w:vAlign w:val="center"/>
          </w:tcPr>
          <w:p w14:paraId="03D4A553">
            <w:pPr>
              <w:keepNext w:val="0"/>
              <w:keepLines w:val="0"/>
              <w:widowControl/>
              <w:suppressLineNumbers w:val="0"/>
              <w:jc w:val="center"/>
              <w:textAlignment w:val="center"/>
              <w:rPr>
                <w:rFonts w:hint="default" w:ascii="仿宋_GB2312" w:hAnsi="仿宋_GB2312" w:eastAsia="仿宋_GB2312" w:cs="仿宋_GB2312"/>
                <w:sz w:val="24"/>
                <w:szCs w:val="24"/>
                <w:vertAlign w:val="baseline"/>
                <w:lang w:val="en-US"/>
              </w:rPr>
            </w:pPr>
            <w:r>
              <w:rPr>
                <w:rFonts w:hint="eastAsia" w:ascii="仿宋_GB2312" w:hAnsi="仿宋_GB2312" w:eastAsia="仿宋_GB2312" w:cs="仿宋_GB2312"/>
                <w:i w:val="0"/>
                <w:iCs w:val="0"/>
                <w:color w:val="000000"/>
                <w:kern w:val="0"/>
                <w:sz w:val="24"/>
                <w:szCs w:val="24"/>
                <w:u w:val="none"/>
                <w:lang w:val="en-US" w:eastAsia="zh-CN" w:bidi="ar"/>
              </w:rPr>
              <w:t>支付条件</w:t>
            </w:r>
          </w:p>
        </w:tc>
        <w:tc>
          <w:tcPr>
            <w:tcW w:w="1661" w:type="dxa"/>
            <w:vAlign w:val="center"/>
          </w:tcPr>
          <w:p w14:paraId="60DA63D0">
            <w:pPr>
              <w:keepNext w:val="0"/>
              <w:keepLines w:val="0"/>
              <w:widowControl/>
              <w:suppressLineNumbers w:val="0"/>
              <w:jc w:val="center"/>
              <w:textAlignment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i w:val="0"/>
                <w:iCs w:val="0"/>
                <w:color w:val="000000"/>
                <w:kern w:val="0"/>
                <w:sz w:val="24"/>
                <w:szCs w:val="24"/>
                <w:u w:val="none"/>
                <w:lang w:val="en-US" w:eastAsia="zh-CN" w:bidi="ar"/>
              </w:rPr>
              <w:t>税率</w:t>
            </w:r>
          </w:p>
        </w:tc>
      </w:tr>
      <w:tr w14:paraId="425FE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756" w:type="dxa"/>
            <w:vMerge w:val="restart"/>
            <w:vAlign w:val="center"/>
          </w:tcPr>
          <w:p w14:paraId="774E0776">
            <w:pPr>
              <w:keepNext w:val="0"/>
              <w:keepLines w:val="0"/>
              <w:widowControl/>
              <w:suppressLineNumbers w:val="0"/>
              <w:jc w:val="center"/>
              <w:textAlignment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i w:val="0"/>
                <w:iCs w:val="0"/>
                <w:color w:val="000000"/>
                <w:kern w:val="0"/>
                <w:sz w:val="24"/>
                <w:szCs w:val="24"/>
                <w:u w:val="none"/>
                <w:lang w:val="en-US" w:eastAsia="zh-CN" w:bidi="ar"/>
              </w:rPr>
              <w:t>2025-2027年知识产权管理体系认证资质（再认证、监审）咨询服务</w:t>
            </w:r>
          </w:p>
        </w:tc>
        <w:tc>
          <w:tcPr>
            <w:tcW w:w="1919" w:type="dxa"/>
            <w:vAlign w:val="center"/>
          </w:tcPr>
          <w:p w14:paraId="3FDFB578">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首次认证</w:t>
            </w:r>
          </w:p>
        </w:tc>
        <w:tc>
          <w:tcPr>
            <w:tcW w:w="1661" w:type="dxa"/>
            <w:vAlign w:val="center"/>
          </w:tcPr>
          <w:p w14:paraId="5876F178">
            <w:pPr>
              <w:jc w:val="center"/>
              <w:rPr>
                <w:rFonts w:hint="eastAsia" w:ascii="仿宋_GB2312" w:hAnsi="仿宋_GB2312" w:eastAsia="仿宋_GB2312" w:cs="仿宋_GB2312"/>
                <w:sz w:val="24"/>
                <w:szCs w:val="24"/>
                <w:vertAlign w:val="baseline"/>
              </w:rPr>
            </w:pPr>
          </w:p>
        </w:tc>
        <w:tc>
          <w:tcPr>
            <w:tcW w:w="1661" w:type="dxa"/>
            <w:vAlign w:val="center"/>
          </w:tcPr>
          <w:p w14:paraId="23722054">
            <w:pPr>
              <w:jc w:val="both"/>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合同签订后，且</w:t>
            </w:r>
            <w:r>
              <w:rPr>
                <w:rFonts w:hint="eastAsia" w:ascii="仿宋_GB2312" w:hAnsi="仿宋_GB2312" w:eastAsia="仿宋_GB2312" w:cs="仿宋_GB2312"/>
                <w:sz w:val="24"/>
                <w:szCs w:val="24"/>
                <w:vertAlign w:val="baseline"/>
                <w:lang w:val="en-US" w:eastAsia="zh-CN"/>
              </w:rPr>
              <w:t>收</w:t>
            </w:r>
            <w:r>
              <w:rPr>
                <w:rFonts w:hint="eastAsia" w:ascii="仿宋_GB2312" w:hAnsi="仿宋_GB2312" w:eastAsia="仿宋_GB2312" w:cs="仿宋_GB2312"/>
                <w:sz w:val="24"/>
                <w:szCs w:val="24"/>
                <w:vertAlign w:val="baseline"/>
              </w:rPr>
              <w:t>到乙方发</w:t>
            </w:r>
            <w:r>
              <w:rPr>
                <w:rFonts w:hint="eastAsia" w:ascii="仿宋_GB2312" w:hAnsi="仿宋_GB2312" w:eastAsia="仿宋_GB2312" w:cs="仿宋_GB2312"/>
                <w:sz w:val="24"/>
                <w:szCs w:val="24"/>
                <w:vertAlign w:val="baseline"/>
                <w:lang w:val="en-US" w:eastAsia="zh-CN"/>
              </w:rPr>
              <w:t>票</w:t>
            </w:r>
          </w:p>
        </w:tc>
        <w:tc>
          <w:tcPr>
            <w:tcW w:w="1661" w:type="dxa"/>
            <w:vAlign w:val="center"/>
          </w:tcPr>
          <w:p w14:paraId="68B74332">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lang w:val="en-US" w:eastAsia="zh-CN"/>
              </w:rPr>
              <w:t>6%</w:t>
            </w:r>
          </w:p>
        </w:tc>
      </w:tr>
      <w:tr w14:paraId="6A880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756" w:type="dxa"/>
            <w:vMerge w:val="continue"/>
            <w:vAlign w:val="center"/>
          </w:tcPr>
          <w:p w14:paraId="6DCEAC94">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tc>
        <w:tc>
          <w:tcPr>
            <w:tcW w:w="1919" w:type="dxa"/>
            <w:vAlign w:val="center"/>
          </w:tcPr>
          <w:p w14:paraId="4394C510">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第一次年度监审</w:t>
            </w:r>
          </w:p>
        </w:tc>
        <w:tc>
          <w:tcPr>
            <w:tcW w:w="1661" w:type="dxa"/>
            <w:vAlign w:val="center"/>
          </w:tcPr>
          <w:p w14:paraId="0F5D66F6">
            <w:pPr>
              <w:jc w:val="center"/>
              <w:rPr>
                <w:rFonts w:hint="eastAsia" w:ascii="仿宋_GB2312" w:hAnsi="仿宋_GB2312" w:eastAsia="仿宋_GB2312" w:cs="仿宋_GB2312"/>
                <w:sz w:val="24"/>
                <w:szCs w:val="24"/>
                <w:vertAlign w:val="baseline"/>
              </w:rPr>
            </w:pPr>
          </w:p>
        </w:tc>
        <w:tc>
          <w:tcPr>
            <w:tcW w:w="1661" w:type="dxa"/>
            <w:vAlign w:val="center"/>
          </w:tcPr>
          <w:p w14:paraId="1481DB75">
            <w:pPr>
              <w:jc w:val="both"/>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每次接到监督审核通知书并收到乙方发票</w:t>
            </w:r>
          </w:p>
        </w:tc>
        <w:tc>
          <w:tcPr>
            <w:tcW w:w="1661" w:type="dxa"/>
            <w:vAlign w:val="center"/>
          </w:tcPr>
          <w:p w14:paraId="123730EC">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lang w:val="en-US" w:eastAsia="zh-CN"/>
              </w:rPr>
              <w:t>6%</w:t>
            </w:r>
          </w:p>
        </w:tc>
      </w:tr>
      <w:tr w14:paraId="72D6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756" w:type="dxa"/>
            <w:vMerge w:val="continue"/>
            <w:vAlign w:val="center"/>
          </w:tcPr>
          <w:p w14:paraId="5DB13514">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tc>
        <w:tc>
          <w:tcPr>
            <w:tcW w:w="1919" w:type="dxa"/>
            <w:vAlign w:val="center"/>
          </w:tcPr>
          <w:p w14:paraId="4AC6A930">
            <w:pPr>
              <w:keepNext w:val="0"/>
              <w:keepLines w:val="0"/>
              <w:widowControl/>
              <w:suppressLineNumbers w:val="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第二次年度监审</w:t>
            </w:r>
          </w:p>
        </w:tc>
        <w:tc>
          <w:tcPr>
            <w:tcW w:w="1661" w:type="dxa"/>
            <w:vAlign w:val="center"/>
          </w:tcPr>
          <w:p w14:paraId="0B4A0924">
            <w:pPr>
              <w:jc w:val="center"/>
              <w:rPr>
                <w:rFonts w:hint="eastAsia" w:ascii="仿宋_GB2312" w:hAnsi="仿宋_GB2312" w:eastAsia="仿宋_GB2312" w:cs="仿宋_GB2312"/>
                <w:sz w:val="24"/>
                <w:szCs w:val="24"/>
                <w:vertAlign w:val="baseline"/>
              </w:rPr>
            </w:pPr>
          </w:p>
        </w:tc>
        <w:tc>
          <w:tcPr>
            <w:tcW w:w="1661" w:type="dxa"/>
            <w:vAlign w:val="center"/>
          </w:tcPr>
          <w:p w14:paraId="1B350CF7">
            <w:pPr>
              <w:jc w:val="both"/>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rPr>
              <w:t>每次接到监督审核通知书并收到乙方发票</w:t>
            </w:r>
          </w:p>
        </w:tc>
        <w:tc>
          <w:tcPr>
            <w:tcW w:w="1661" w:type="dxa"/>
            <w:vAlign w:val="center"/>
          </w:tcPr>
          <w:p w14:paraId="269BA46A">
            <w:pPr>
              <w:jc w:val="center"/>
              <w:rPr>
                <w:rFonts w:hint="eastAsia" w:ascii="仿宋_GB2312" w:hAnsi="仿宋_GB2312" w:eastAsia="仿宋_GB2312" w:cs="仿宋_GB2312"/>
                <w:sz w:val="24"/>
                <w:szCs w:val="24"/>
                <w:vertAlign w:val="baseline"/>
              </w:rPr>
            </w:pPr>
            <w:r>
              <w:rPr>
                <w:rFonts w:hint="eastAsia" w:ascii="仿宋_GB2312" w:hAnsi="仿宋_GB2312" w:eastAsia="仿宋_GB2312" w:cs="仿宋_GB2312"/>
                <w:sz w:val="24"/>
                <w:szCs w:val="24"/>
                <w:vertAlign w:val="baseline"/>
                <w:lang w:val="en-US" w:eastAsia="zh-CN"/>
              </w:rPr>
              <w:t>6%</w:t>
            </w:r>
          </w:p>
        </w:tc>
      </w:tr>
      <w:tr w14:paraId="1488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8658" w:type="dxa"/>
            <w:gridSpan w:val="5"/>
            <w:vAlign w:val="center"/>
          </w:tcPr>
          <w:p w14:paraId="2D103E9B">
            <w:pPr>
              <w:jc w:val="left"/>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价款</w:t>
            </w:r>
            <w:r>
              <w:rPr>
                <w:rFonts w:hint="eastAsia" w:ascii="仿宋_GB2312" w:hAnsi="仿宋_GB2312" w:eastAsia="仿宋_GB2312" w:cs="仿宋_GB2312"/>
                <w:sz w:val="24"/>
                <w:szCs w:val="24"/>
                <w:vertAlign w:val="baseline"/>
              </w:rPr>
              <w:t>总计：</w:t>
            </w:r>
            <w:r>
              <w:rPr>
                <w:rFonts w:hint="eastAsia" w:ascii="仿宋_GB2312" w:hAnsi="仿宋_GB2312" w:eastAsia="仿宋_GB2312" w:cs="仿宋_GB2312"/>
                <w:sz w:val="24"/>
                <w:szCs w:val="24"/>
                <w:u w:val="single"/>
                <w:vertAlign w:val="baseline"/>
              </w:rPr>
              <w:t xml:space="preserve">          </w:t>
            </w:r>
            <w:r>
              <w:rPr>
                <w:rFonts w:hint="eastAsia" w:ascii="仿宋_GB2312" w:hAnsi="仿宋_GB2312" w:eastAsia="仿宋_GB2312" w:cs="仿宋_GB2312"/>
                <w:sz w:val="24"/>
                <w:szCs w:val="24"/>
                <w:vertAlign w:val="baseline"/>
              </w:rPr>
              <w:t>元</w:t>
            </w:r>
          </w:p>
        </w:tc>
      </w:tr>
    </w:tbl>
    <w:p w14:paraId="42151C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注:</w:t>
      </w:r>
    </w:p>
    <w:p w14:paraId="526AAE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eastAsia" w:ascii="仿宋_GB2312" w:hAnsi="仿宋_GB2312" w:eastAsia="仿宋_GB2312" w:cs="仿宋_GB2312"/>
          <w:sz w:val="24"/>
          <w:szCs w:val="24"/>
          <w:lang w:val="en-US" w:eastAsia="zh-CN"/>
        </w:rPr>
        <w:t>1.本报价总价计算：认证、监审+食宿交通费（定额包干）+证书费+年金等其他费用+=总价（含税）</w:t>
      </w:r>
    </w:p>
    <w:p w14:paraId="7B1BD2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2.本报价包含</w:t>
      </w:r>
      <w:r>
        <w:rPr>
          <w:rFonts w:hint="eastAsia" w:ascii="仿宋_GB2312" w:hAnsi="仿宋_GB2312" w:eastAsia="仿宋_GB2312" w:cs="仿宋_GB2312"/>
          <w:sz w:val="24"/>
          <w:szCs w:val="24"/>
          <w:u w:val="single"/>
          <w:lang w:val="en-US" w:eastAsia="zh-CN"/>
        </w:rPr>
        <w:t xml:space="preserve"> 6% </w:t>
      </w:r>
      <w:r>
        <w:rPr>
          <w:rFonts w:hint="eastAsia" w:ascii="仿宋_GB2312" w:hAnsi="仿宋_GB2312" w:eastAsia="仿宋_GB2312" w:cs="仿宋_GB2312"/>
          <w:sz w:val="24"/>
          <w:szCs w:val="24"/>
          <w:lang w:val="en-US" w:eastAsia="zh-CN"/>
        </w:rPr>
        <w:t>增值税；</w:t>
      </w:r>
    </w:p>
    <w:p w14:paraId="77D42C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sz w:val="24"/>
          <w:szCs w:val="24"/>
          <w:lang w:val="en-US" w:eastAsia="zh-CN"/>
        </w:rPr>
        <w:t>3.本次报价支付方式为:</w:t>
      </w:r>
      <w:r>
        <w:rPr>
          <w:rFonts w:hint="eastAsia" w:ascii="Arial" w:hAnsi="Arial" w:eastAsia="宋体" w:cs="Arial"/>
          <w:i w:val="0"/>
          <w:iCs w:val="0"/>
          <w:caps w:val="0"/>
          <w:color w:val="333333"/>
          <w:spacing w:val="0"/>
          <w:sz w:val="24"/>
          <w:szCs w:val="24"/>
          <w:shd w:val="clear" w:fill="FFFFFF"/>
          <w:lang w:val="en-US" w:eastAsia="zh-CN"/>
        </w:rPr>
        <w:t>□</w:t>
      </w:r>
      <w:r>
        <w:rPr>
          <w:rFonts w:hint="eastAsia" w:ascii="仿宋_GB2312" w:hAnsi="仿宋_GB2312" w:eastAsia="仿宋_GB2312" w:cs="仿宋_GB2312"/>
          <w:sz w:val="24"/>
          <w:szCs w:val="24"/>
          <w:lang w:val="en-US" w:eastAsia="zh-CN"/>
        </w:rPr>
        <w:t xml:space="preserve">一次性付款  </w:t>
      </w:r>
      <w:r>
        <w:rPr>
          <w:rFonts w:hint="eastAsia" w:ascii="Arial" w:hAnsi="Arial" w:eastAsia="宋体" w:cs="Arial"/>
          <w:i w:val="0"/>
          <w:iCs w:val="0"/>
          <w:caps w:val="0"/>
          <w:color w:val="333333"/>
          <w:spacing w:val="0"/>
          <w:sz w:val="24"/>
          <w:szCs w:val="24"/>
          <w:shd w:val="clear" w:fill="FFFFFF"/>
          <w:lang w:val="en-US" w:eastAsia="zh-CN"/>
        </w:rPr>
        <w:t>☑</w:t>
      </w:r>
      <w:r>
        <w:rPr>
          <w:rFonts w:hint="eastAsia" w:ascii="仿宋_GB2312" w:hAnsi="仿宋_GB2312" w:eastAsia="仿宋_GB2312" w:cs="仿宋_GB2312"/>
          <w:sz w:val="24"/>
          <w:szCs w:val="24"/>
          <w:lang w:val="en-US" w:eastAsia="zh-CN"/>
        </w:rPr>
        <w:t xml:space="preserve">分期支付  </w:t>
      </w:r>
      <w:r>
        <w:rPr>
          <w:rFonts w:hint="eastAsia" w:ascii="Arial" w:hAnsi="Arial" w:eastAsia="宋体" w:cs="Arial"/>
          <w:i w:val="0"/>
          <w:iCs w:val="0"/>
          <w:caps w:val="0"/>
          <w:color w:val="333333"/>
          <w:spacing w:val="0"/>
          <w:sz w:val="24"/>
          <w:szCs w:val="24"/>
          <w:shd w:val="clear" w:fill="FFFFFF"/>
          <w:lang w:val="en-US" w:eastAsia="zh-CN"/>
        </w:rPr>
        <w:t>□</w:t>
      </w:r>
      <w:r>
        <w:rPr>
          <w:rFonts w:hint="eastAsia" w:ascii="仿宋_GB2312" w:hAnsi="仿宋_GB2312" w:eastAsia="仿宋_GB2312" w:cs="仿宋_GB2312"/>
          <w:sz w:val="24"/>
          <w:szCs w:val="24"/>
          <w:lang w:val="en-US" w:eastAsia="zh-CN"/>
        </w:rPr>
        <w:t>其它:</w:t>
      </w:r>
      <w:r>
        <w:rPr>
          <w:rFonts w:hint="eastAsia" w:ascii="仿宋_GB2312" w:hAnsi="仿宋_GB2312" w:eastAsia="仿宋_GB2312" w:cs="仿宋_GB2312"/>
          <w:sz w:val="24"/>
          <w:szCs w:val="24"/>
          <w:u w:val="single"/>
          <w:lang w:val="en-US" w:eastAsia="zh-CN"/>
        </w:rPr>
        <w:t>（1）合同签订后，乙方开具增值税专用发票，甲方按发票支付费用总额的50%。</w:t>
      </w:r>
    </w:p>
    <w:p w14:paraId="3EC8D0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sz w:val="24"/>
          <w:szCs w:val="24"/>
          <w:u w:val="single"/>
          <w:lang w:val="en-US" w:eastAsia="zh-CN"/>
        </w:rPr>
        <w:t>（2）在甲方收到第一次年度监督审核通知书并收到乙方所开具的增值税专用发票，甲方按发票支付费用总额的25%。</w:t>
      </w:r>
    </w:p>
    <w:p w14:paraId="5ACEBC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sz w:val="24"/>
          <w:szCs w:val="24"/>
          <w:u w:val="single"/>
          <w:lang w:val="en-US" w:eastAsia="zh-CN"/>
        </w:rPr>
        <w:t>（3）在甲方收到第二次年度监督审核通知书并收到乙方所开具的增值税专用发票，甲方按发票支付费用总额的25%。</w:t>
      </w:r>
    </w:p>
    <w:p w14:paraId="7F0489D3">
      <w:pPr>
        <w:pStyle w:val="2"/>
        <w:rPr>
          <w:rFonts w:hint="eastAsia"/>
          <w:lang w:val="en-US" w:eastAsia="zh-CN"/>
        </w:rPr>
      </w:pPr>
    </w:p>
    <w:p w14:paraId="1197D371">
      <w:pPr>
        <w:rPr>
          <w:rFonts w:hint="eastAsia"/>
          <w:lang w:val="en-US" w:eastAsia="zh-CN"/>
        </w:rPr>
      </w:pPr>
    </w:p>
    <w:p w14:paraId="786473CB">
      <w:pPr>
        <w:keepNext w:val="0"/>
        <w:keepLines w:val="0"/>
        <w:pageBreakBefore w:val="0"/>
        <w:widowControl w:val="0"/>
        <w:kinsoku/>
        <w:wordWrap/>
        <w:overflowPunct/>
        <w:topLinePunct w:val="0"/>
        <w:autoSpaceDE/>
        <w:autoSpaceDN/>
        <w:bidi w:val="0"/>
        <w:adjustRightInd/>
        <w:snapToGrid/>
        <w:jc w:val="left"/>
        <w:textAlignment w:val="auto"/>
        <w:rPr>
          <w:rFonts w:hint="default" w:eastAsia="仿宋_GB2312"/>
          <w:lang w:val="en-US" w:eastAsia="zh-CN"/>
        </w:rPr>
      </w:pPr>
      <w:r>
        <w:rPr>
          <w:rFonts w:hint="eastAsia" w:ascii="仿宋_GB2312" w:hAnsi="仿宋_GB2312" w:eastAsia="仿宋_GB2312" w:cs="仿宋_GB2312"/>
          <w:sz w:val="24"/>
          <w:szCs w:val="24"/>
          <w:vertAlign w:val="baseline"/>
          <w:lang w:val="en-US" w:eastAsia="zh-CN"/>
        </w:rPr>
        <w:t>报价单位（盖公章）：</w:t>
      </w:r>
      <w:r>
        <w:rPr>
          <w:rFonts w:hint="eastAsia" w:ascii="仿宋_GB2312" w:hAnsi="仿宋_GB2312" w:eastAsia="仿宋_GB2312" w:cs="仿宋_GB2312"/>
          <w:sz w:val="24"/>
          <w:szCs w:val="24"/>
          <w:u w:val="single"/>
          <w:vertAlign w:val="baseline"/>
        </w:rPr>
        <w:t xml:space="preserve">       </w:t>
      </w:r>
      <w:r>
        <w:rPr>
          <w:rFonts w:hint="eastAsia" w:ascii="仿宋_GB2312" w:hAnsi="仿宋_GB2312" w:eastAsia="仿宋_GB2312" w:cs="仿宋_GB2312"/>
          <w:sz w:val="24"/>
          <w:szCs w:val="24"/>
          <w:u w:val="single"/>
          <w:vertAlign w:val="baseline"/>
          <w:lang w:val="en-US" w:eastAsia="zh-CN"/>
        </w:rPr>
        <w:t xml:space="preserve">      </w:t>
      </w:r>
      <w:r>
        <w:rPr>
          <w:rFonts w:hint="eastAsia" w:ascii="仿宋_GB2312" w:hAnsi="仿宋_GB2312" w:eastAsia="仿宋_GB2312" w:cs="仿宋_GB2312"/>
          <w:sz w:val="24"/>
          <w:szCs w:val="24"/>
          <w:u w:val="single"/>
          <w:vertAlign w:val="baseline"/>
        </w:rPr>
        <w:t xml:space="preserve">  </w:t>
      </w:r>
      <w:r>
        <w:rPr>
          <w:rFonts w:hint="eastAsia" w:ascii="仿宋_GB2312" w:hAnsi="仿宋_GB2312" w:eastAsia="仿宋_GB2312" w:cs="仿宋_GB2312"/>
          <w:sz w:val="24"/>
          <w:szCs w:val="24"/>
          <w:u w:val="none"/>
          <w:vertAlign w:val="baseline"/>
        </w:rPr>
        <w:t xml:space="preserve"> </w:t>
      </w:r>
      <w:r>
        <w:rPr>
          <w:rFonts w:hint="eastAsia" w:ascii="仿宋_GB2312" w:hAnsi="仿宋_GB2312" w:eastAsia="仿宋_GB2312" w:cs="仿宋_GB2312"/>
          <w:sz w:val="24"/>
          <w:szCs w:val="24"/>
          <w:u w:val="none"/>
          <w:vertAlign w:val="baseline"/>
          <w:lang w:val="en-US" w:eastAsia="zh-CN"/>
        </w:rPr>
        <w:t xml:space="preserve">              日期：</w:t>
      </w:r>
      <w:r>
        <w:rPr>
          <w:rFonts w:hint="eastAsia" w:ascii="仿宋_GB2312" w:hAnsi="仿宋_GB2312" w:eastAsia="仿宋_GB2312" w:cs="仿宋_GB2312"/>
          <w:sz w:val="24"/>
          <w:szCs w:val="24"/>
          <w:u w:val="single"/>
          <w:vertAlign w:val="baseline"/>
        </w:rPr>
        <w:t xml:space="preserve">       </w:t>
      </w:r>
      <w:r>
        <w:rPr>
          <w:rFonts w:hint="eastAsia" w:ascii="仿宋_GB2312" w:hAnsi="仿宋_GB2312" w:eastAsia="仿宋_GB2312" w:cs="仿宋_GB2312"/>
          <w:sz w:val="24"/>
          <w:szCs w:val="24"/>
          <w:u w:val="single"/>
          <w:vertAlign w:val="baseline"/>
          <w:lang w:val="en-US" w:eastAsia="zh-CN"/>
        </w:rPr>
        <w:t xml:space="preserve">      </w:t>
      </w:r>
      <w:bookmarkStart w:id="0" w:name="_GoBack"/>
      <w:bookmarkEnd w:id="0"/>
      <w:r>
        <w:rPr>
          <w:rFonts w:hint="eastAsia" w:ascii="仿宋_GB2312" w:hAnsi="仿宋_GB2312" w:eastAsia="仿宋_GB2312" w:cs="仿宋_GB2312"/>
          <w:sz w:val="24"/>
          <w:szCs w:val="24"/>
          <w:u w:val="single"/>
          <w:vertAlign w:val="baseline"/>
          <w:lang w:val="en-US" w:eastAsia="zh-CN"/>
        </w:rPr>
        <w:t xml:space="preserve"> </w:t>
      </w:r>
    </w:p>
    <w:p w14:paraId="7B5D01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F7E76">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EE035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BEE035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zODQ5MjE3NzNlNTdiYmRkM2Y2NjNjZGYyYmFiNzgifQ=="/>
  </w:docVars>
  <w:rsids>
    <w:rsidRoot w:val="0F3F5BFD"/>
    <w:rsid w:val="00A6244D"/>
    <w:rsid w:val="0153453C"/>
    <w:rsid w:val="049D3B67"/>
    <w:rsid w:val="0BA94BA0"/>
    <w:rsid w:val="0F3F5BFD"/>
    <w:rsid w:val="14BD60C0"/>
    <w:rsid w:val="22F664C5"/>
    <w:rsid w:val="29A36753"/>
    <w:rsid w:val="34993154"/>
    <w:rsid w:val="375D0761"/>
    <w:rsid w:val="37EA2644"/>
    <w:rsid w:val="3A26548A"/>
    <w:rsid w:val="42C966FC"/>
    <w:rsid w:val="444F3522"/>
    <w:rsid w:val="4D6E182D"/>
    <w:rsid w:val="50120532"/>
    <w:rsid w:val="58276EEC"/>
    <w:rsid w:val="625663E3"/>
    <w:rsid w:val="6593581A"/>
    <w:rsid w:val="6F0357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387</Words>
  <Characters>417</Characters>
  <Lines>0</Lines>
  <Paragraphs>0</Paragraphs>
  <TotalTime>4</TotalTime>
  <ScaleCrop>false</ScaleCrop>
  <LinksUpToDate>false</LinksUpToDate>
  <CharactersWithSpaces>433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2024-09-05T06:41:00Z</dcterms:created>
  <dc:creator>豆浆</dc:creator>
  <cp:lastModifiedBy>豆浆</cp:lastModifiedBy>
  <cp:lastPrinted>2025-07-17T07:12:00Z</cp:lastPrinted>
  <dcterms:modified xsi:type="dcterms:W3CDTF">2025-07-29T02:27:56Z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F7B0D05AF868435BBF4318ACB6B34E40_13</vt:lpwstr>
  </property>
  <property fmtid="{D5CDD505-2E9C-101B-9397-08002B2CF9AE}" pid="4" name="KSOTemplateDocerSaveRecord">
    <vt:lpwstr>eyJoZGlkIjoiYzMzODQ5MjE3NzNlNTdiYmRkM2Y2NjNjZGYyYmFiNzgiLCJ1c2VySWQiOiI0Nzg3MDE1MTAifQ==</vt:lpwstr>
  </property>
</Properties>
</file>