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rFonts w:ascii="宋体" w:hAnsi="宋体"/>
        </w:rPr>
      </w:pPr>
      <w:r>
        <w:rPr>
          <w:rFonts w:hint="eastAsia" w:ascii="宋体" w:hAnsi="宋体"/>
        </w:rPr>
        <w:drawing>
          <wp:anchor distT="0" distB="0" distL="114300" distR="114300" simplePos="0" relativeHeight="251660288" behindDoc="0" locked="0" layoutInCell="1" allowOverlap="1">
            <wp:simplePos x="0" y="0"/>
            <wp:positionH relativeFrom="column">
              <wp:posOffset>-1466850</wp:posOffset>
            </wp:positionH>
            <wp:positionV relativeFrom="paragraph">
              <wp:posOffset>-1080135</wp:posOffset>
            </wp:positionV>
            <wp:extent cx="8915400" cy="2736850"/>
            <wp:effectExtent l="19050" t="0" r="0" b="0"/>
            <wp:wrapNone/>
            <wp:docPr id="2" name="图片 2"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模板-3"/>
                    <pic:cNvPicPr>
                      <a:picLocks noChangeAspect="1" noChangeArrowheads="1"/>
                    </pic:cNvPicPr>
                  </pic:nvPicPr>
                  <pic:blipFill>
                    <a:blip r:embed="rId6"/>
                    <a:srcRect/>
                    <a:stretch>
                      <a:fillRect/>
                    </a:stretch>
                  </pic:blipFill>
                  <pic:spPr>
                    <a:xfrm>
                      <a:off x="0" y="0"/>
                      <a:ext cx="8915400" cy="2736850"/>
                    </a:xfrm>
                    <a:prstGeom prst="rect">
                      <a:avLst/>
                    </a:prstGeom>
                    <a:noFill/>
                    <a:ln w="9525" cmpd="sng">
                      <a:noFill/>
                      <a:miter lim="800000"/>
                      <a:headEnd/>
                      <a:tailEnd/>
                    </a:ln>
                  </pic:spPr>
                </pic:pic>
              </a:graphicData>
            </a:graphic>
          </wp:anchor>
        </w:drawing>
      </w: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spacing w:line="360" w:lineRule="auto"/>
        <w:jc w:val="center"/>
        <w:rPr>
          <w:rFonts w:hint="default" w:ascii="Times New Roman" w:hAnsi="Times New Roman" w:eastAsia="黑体" w:cs="Times New Roman"/>
          <w:b/>
          <w:bCs/>
          <w:sz w:val="56"/>
          <w:szCs w:val="56"/>
          <w:lang w:val="en-US" w:eastAsia="zh-CN"/>
        </w:rPr>
      </w:pPr>
    </w:p>
    <w:p>
      <w:pPr>
        <w:spacing w:line="360" w:lineRule="auto"/>
        <w:jc w:val="center"/>
        <w:rPr>
          <w:rFonts w:hint="default" w:ascii="Times New Roman" w:hAnsi="Times New Roman" w:eastAsia="黑体" w:cs="Times New Roman"/>
          <w:b/>
          <w:bCs/>
          <w:sz w:val="56"/>
          <w:szCs w:val="56"/>
          <w:lang w:val="en-US" w:eastAsia="zh-CN"/>
        </w:rPr>
      </w:pPr>
      <w:r>
        <w:rPr>
          <w:rFonts w:hint="default" w:ascii="Times New Roman" w:hAnsi="Times New Roman" w:eastAsia="黑体" w:cs="Times New Roman"/>
          <w:b/>
          <w:bCs/>
          <w:sz w:val="56"/>
          <w:szCs w:val="56"/>
          <w:lang w:val="en-US" w:eastAsia="zh-CN"/>
        </w:rPr>
        <w:t>变电专业数字式高压兆欧表</w:t>
      </w:r>
    </w:p>
    <w:p>
      <w:pPr>
        <w:spacing w:line="360" w:lineRule="auto"/>
        <w:jc w:val="center"/>
        <w:rPr>
          <w:rFonts w:ascii="微软雅黑" w:hAnsi="微软雅黑" w:eastAsia="微软雅黑"/>
          <w:b/>
          <w:sz w:val="36"/>
          <w:szCs w:val="36"/>
        </w:rPr>
      </w:pPr>
      <w:r>
        <w:rPr>
          <w:rFonts w:hint="default" w:ascii="Times New Roman" w:hAnsi="Times New Roman" w:eastAsia="黑体" w:cs="Times New Roman"/>
          <w:b/>
          <w:bCs/>
          <w:sz w:val="56"/>
          <w:szCs w:val="56"/>
        </w:rPr>
        <w:t>技术规范书</w:t>
      </w: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sz w:val="36"/>
          <w:szCs w:val="36"/>
        </w:rPr>
      </w:pPr>
      <w:r>
        <w:rPr>
          <w:rFonts w:hint="default" w:ascii="Times New Roman" w:hAnsi="Times New Roman" w:eastAsia="黑体" w:cs="Times New Roman"/>
          <w:sz w:val="32"/>
          <w:szCs w:val="32"/>
        </w:rPr>
        <w:t>海南电网有限责任公司</w:t>
      </w:r>
    </w:p>
    <w:p>
      <w:pPr>
        <w:spacing w:line="360" w:lineRule="auto"/>
        <w:jc w:val="center"/>
        <w:rPr>
          <w:rFonts w:ascii="微软雅黑" w:hAnsi="微软雅黑" w:eastAsia="微软雅黑"/>
          <w:b/>
          <w:sz w:val="32"/>
          <w:szCs w:val="32"/>
        </w:rPr>
      </w:pPr>
      <w:r>
        <w:rPr>
          <w:rFonts w:hint="default" w:ascii="Times New Roman" w:hAnsi="Times New Roman" w:eastAsia="黑体" w:cs="Times New Roman"/>
          <w:sz w:val="32"/>
          <w:szCs w:val="32"/>
        </w:rPr>
        <w:t>二</w:t>
      </w:r>
      <w:r>
        <w:rPr>
          <w:rFonts w:hint="default" w:ascii="Times New Roman" w:hAnsi="Times New Roman" w:eastAsia="黑体" w:cs="Times New Roman"/>
          <w:sz w:val="32"/>
          <w:szCs w:val="32"/>
          <w:lang w:val="en-US" w:eastAsia="zh-CN"/>
        </w:rPr>
        <w:t>O二五</w:t>
      </w:r>
      <w:r>
        <w:rPr>
          <w:rFonts w:hint="default" w:ascii="Times New Roman" w:hAnsi="Times New Roman" w:eastAsia="黑体" w:cs="Times New Roman"/>
          <w:sz w:val="32"/>
          <w:szCs w:val="32"/>
        </w:rPr>
        <w:t>年</w:t>
      </w:r>
      <w:r>
        <w:rPr>
          <w:rFonts w:hint="default"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rPr>
        <w:t>月</w:t>
      </w:r>
    </w:p>
    <w:p>
      <w:pPr>
        <w:spacing w:line="360" w:lineRule="auto"/>
        <w:jc w:val="center"/>
        <w:rPr>
          <w:rFonts w:ascii="微软雅黑" w:hAnsi="微软雅黑" w:eastAsia="微软雅黑"/>
          <w:b/>
          <w:sz w:val="32"/>
          <w:szCs w:val="32"/>
        </w:rPr>
      </w:pPr>
    </w:p>
    <w:p>
      <w:pPr>
        <w:spacing w:before="0" w:beforeLines="0" w:after="0" w:afterLines="0" w:line="240" w:lineRule="auto"/>
        <w:ind w:left="0" w:leftChars="0" w:right="0" w:rightChars="0" w:firstLine="0" w:firstLineChars="0"/>
        <w:jc w:val="center"/>
        <w:rPr>
          <w:rFonts w:ascii="宋体" w:hAnsi="宋体" w:eastAsia="宋体" w:cs="Times New Roman"/>
          <w:kern w:val="2"/>
          <w:sz w:val="21"/>
          <w:lang w:val="en-US" w:eastAsia="zh-CN" w:bidi="ar-SA"/>
        </w:rPr>
        <w:sectPr>
          <w:headerReference r:id="rId3" w:type="default"/>
          <w:pgSz w:w="12240" w:h="15840"/>
          <w:pgMar w:top="1440" w:right="1797" w:bottom="1440" w:left="1797" w:header="720" w:footer="720" w:gutter="0"/>
          <w:cols w:space="720" w:num="1"/>
          <w:docGrid w:linePitch="286" w:charSpace="0"/>
        </w:sectPr>
      </w:pPr>
    </w:p>
    <w:sdt>
      <w:sdtPr>
        <w:rPr>
          <w:rFonts w:ascii="宋体" w:hAnsi="宋体" w:eastAsia="宋体" w:cs="Times New Roman"/>
          <w:kern w:val="2"/>
          <w:sz w:val="21"/>
          <w:lang w:val="en-US" w:eastAsia="zh-CN" w:bidi="ar-SA"/>
        </w:rPr>
        <w:id w:val="147464957"/>
        <w15:color w:val="DBDBDB"/>
        <w:docPartObj>
          <w:docPartGallery w:val="Table of Contents"/>
          <w:docPartUnique/>
        </w:docPartObj>
      </w:sdtPr>
      <w:sdtEndPr>
        <w:rPr>
          <w:rFonts w:hint="eastAsia" w:ascii="宋体" w:hAnsi="宋体" w:eastAsia="宋体" w:cs="宋体"/>
          <w:b/>
          <w:kern w:val="2"/>
          <w:sz w:val="21"/>
          <w:szCs w:val="30"/>
          <w:lang w:val="en-US" w:eastAsia="zh-CN" w:bidi="ar-SA"/>
        </w:rPr>
      </w:sdtEndPr>
      <w:sdtContent>
        <w:p>
          <w:pPr>
            <w:spacing w:before="0" w:beforeLines="0" w:after="0" w:afterLines="0" w:line="240" w:lineRule="auto"/>
            <w:ind w:left="0" w:leftChars="0" w:right="0" w:rightChars="0" w:firstLine="0" w:firstLineChars="0"/>
            <w:jc w:val="center"/>
            <w:rPr>
              <w:rFonts w:ascii="宋体" w:hAnsi="宋体" w:eastAsia="宋体"/>
              <w:sz w:val="36"/>
              <w:szCs w:val="36"/>
            </w:rPr>
          </w:pPr>
          <w:bookmarkStart w:id="46" w:name="_GoBack"/>
          <w:r>
            <w:rPr>
              <w:rFonts w:ascii="宋体" w:hAnsi="宋体" w:eastAsia="宋体"/>
              <w:sz w:val="36"/>
              <w:szCs w:val="36"/>
            </w:rPr>
            <w:t>目</w:t>
          </w:r>
          <w:r>
            <w:rPr>
              <w:rFonts w:hint="eastAsia" w:ascii="宋体" w:hAnsi="宋体" w:eastAsia="宋体"/>
              <w:sz w:val="36"/>
              <w:szCs w:val="36"/>
              <w:lang w:val="en-US" w:eastAsia="zh-CN"/>
            </w:rPr>
            <w:t xml:space="preserve">   </w:t>
          </w:r>
          <w:r>
            <w:rPr>
              <w:rFonts w:ascii="宋体" w:hAnsi="宋体" w:eastAsia="宋体"/>
              <w:sz w:val="36"/>
              <w:szCs w:val="36"/>
            </w:rPr>
            <w:t>录</w:t>
          </w:r>
        </w:p>
        <w:bookmarkEnd w:id="46"/>
        <w:p>
          <w:pPr>
            <w:pStyle w:val="2"/>
          </w:pPr>
        </w:p>
        <w:p>
          <w:pPr>
            <w:pStyle w:val="28"/>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sz w:val="30"/>
              <w:szCs w:val="30"/>
              <w:lang w:val="en-US" w:eastAsia="zh-CN"/>
            </w:rPr>
            <w:fldChar w:fldCharType="begin"/>
          </w:r>
          <w:r>
            <w:rPr>
              <w:rFonts w:hint="eastAsia" w:ascii="宋体" w:hAnsi="宋体" w:eastAsia="宋体" w:cs="宋体"/>
              <w:b/>
              <w:sz w:val="30"/>
              <w:szCs w:val="30"/>
              <w:lang w:val="en-US" w:eastAsia="zh-CN"/>
            </w:rPr>
            <w:instrText xml:space="preserve">TOC \o "1-2" \h \u </w:instrText>
          </w:r>
          <w:r>
            <w:rPr>
              <w:rFonts w:hint="eastAsia" w:ascii="宋体" w:hAnsi="宋体" w:eastAsia="宋体" w:cs="宋体"/>
              <w:b/>
              <w:sz w:val="30"/>
              <w:szCs w:val="30"/>
              <w:lang w:val="en-US" w:eastAsia="zh-CN"/>
            </w:rPr>
            <w:fldChar w:fldCharType="separate"/>
          </w: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_Toc32361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1 总则</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_Toc32361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2</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28"/>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_Toc30560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2 引用标准</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_Toc30560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2</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28"/>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_Toc8614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3 使用环境条件要求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_Toc8614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3</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28"/>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_Toc2888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4 设备功能及技术要求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_Toc2888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3</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29"/>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_Toc23861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rPr>
            <w:t>4.1功能要求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_Toc23861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3</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29"/>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_Toc8804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rPr>
            <w:t>4.2 技术指标要求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_Toc8804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4</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28"/>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_Toc11170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5 设备的供货范围要求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_Toc11170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5</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28"/>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_Toc10357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2"/>
              <w:sz w:val="28"/>
              <w:szCs w:val="28"/>
              <w:lang w:val="en-US" w:eastAsia="zh-CN" w:bidi="ar-SA"/>
            </w:rPr>
            <w:t>6 包装、运输和贮存</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_Toc10357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5</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28"/>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_Toc16264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2"/>
              <w:sz w:val="28"/>
              <w:szCs w:val="28"/>
              <w:lang w:val="en-US" w:eastAsia="zh-CN" w:bidi="ar-SA"/>
            </w:rPr>
            <w:t>7 售后服务和技术培训要求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_Toc16264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29"/>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_Toc3099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7.1 售后服务</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_Toc3099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29"/>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_Toc430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7.2 技术培训</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_Toc430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28"/>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_Toc7428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2"/>
              <w:sz w:val="28"/>
              <w:szCs w:val="28"/>
              <w:lang w:val="en-US" w:eastAsia="zh-CN" w:bidi="ar-SA"/>
            </w:rPr>
            <w:t>8 验收要求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_Toc7428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7</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29"/>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_Toc27907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0"/>
              <w:sz w:val="28"/>
              <w:szCs w:val="28"/>
              <w:lang w:val="en-US" w:eastAsia="zh-CN" w:bidi="ar-SA"/>
            </w:rPr>
            <w:t>8.1 到货验收</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_Toc27907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7</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29"/>
            <w:tabs>
              <w:tab w:val="right" w:leader="dot" w:pos="8646"/>
            </w:tabs>
            <w:spacing w:line="360" w:lineRule="auto"/>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_Toc5236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0"/>
              <w:sz w:val="28"/>
              <w:szCs w:val="28"/>
              <w:lang w:val="en-US" w:eastAsia="zh-CN" w:bidi="ar-SA"/>
            </w:rPr>
            <w:t>8.2 现场验收</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_Toc5236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7</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numPr>
              <w:ilvl w:val="0"/>
              <w:numId w:val="0"/>
            </w:numPr>
            <w:spacing w:line="360" w:lineRule="auto"/>
            <w:ind w:leftChars="0"/>
            <w:outlineLvl w:val="9"/>
            <w:rPr>
              <w:rFonts w:hint="eastAsia" w:ascii="宋体" w:hAnsi="宋体" w:eastAsia="宋体" w:cs="宋体"/>
              <w:b/>
              <w:szCs w:val="30"/>
              <w:lang w:val="en-US" w:eastAsia="zh-CN"/>
            </w:rPr>
          </w:pPr>
          <w:r>
            <w:rPr>
              <w:rFonts w:hint="eastAsia" w:ascii="宋体" w:hAnsi="宋体" w:eastAsia="宋体" w:cs="宋体"/>
              <w:b/>
              <w:szCs w:val="30"/>
              <w:lang w:val="en-US" w:eastAsia="zh-CN"/>
            </w:rPr>
            <w:fldChar w:fldCharType="end"/>
          </w:r>
        </w:p>
        <w:p>
          <w:pPr>
            <w:numPr>
              <w:ilvl w:val="0"/>
              <w:numId w:val="0"/>
            </w:numPr>
            <w:spacing w:line="360" w:lineRule="auto"/>
            <w:ind w:leftChars="0"/>
            <w:outlineLvl w:val="9"/>
            <w:rPr>
              <w:rFonts w:hint="default" w:ascii="宋体" w:hAnsi="宋体" w:eastAsia="宋体" w:cs="宋体"/>
              <w:b/>
              <w:szCs w:val="30"/>
              <w:lang w:val="en-US" w:eastAsia="zh-CN"/>
            </w:rPr>
          </w:pPr>
          <w:r>
            <w:rPr>
              <w:rFonts w:hint="eastAsia" w:ascii="宋体" w:hAnsi="宋体" w:cs="宋体"/>
              <w:b/>
              <w:szCs w:val="30"/>
              <w:lang w:val="en-US" w:eastAsia="zh-CN"/>
            </w:rPr>
            <w:t xml:space="preserve">  </w:t>
          </w:r>
        </w:p>
        <w:p>
          <w:pPr>
            <w:numPr>
              <w:ilvl w:val="0"/>
              <w:numId w:val="0"/>
            </w:numPr>
            <w:spacing w:line="360" w:lineRule="auto"/>
            <w:ind w:leftChars="0"/>
            <w:outlineLvl w:val="9"/>
            <w:rPr>
              <w:rFonts w:hint="eastAsia" w:ascii="宋体" w:hAnsi="宋体" w:eastAsia="宋体" w:cs="宋体"/>
              <w:b/>
              <w:szCs w:val="30"/>
              <w:lang w:val="en-US" w:eastAsia="zh-CN"/>
            </w:rPr>
          </w:pPr>
        </w:p>
        <w:p>
          <w:pPr>
            <w:numPr>
              <w:ilvl w:val="0"/>
              <w:numId w:val="0"/>
            </w:numPr>
            <w:spacing w:line="360" w:lineRule="auto"/>
            <w:ind w:leftChars="0"/>
            <w:outlineLvl w:val="9"/>
            <w:rPr>
              <w:rFonts w:hint="eastAsia" w:ascii="宋体" w:hAnsi="宋体" w:eastAsia="宋体" w:cs="宋体"/>
              <w:b/>
              <w:szCs w:val="30"/>
              <w:lang w:val="en-US" w:eastAsia="zh-CN"/>
            </w:rPr>
          </w:pPr>
        </w:p>
        <w:p>
          <w:pPr>
            <w:numPr>
              <w:ilvl w:val="0"/>
              <w:numId w:val="0"/>
            </w:numPr>
            <w:spacing w:line="360" w:lineRule="auto"/>
            <w:ind w:leftChars="0"/>
            <w:outlineLvl w:val="9"/>
            <w:rPr>
              <w:rFonts w:hint="eastAsia" w:ascii="宋体" w:hAnsi="宋体" w:eastAsia="宋体" w:cs="宋体"/>
              <w:b/>
              <w:szCs w:val="30"/>
              <w:lang w:val="en-US" w:eastAsia="zh-CN"/>
            </w:rPr>
          </w:pPr>
        </w:p>
        <w:p>
          <w:pPr>
            <w:numPr>
              <w:ilvl w:val="0"/>
              <w:numId w:val="0"/>
            </w:numPr>
            <w:spacing w:line="360" w:lineRule="auto"/>
            <w:ind w:leftChars="0"/>
            <w:outlineLvl w:val="9"/>
            <w:rPr>
              <w:rFonts w:hint="eastAsia" w:ascii="宋体" w:hAnsi="宋体" w:eastAsia="宋体" w:cs="宋体"/>
              <w:b/>
              <w:szCs w:val="30"/>
              <w:lang w:val="en-US" w:eastAsia="zh-CN"/>
            </w:rPr>
          </w:pPr>
        </w:p>
        <w:p>
          <w:pPr>
            <w:numPr>
              <w:ilvl w:val="0"/>
              <w:numId w:val="0"/>
            </w:numPr>
            <w:spacing w:line="360" w:lineRule="auto"/>
            <w:ind w:leftChars="0"/>
            <w:outlineLvl w:val="9"/>
            <w:rPr>
              <w:rFonts w:hint="eastAsia" w:ascii="宋体" w:hAnsi="宋体" w:eastAsia="宋体" w:cs="宋体"/>
              <w:b/>
              <w:szCs w:val="30"/>
              <w:lang w:val="en-US" w:eastAsia="zh-CN"/>
            </w:rPr>
          </w:pPr>
        </w:p>
        <w:p>
          <w:pPr>
            <w:numPr>
              <w:ilvl w:val="0"/>
              <w:numId w:val="0"/>
            </w:numPr>
            <w:spacing w:line="360" w:lineRule="auto"/>
            <w:ind w:leftChars="0"/>
            <w:outlineLvl w:val="9"/>
            <w:rPr>
              <w:rFonts w:hint="eastAsia" w:ascii="宋体" w:hAnsi="宋体" w:eastAsia="宋体" w:cs="宋体"/>
              <w:b/>
              <w:szCs w:val="30"/>
              <w:lang w:val="en-US" w:eastAsia="zh-CN"/>
            </w:rPr>
          </w:pPr>
        </w:p>
        <w:p>
          <w:pPr>
            <w:numPr>
              <w:ilvl w:val="0"/>
              <w:numId w:val="0"/>
            </w:numPr>
            <w:spacing w:line="360" w:lineRule="auto"/>
            <w:ind w:leftChars="0"/>
            <w:outlineLvl w:val="9"/>
            <w:rPr>
              <w:rFonts w:hint="eastAsia" w:ascii="宋体" w:hAnsi="宋体" w:eastAsia="宋体" w:cs="宋体"/>
              <w:b/>
              <w:szCs w:val="30"/>
              <w:lang w:val="en-US" w:eastAsia="zh-CN"/>
            </w:rPr>
          </w:pPr>
        </w:p>
        <w:p>
          <w:pPr>
            <w:numPr>
              <w:ilvl w:val="0"/>
              <w:numId w:val="0"/>
            </w:numPr>
            <w:spacing w:line="360" w:lineRule="auto"/>
            <w:ind w:leftChars="0"/>
            <w:outlineLvl w:val="9"/>
            <w:rPr>
              <w:rFonts w:hint="eastAsia" w:ascii="宋体" w:hAnsi="宋体" w:eastAsia="宋体" w:cs="宋体"/>
              <w:b/>
              <w:sz w:val="30"/>
              <w:szCs w:val="30"/>
              <w:lang w:val="en-US" w:eastAsia="zh-CN"/>
            </w:rPr>
          </w:pPr>
        </w:p>
      </w:sdtContent>
    </w:sdt>
    <w:p>
      <w:pPr>
        <w:numPr>
          <w:ilvl w:val="0"/>
          <w:numId w:val="0"/>
        </w:numPr>
        <w:spacing w:line="360" w:lineRule="auto"/>
        <w:ind w:leftChars="0"/>
        <w:outlineLvl w:val="0"/>
        <w:rPr>
          <w:rFonts w:hint="eastAsia" w:ascii="宋体" w:hAnsi="宋体" w:eastAsia="宋体" w:cs="宋体"/>
          <w:b/>
          <w:sz w:val="30"/>
          <w:szCs w:val="30"/>
          <w:lang w:val="en-US" w:eastAsia="zh-CN"/>
        </w:rPr>
      </w:pPr>
      <w:bookmarkStart w:id="0" w:name="_Toc32361"/>
      <w:r>
        <w:rPr>
          <w:rFonts w:hint="eastAsia" w:ascii="宋体" w:hAnsi="宋体" w:eastAsia="宋体" w:cs="宋体"/>
          <w:b/>
          <w:sz w:val="30"/>
          <w:szCs w:val="30"/>
          <w:lang w:val="en-US" w:eastAsia="zh-CN"/>
        </w:rPr>
        <w:t>1 总则</w:t>
      </w:r>
      <w:bookmarkEnd w:id="0"/>
    </w:p>
    <w:p>
      <w:pPr>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 xml:space="preserve">1.1 </w:t>
      </w:r>
      <w:r>
        <w:rPr>
          <w:rFonts w:hint="eastAsia" w:ascii="宋体" w:hAnsi="宋体" w:eastAsia="宋体" w:cs="宋体"/>
          <w:sz w:val="28"/>
          <w:szCs w:val="28"/>
        </w:rPr>
        <w:t>本规范书适用于数字式高压兆欧表的招标，它提出设备的功能、结构、性能、安装和试验等方面的技术要求。</w:t>
      </w:r>
    </w:p>
    <w:p>
      <w:pPr>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 xml:space="preserve">1.2 </w:t>
      </w:r>
      <w:r>
        <w:rPr>
          <w:rFonts w:hint="eastAsia" w:ascii="宋体" w:hAnsi="宋体" w:eastAsia="宋体" w:cs="宋体"/>
          <w:sz w:val="28"/>
          <w:szCs w:val="28"/>
        </w:rPr>
        <w:t>招标方在本规范书中提出了设备所应满足的主要功能要求和基本性能指标，且为最低限度，并未罗列所有的技术要求和适用标准，投标方应提供一套既满足本规范书和所列标准要求、又符合相关国际和行业标准的高质量产品，并提供相应服务。对国家有关安全、环保等强制性标准，必须满足其要求。</w:t>
      </w:r>
    </w:p>
    <w:p>
      <w:pPr>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cs="宋体"/>
          <w:sz w:val="28"/>
          <w:szCs w:val="28"/>
          <w:lang w:val="en-US" w:eastAsia="zh-CN"/>
        </w:rPr>
        <w:t xml:space="preserve">1.3 </w:t>
      </w:r>
      <w:r>
        <w:rPr>
          <w:rFonts w:hint="eastAsia" w:ascii="宋体" w:hAnsi="宋体" w:eastAsia="宋体" w:cs="宋体"/>
          <w:sz w:val="28"/>
          <w:szCs w:val="28"/>
        </w:rPr>
        <w:t>投标方必须对本招标文件的每一款作出明确答复，并写出具体技术数据和指标，否则视该条回答无效。如未对本规范书提出偏差，将认为投标方同意提供的设备符合规范书和标准的要求。偏差（无论多少）都必须清楚地表示在投标文件中的“偏差表”中。</w:t>
      </w:r>
    </w:p>
    <w:p>
      <w:pPr>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cs="宋体"/>
          <w:sz w:val="28"/>
          <w:szCs w:val="28"/>
          <w:lang w:val="en-US" w:eastAsia="zh-CN"/>
        </w:rPr>
        <w:t xml:space="preserve">1.4 </w:t>
      </w:r>
      <w:r>
        <w:rPr>
          <w:rFonts w:hint="eastAsia" w:ascii="宋体" w:hAnsi="宋体" w:eastAsia="宋体" w:cs="宋体"/>
          <w:sz w:val="28"/>
          <w:szCs w:val="28"/>
        </w:rPr>
        <w:t>投标方须执行招标书技术部分所列标准，有矛盾时，按较高标准执行。</w:t>
      </w:r>
    </w:p>
    <w:p>
      <w:pPr>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cs="宋体"/>
          <w:sz w:val="28"/>
          <w:szCs w:val="28"/>
          <w:lang w:val="en-US" w:eastAsia="zh-CN"/>
        </w:rPr>
        <w:t xml:space="preserve">1.5 </w:t>
      </w:r>
      <w:r>
        <w:rPr>
          <w:rFonts w:hint="eastAsia" w:ascii="宋体" w:hAnsi="宋体" w:eastAsia="宋体" w:cs="宋体"/>
          <w:sz w:val="28"/>
          <w:szCs w:val="28"/>
        </w:rPr>
        <w:t>投标人资格</w:t>
      </w:r>
    </w:p>
    <w:p>
      <w:pPr>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投标人必须具备相关产品的设计、制造经验，并有质检部门的认可文件或相关的检测报告、ISO-9001质量认证书或相当的认证文件。投标的设备必须提供在电力系统商业运行的良好记录，投标人提供的设备必须是在国内生产制造。</w:t>
      </w:r>
    </w:p>
    <w:p>
      <w:pPr>
        <w:numPr>
          <w:ilvl w:val="0"/>
          <w:numId w:val="0"/>
        </w:numPr>
        <w:spacing w:line="360" w:lineRule="auto"/>
        <w:ind w:leftChars="0"/>
        <w:outlineLvl w:val="0"/>
        <w:rPr>
          <w:rFonts w:hint="eastAsia" w:ascii="宋体" w:hAnsi="宋体" w:eastAsia="宋体" w:cs="宋体"/>
          <w:b/>
          <w:sz w:val="30"/>
          <w:szCs w:val="30"/>
          <w:lang w:val="en-US" w:eastAsia="zh-CN"/>
        </w:rPr>
      </w:pPr>
      <w:bookmarkStart w:id="1" w:name="_Toc30560"/>
      <w:r>
        <w:rPr>
          <w:rFonts w:hint="eastAsia" w:ascii="宋体" w:hAnsi="宋体" w:eastAsia="宋体" w:cs="宋体"/>
          <w:b/>
          <w:sz w:val="30"/>
          <w:szCs w:val="30"/>
          <w:lang w:val="en-US" w:eastAsia="zh-CN"/>
        </w:rPr>
        <w:t>2 引用标准</w:t>
      </w:r>
      <w:bookmarkEnd w:id="1"/>
    </w:p>
    <w:p>
      <w:pPr>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除本规范书特殊规定外，投标方所提供的设备均应按下列标准和规定进行设计、制造、检验和安装。所用的标准必须是最新版本的标准。如果这些标准内容矛盾时，应按最高标准的条款执行或按双方商定的标准执行。如果投标方选用标书规定以外的标准时，需提交与这种替换标准相当的或优于标书规定标准的证明</w:t>
      </w:r>
      <w:r>
        <w:rPr>
          <w:rFonts w:hint="eastAsia" w:ascii="宋体" w:hAnsi="宋体" w:cs="宋体"/>
          <w:sz w:val="28"/>
          <w:szCs w:val="28"/>
          <w:lang w:eastAsia="zh-CN"/>
        </w:rPr>
        <w:t>。</w:t>
      </w:r>
      <w:r>
        <w:rPr>
          <w:rFonts w:hint="eastAsia" w:ascii="宋体" w:hAnsi="宋体" w:cs="宋体"/>
          <w:sz w:val="28"/>
          <w:szCs w:val="28"/>
          <w:lang w:val="en-US" w:eastAsia="zh-CN"/>
        </w:rPr>
        <w:t>主要引用</w:t>
      </w:r>
      <w:r>
        <w:rPr>
          <w:rFonts w:hint="eastAsia" w:ascii="宋体" w:hAnsi="宋体" w:eastAsia="宋体" w:cs="宋体"/>
          <w:sz w:val="28"/>
          <w:szCs w:val="28"/>
        </w:rPr>
        <w:t>标准</w:t>
      </w:r>
      <w:r>
        <w:rPr>
          <w:rFonts w:hint="eastAsia" w:ascii="宋体" w:hAnsi="宋体" w:cs="宋体"/>
          <w:sz w:val="28"/>
          <w:szCs w:val="28"/>
          <w:lang w:val="en-US" w:eastAsia="zh-CN"/>
        </w:rPr>
        <w:t>如下：</w:t>
      </w:r>
    </w:p>
    <w:p>
      <w:pPr>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DL/T</w:t>
      </w:r>
      <w:r>
        <w:rPr>
          <w:rFonts w:hint="eastAsia" w:ascii="宋体" w:hAnsi="宋体" w:cs="宋体"/>
          <w:sz w:val="28"/>
          <w:szCs w:val="28"/>
          <w:lang w:val="en-US" w:eastAsia="zh-CN"/>
        </w:rPr>
        <w:t xml:space="preserve"> </w:t>
      </w:r>
      <w:r>
        <w:rPr>
          <w:rFonts w:hint="eastAsia" w:ascii="宋体" w:hAnsi="宋体" w:eastAsia="宋体" w:cs="宋体"/>
          <w:sz w:val="28"/>
          <w:szCs w:val="28"/>
        </w:rPr>
        <w:t>596  电力设备预防性试验规程</w:t>
      </w:r>
    </w:p>
    <w:p>
      <w:pPr>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GB</w:t>
      </w:r>
      <w:r>
        <w:rPr>
          <w:rFonts w:hint="eastAsia" w:ascii="宋体" w:hAnsi="宋体" w:cs="宋体"/>
          <w:sz w:val="28"/>
          <w:szCs w:val="28"/>
          <w:lang w:val="en-US" w:eastAsia="zh-CN"/>
        </w:rPr>
        <w:t xml:space="preserve"> </w:t>
      </w:r>
      <w:r>
        <w:rPr>
          <w:rFonts w:hint="eastAsia" w:ascii="宋体" w:hAnsi="宋体" w:eastAsia="宋体" w:cs="宋体"/>
          <w:sz w:val="28"/>
          <w:szCs w:val="28"/>
        </w:rPr>
        <w:t>4793  电子测量仪器安全要求</w:t>
      </w:r>
    </w:p>
    <w:p>
      <w:pPr>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GB/T</w:t>
      </w:r>
      <w:r>
        <w:rPr>
          <w:rFonts w:hint="eastAsia" w:ascii="宋体" w:hAnsi="宋体" w:cs="宋体"/>
          <w:sz w:val="28"/>
          <w:szCs w:val="28"/>
          <w:lang w:val="en-US" w:eastAsia="zh-CN"/>
        </w:rPr>
        <w:t xml:space="preserve"> </w:t>
      </w:r>
      <w:r>
        <w:rPr>
          <w:rFonts w:hint="eastAsia" w:ascii="宋体" w:hAnsi="宋体" w:eastAsia="宋体" w:cs="宋体"/>
          <w:sz w:val="28"/>
          <w:szCs w:val="28"/>
        </w:rPr>
        <w:t>2423.8  电工电子产品基本环境试验规程</w:t>
      </w:r>
    </w:p>
    <w:p>
      <w:pPr>
        <w:numPr>
          <w:ilvl w:val="0"/>
          <w:numId w:val="0"/>
        </w:numPr>
        <w:spacing w:line="360" w:lineRule="auto"/>
        <w:ind w:leftChars="0"/>
        <w:outlineLvl w:val="0"/>
        <w:rPr>
          <w:rFonts w:hint="eastAsia" w:ascii="宋体" w:hAnsi="宋体" w:eastAsia="宋体" w:cs="宋体"/>
          <w:b/>
          <w:sz w:val="30"/>
          <w:szCs w:val="30"/>
          <w:lang w:val="en-US" w:eastAsia="zh-CN"/>
        </w:rPr>
      </w:pPr>
      <w:bookmarkStart w:id="2" w:name="_Toc8614"/>
      <w:r>
        <w:rPr>
          <w:rFonts w:hint="eastAsia" w:ascii="宋体" w:hAnsi="宋体" w:eastAsia="宋体" w:cs="宋体"/>
          <w:b/>
          <w:sz w:val="30"/>
          <w:szCs w:val="30"/>
          <w:lang w:val="en-US" w:eastAsia="zh-CN"/>
        </w:rPr>
        <w:t>3 使用环境条件要求</w:t>
      </w:r>
      <w:bookmarkEnd w:id="2"/>
    </w:p>
    <w:p>
      <w:pPr>
        <w:pageBreakBefore w:val="0"/>
        <w:tabs>
          <w:tab w:val="left" w:pos="1125"/>
          <w:tab w:val="left" w:pos="3960"/>
        </w:tabs>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环境温度:0℃</w:t>
      </w:r>
      <w:r>
        <w:rPr>
          <w:rFonts w:hint="eastAsia" w:ascii="宋体" w:hAnsi="宋体" w:eastAsia="宋体" w:cs="宋体"/>
          <w:sz w:val="28"/>
          <w:szCs w:val="28"/>
          <w:lang w:val="en-US" w:eastAsia="zh-CN"/>
        </w:rPr>
        <w:t>~5</w:t>
      </w:r>
      <w:r>
        <w:rPr>
          <w:rFonts w:hint="eastAsia" w:ascii="宋体" w:hAnsi="宋体" w:eastAsia="宋体" w:cs="宋体"/>
          <w:sz w:val="28"/>
          <w:szCs w:val="28"/>
        </w:rPr>
        <w:t>0℃</w:t>
      </w:r>
    </w:p>
    <w:p>
      <w:pPr>
        <w:pageBreakBefore w:val="0"/>
        <w:tabs>
          <w:tab w:val="left" w:pos="1125"/>
          <w:tab w:val="left" w:pos="3960"/>
        </w:tabs>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环境湿度：≤80%RH</w:t>
      </w:r>
    </w:p>
    <w:p>
      <w:pPr>
        <w:pageBreakBefore w:val="0"/>
        <w:tabs>
          <w:tab w:val="left" w:pos="1125"/>
          <w:tab w:val="left" w:pos="3960"/>
        </w:tabs>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使用地点：室内外</w:t>
      </w:r>
    </w:p>
    <w:p>
      <w:pPr>
        <w:pageBreakBefore w:val="0"/>
        <w:tabs>
          <w:tab w:val="left" w:pos="1125"/>
          <w:tab w:val="left" w:pos="3960"/>
        </w:tabs>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海拔高度:</w:t>
      </w:r>
      <w:r>
        <w:rPr>
          <w:rFonts w:hint="eastAsia" w:ascii="宋体" w:hAnsi="宋体" w:eastAsia="宋体" w:cs="宋体"/>
          <w:sz w:val="28"/>
          <w:szCs w:val="28"/>
          <w:lang w:val="en-US" w:eastAsia="zh-CN"/>
        </w:rPr>
        <w:t>3</w:t>
      </w:r>
      <w:r>
        <w:rPr>
          <w:rFonts w:hint="eastAsia" w:ascii="宋体" w:hAnsi="宋体" w:eastAsia="宋体" w:cs="宋体"/>
          <w:sz w:val="28"/>
          <w:szCs w:val="28"/>
        </w:rPr>
        <w:t>000米以下</w:t>
      </w:r>
    </w:p>
    <w:p>
      <w:pPr>
        <w:pageBreakBefore w:val="0"/>
        <w:tabs>
          <w:tab w:val="left" w:pos="1125"/>
          <w:tab w:val="left" w:pos="3960"/>
        </w:tabs>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最大日温差:30℃</w:t>
      </w:r>
    </w:p>
    <w:p>
      <w:pPr>
        <w:pageBreakBefore w:val="0"/>
        <w:tabs>
          <w:tab w:val="left" w:pos="1125"/>
          <w:tab w:val="left" w:pos="3960"/>
        </w:tabs>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污秽等级：Ⅲ级</w:t>
      </w:r>
    </w:p>
    <w:p>
      <w:pPr>
        <w:pageBreakBefore w:val="0"/>
        <w:tabs>
          <w:tab w:val="left" w:pos="1125"/>
          <w:tab w:val="left" w:pos="3960"/>
        </w:tabs>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工作电源：AC</w:t>
      </w:r>
      <w:r>
        <w:rPr>
          <w:rFonts w:hint="eastAsia" w:ascii="宋体" w:hAnsi="宋体" w:eastAsia="宋体" w:cs="宋体"/>
          <w:sz w:val="28"/>
          <w:szCs w:val="28"/>
          <w:lang w:val="en-US" w:eastAsia="zh-CN"/>
        </w:rPr>
        <w:t>22</w:t>
      </w:r>
      <w:r>
        <w:rPr>
          <w:rFonts w:hint="eastAsia" w:ascii="宋体" w:hAnsi="宋体" w:eastAsia="宋体" w:cs="宋体"/>
          <w:sz w:val="28"/>
          <w:szCs w:val="28"/>
        </w:rPr>
        <w:t>0V±10%</w:t>
      </w:r>
    </w:p>
    <w:p>
      <w:pPr>
        <w:pageBreakBefore w:val="0"/>
        <w:tabs>
          <w:tab w:val="left" w:pos="1125"/>
          <w:tab w:val="left" w:pos="3960"/>
        </w:tabs>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电源频率：(50±1)Hz</w:t>
      </w:r>
    </w:p>
    <w:p>
      <w:pPr>
        <w:numPr>
          <w:ilvl w:val="0"/>
          <w:numId w:val="0"/>
        </w:numPr>
        <w:spacing w:line="360" w:lineRule="auto"/>
        <w:ind w:leftChars="0"/>
        <w:outlineLvl w:val="0"/>
        <w:rPr>
          <w:rFonts w:hint="eastAsia" w:ascii="宋体" w:hAnsi="宋体" w:eastAsia="宋体" w:cs="宋体"/>
          <w:b/>
          <w:sz w:val="30"/>
          <w:szCs w:val="30"/>
          <w:lang w:val="en-US" w:eastAsia="zh-CN"/>
        </w:rPr>
      </w:pPr>
      <w:bookmarkStart w:id="3" w:name="_Toc2888"/>
      <w:r>
        <w:rPr>
          <w:rFonts w:hint="eastAsia" w:ascii="宋体" w:hAnsi="宋体" w:eastAsia="宋体" w:cs="宋体"/>
          <w:b/>
          <w:sz w:val="30"/>
          <w:szCs w:val="30"/>
          <w:lang w:val="en-US" w:eastAsia="zh-CN"/>
        </w:rPr>
        <w:t>4 设备功能及技术要求</w:t>
      </w:r>
      <w:bookmarkEnd w:id="3"/>
    </w:p>
    <w:p>
      <w:pPr>
        <w:pageBreakBefore w:val="0"/>
        <w:tabs>
          <w:tab w:val="left" w:pos="1125"/>
          <w:tab w:val="left" w:pos="3960"/>
        </w:tabs>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以下规定了本次所需采购的技术要求。投标方所提出的任何替代指标应不低于本技术规范书的要求。</w:t>
      </w:r>
    </w:p>
    <w:p>
      <w:pPr>
        <w:pageBreakBefore w:val="0"/>
        <w:tabs>
          <w:tab w:val="left" w:pos="1125"/>
          <w:tab w:val="left" w:pos="3960"/>
        </w:tabs>
        <w:kinsoku/>
        <w:wordWrap/>
        <w:overflowPunct/>
        <w:topLinePunct w:val="0"/>
        <w:autoSpaceDE/>
        <w:autoSpaceDN/>
        <w:bidi w:val="0"/>
        <w:adjustRightInd/>
        <w:snapToGrid/>
        <w:spacing w:line="360" w:lineRule="auto"/>
        <w:textAlignment w:val="auto"/>
        <w:outlineLvl w:val="1"/>
        <w:rPr>
          <w:rFonts w:hint="eastAsia" w:ascii="宋体" w:hAnsi="宋体" w:eastAsia="宋体" w:cs="宋体"/>
          <w:b/>
          <w:sz w:val="28"/>
          <w:szCs w:val="28"/>
        </w:rPr>
      </w:pPr>
      <w:bookmarkStart w:id="4" w:name="_Toc23861"/>
      <w:r>
        <w:rPr>
          <w:rFonts w:hint="eastAsia" w:ascii="宋体" w:hAnsi="宋体" w:eastAsia="宋体" w:cs="宋体"/>
          <w:b/>
          <w:sz w:val="28"/>
          <w:szCs w:val="28"/>
        </w:rPr>
        <w:t>4.1功能要求</w:t>
      </w:r>
      <w:bookmarkEnd w:id="4"/>
    </w:p>
    <w:p>
      <w:pPr>
        <w:pageBreakBefore w:val="0"/>
        <w:tabs>
          <w:tab w:val="left" w:pos="1125"/>
          <w:tab w:val="left" w:pos="3960"/>
        </w:tabs>
        <w:kinsoku/>
        <w:wordWrap/>
        <w:overflowPunct/>
        <w:topLinePunct w:val="0"/>
        <w:autoSpaceDE/>
        <w:autoSpaceDN/>
        <w:bidi w:val="0"/>
        <w:adjustRightInd/>
        <w:snapToGrid/>
        <w:spacing w:line="360" w:lineRule="auto"/>
        <w:ind w:firstLine="560" w:firstLineChars="200"/>
        <w:textAlignment w:val="auto"/>
        <w:rPr>
          <w:rFonts w:hint="eastAsia" w:ascii="宋体" w:hAnsi="宋体" w:cs="宋体"/>
          <w:sz w:val="28"/>
          <w:szCs w:val="28"/>
          <w:lang w:val="en-US" w:eastAsia="zh-CN"/>
        </w:rPr>
      </w:pPr>
      <w:bookmarkStart w:id="5" w:name="_Toc4556"/>
      <w:bookmarkStart w:id="6" w:name="_Toc167008908"/>
      <w:bookmarkStart w:id="7" w:name="_Toc200511818"/>
      <w:r>
        <w:rPr>
          <w:rFonts w:hint="eastAsia" w:ascii="宋体" w:hAnsi="宋体" w:cs="宋体"/>
          <w:sz w:val="28"/>
          <w:szCs w:val="28"/>
          <w:lang w:val="en-US" w:eastAsia="zh-CN"/>
        </w:rPr>
        <w:t>（1）</w:t>
      </w:r>
      <w:r>
        <w:rPr>
          <w:rFonts w:hint="eastAsia" w:ascii="宋体" w:hAnsi="宋体" w:eastAsia="宋体" w:cs="宋体"/>
          <w:sz w:val="28"/>
          <w:szCs w:val="28"/>
          <w:lang w:val="en-US" w:eastAsia="zh-CN"/>
        </w:rPr>
        <w:t>本次采购的</w:t>
      </w:r>
      <w:r>
        <w:rPr>
          <w:rFonts w:hint="eastAsia" w:ascii="宋体" w:hAnsi="宋体" w:eastAsia="宋体" w:cs="宋体"/>
          <w:sz w:val="28"/>
          <w:szCs w:val="28"/>
        </w:rPr>
        <w:t>数字式高压兆欧表</w:t>
      </w:r>
      <w:r>
        <w:rPr>
          <w:rFonts w:hint="eastAsia" w:ascii="宋体" w:hAnsi="宋体" w:eastAsia="宋体" w:cs="宋体"/>
          <w:sz w:val="28"/>
          <w:szCs w:val="28"/>
          <w:lang w:val="en-US" w:eastAsia="zh-CN"/>
        </w:rPr>
        <w:t>可用于电力设备的绝缘电阻测</w:t>
      </w:r>
      <w:r>
        <w:rPr>
          <w:rFonts w:hint="eastAsia" w:ascii="宋体" w:hAnsi="宋体" w:cs="宋体"/>
          <w:sz w:val="28"/>
          <w:szCs w:val="28"/>
          <w:lang w:val="en-US" w:eastAsia="zh-CN"/>
        </w:rPr>
        <w:t>试。</w:t>
      </w:r>
    </w:p>
    <w:p>
      <w:pPr>
        <w:pageBreakBefore w:val="0"/>
        <w:tabs>
          <w:tab w:val="left" w:pos="1125"/>
          <w:tab w:val="left" w:pos="3960"/>
        </w:tabs>
        <w:kinsoku/>
        <w:wordWrap/>
        <w:overflowPunct/>
        <w:topLinePunct w:val="0"/>
        <w:autoSpaceDE/>
        <w:autoSpaceDN/>
        <w:bidi w:val="0"/>
        <w:adjustRightInd/>
        <w:snapToGrid/>
        <w:spacing w:line="360" w:lineRule="auto"/>
        <w:ind w:left="559" w:leftChars="266" w:firstLine="0" w:firstLineChars="0"/>
        <w:textAlignment w:val="auto"/>
        <w:rPr>
          <w:rFonts w:hint="default" w:ascii="宋体" w:hAnsi="宋体" w:cs="宋体"/>
          <w:sz w:val="28"/>
          <w:szCs w:val="28"/>
          <w:lang w:val="en-US" w:eastAsia="zh-CN"/>
        </w:rPr>
      </w:pPr>
      <w:r>
        <w:rPr>
          <w:rFonts w:hint="eastAsia" w:ascii="宋体" w:hAnsi="宋体" w:cs="宋体"/>
          <w:sz w:val="28"/>
          <w:szCs w:val="28"/>
          <w:lang w:val="en-US" w:eastAsia="zh-CN"/>
        </w:rPr>
        <w:t>（2）提供5个电压测试档，250V、500V、1000V、2500V和5000V。</w:t>
      </w:r>
    </w:p>
    <w:p>
      <w:pPr>
        <w:pageBreakBefore w:val="0"/>
        <w:tabs>
          <w:tab w:val="left" w:pos="1125"/>
          <w:tab w:val="left" w:pos="3960"/>
        </w:tabs>
        <w:kinsoku/>
        <w:wordWrap/>
        <w:overflowPunct/>
        <w:topLinePunct w:val="0"/>
        <w:autoSpaceDE/>
        <w:autoSpaceDN/>
        <w:bidi w:val="0"/>
        <w:adjustRightInd/>
        <w:snapToGrid/>
        <w:spacing w:line="360" w:lineRule="auto"/>
        <w:ind w:firstLine="560" w:firstLineChars="200"/>
        <w:textAlignment w:val="auto"/>
        <w:rPr>
          <w:rFonts w:hint="eastAsia" w:ascii="宋体" w:hAnsi="宋体" w:cs="宋体"/>
          <w:sz w:val="28"/>
          <w:szCs w:val="28"/>
          <w:lang w:val="en-US" w:eastAsia="zh-CN"/>
        </w:rPr>
      </w:pPr>
      <w:r>
        <w:rPr>
          <w:rFonts w:hint="eastAsia" w:ascii="宋体" w:hAnsi="宋体" w:cs="宋体"/>
          <w:sz w:val="28"/>
          <w:szCs w:val="28"/>
          <w:lang w:val="en-US" w:eastAsia="zh-CN"/>
        </w:rPr>
        <w:t>（3）测试完成后，仪器内置的放电电路会自动放电，并且会显示残留电压。</w:t>
      </w:r>
    </w:p>
    <w:p>
      <w:pPr>
        <w:pageBreakBefore w:val="0"/>
        <w:tabs>
          <w:tab w:val="left" w:pos="1125"/>
          <w:tab w:val="left" w:pos="3960"/>
        </w:tabs>
        <w:kinsoku/>
        <w:wordWrap/>
        <w:overflowPunct/>
        <w:topLinePunct w:val="0"/>
        <w:autoSpaceDE/>
        <w:autoSpaceDN/>
        <w:bidi w:val="0"/>
        <w:adjustRightInd/>
        <w:snapToGrid/>
        <w:spacing w:line="360" w:lineRule="auto"/>
        <w:ind w:firstLine="560" w:firstLineChars="200"/>
        <w:textAlignment w:val="auto"/>
        <w:rPr>
          <w:rFonts w:hint="eastAsia" w:ascii="宋体" w:hAnsi="宋体" w:cs="宋体"/>
          <w:sz w:val="28"/>
          <w:szCs w:val="28"/>
          <w:lang w:val="en-US" w:eastAsia="zh-CN"/>
        </w:rPr>
      </w:pPr>
      <w:r>
        <w:rPr>
          <w:rFonts w:hint="eastAsia" w:ascii="宋体" w:hAnsi="宋体" w:cs="宋体"/>
          <w:sz w:val="28"/>
          <w:szCs w:val="28"/>
          <w:lang w:val="en-US" w:eastAsia="zh-CN"/>
        </w:rPr>
        <w:t>（4）屏蔽端能屏蔽测试品表面泄露电流对绝缘测试的影响。</w:t>
      </w:r>
    </w:p>
    <w:p>
      <w:pPr>
        <w:pageBreakBefore w:val="0"/>
        <w:tabs>
          <w:tab w:val="left" w:pos="1125"/>
          <w:tab w:val="left" w:pos="3960"/>
        </w:tabs>
        <w:kinsoku/>
        <w:wordWrap/>
        <w:overflowPunct/>
        <w:topLinePunct w:val="0"/>
        <w:autoSpaceDE/>
        <w:autoSpaceDN/>
        <w:bidi w:val="0"/>
        <w:adjustRightInd/>
        <w:snapToGrid/>
        <w:spacing w:line="360" w:lineRule="auto"/>
        <w:ind w:firstLine="560" w:firstLineChars="200"/>
        <w:textAlignment w:val="auto"/>
        <w:rPr>
          <w:rFonts w:hint="eastAsia" w:ascii="宋体" w:hAnsi="宋体" w:cs="宋体"/>
          <w:sz w:val="28"/>
          <w:szCs w:val="28"/>
          <w:lang w:val="en-US" w:eastAsia="zh-CN"/>
        </w:rPr>
      </w:pPr>
      <w:r>
        <w:rPr>
          <w:rFonts w:hint="eastAsia" w:ascii="宋体" w:hAnsi="宋体" w:cs="宋体"/>
          <w:sz w:val="28"/>
          <w:szCs w:val="28"/>
          <w:lang w:val="en-US" w:eastAsia="zh-CN"/>
        </w:rPr>
        <w:t>（5）三种绝缘测试模式，绝缘(InS)、极化指数(PI)及可变计时测试(t)模式。</w:t>
      </w:r>
    </w:p>
    <w:p>
      <w:pPr>
        <w:pageBreakBefore w:val="0"/>
        <w:tabs>
          <w:tab w:val="left" w:pos="1125"/>
          <w:tab w:val="left" w:pos="3960"/>
        </w:tabs>
        <w:kinsoku/>
        <w:wordWrap/>
        <w:overflowPunct/>
        <w:topLinePunct w:val="0"/>
        <w:autoSpaceDE/>
        <w:autoSpaceDN/>
        <w:bidi w:val="0"/>
        <w:adjustRightInd/>
        <w:snapToGrid/>
        <w:spacing w:line="360" w:lineRule="auto"/>
        <w:ind w:firstLine="560" w:firstLineChars="200"/>
        <w:textAlignment w:val="auto"/>
        <w:rPr>
          <w:rFonts w:hint="eastAsia" w:ascii="宋体" w:hAnsi="宋体" w:cs="宋体"/>
          <w:sz w:val="28"/>
          <w:szCs w:val="28"/>
          <w:lang w:val="en-US" w:eastAsia="zh-CN"/>
        </w:rPr>
      </w:pPr>
      <w:r>
        <w:rPr>
          <w:rFonts w:hint="eastAsia" w:ascii="宋体" w:hAnsi="宋体" w:cs="宋体"/>
          <w:sz w:val="28"/>
          <w:szCs w:val="28"/>
          <w:lang w:val="en-US" w:eastAsia="zh-CN"/>
        </w:rPr>
        <w:t>（6）多种安全措施，高压警告、放电电压显示、测试导线和测试回路自动放电。</w:t>
      </w:r>
    </w:p>
    <w:p>
      <w:pPr>
        <w:pageBreakBefore w:val="0"/>
        <w:tabs>
          <w:tab w:val="left" w:pos="1125"/>
          <w:tab w:val="left" w:pos="3960"/>
        </w:tabs>
        <w:kinsoku/>
        <w:wordWrap/>
        <w:overflowPunct/>
        <w:topLinePunct w:val="0"/>
        <w:autoSpaceDE/>
        <w:autoSpaceDN/>
        <w:bidi w:val="0"/>
        <w:adjustRightInd/>
        <w:snapToGrid/>
        <w:spacing w:line="360" w:lineRule="auto"/>
        <w:ind w:firstLine="560" w:firstLineChars="200"/>
        <w:textAlignment w:val="auto"/>
        <w:rPr>
          <w:rFonts w:hint="eastAsia" w:ascii="宋体" w:hAnsi="宋体" w:cs="宋体"/>
          <w:sz w:val="28"/>
          <w:szCs w:val="28"/>
          <w:lang w:val="en-US" w:eastAsia="zh-CN"/>
        </w:rPr>
      </w:pPr>
      <w:r>
        <w:rPr>
          <w:rFonts w:hint="eastAsia" w:ascii="宋体" w:hAnsi="宋体" w:cs="宋体"/>
          <w:sz w:val="28"/>
          <w:szCs w:val="28"/>
          <w:lang w:val="en-US" w:eastAsia="zh-CN"/>
        </w:rPr>
        <w:t>（7）保险端可以用来减低表面漏电流的影响，从而减少进行绝缘电阻测试时错误测量的需要。</w:t>
      </w:r>
    </w:p>
    <w:p>
      <w:pPr>
        <w:pageBreakBefore w:val="0"/>
        <w:tabs>
          <w:tab w:val="left" w:pos="1125"/>
          <w:tab w:val="left" w:pos="3960"/>
        </w:tabs>
        <w:kinsoku/>
        <w:wordWrap/>
        <w:overflowPunct/>
        <w:topLinePunct w:val="0"/>
        <w:autoSpaceDE/>
        <w:autoSpaceDN/>
        <w:bidi w:val="0"/>
        <w:adjustRightInd/>
        <w:snapToGrid/>
        <w:spacing w:line="360" w:lineRule="auto"/>
        <w:ind w:firstLine="560" w:firstLineChars="200"/>
        <w:textAlignment w:val="auto"/>
        <w:rPr>
          <w:rFonts w:hint="eastAsia" w:ascii="宋体" w:hAnsi="宋体" w:cs="宋体"/>
          <w:sz w:val="28"/>
          <w:szCs w:val="28"/>
          <w:lang w:val="en-US" w:eastAsia="zh-CN"/>
        </w:rPr>
      </w:pPr>
      <w:r>
        <w:rPr>
          <w:rFonts w:hint="eastAsia" w:ascii="宋体" w:hAnsi="宋体" w:cs="宋体"/>
          <w:sz w:val="28"/>
          <w:szCs w:val="28"/>
          <w:lang w:val="en-US" w:eastAsia="zh-CN"/>
        </w:rPr>
        <w:t>（8）CATIII 600V安全级别。</w:t>
      </w:r>
    </w:p>
    <w:p>
      <w:pPr>
        <w:pageBreakBefore w:val="0"/>
        <w:tabs>
          <w:tab w:val="left" w:pos="1125"/>
          <w:tab w:val="left" w:pos="3960"/>
        </w:tabs>
        <w:kinsoku/>
        <w:wordWrap/>
        <w:overflowPunct/>
        <w:topLinePunct w:val="0"/>
        <w:autoSpaceDE/>
        <w:autoSpaceDN/>
        <w:bidi w:val="0"/>
        <w:adjustRightInd/>
        <w:snapToGrid/>
        <w:spacing w:line="360" w:lineRule="auto"/>
        <w:textAlignment w:val="auto"/>
        <w:outlineLvl w:val="1"/>
        <w:rPr>
          <w:rFonts w:hint="eastAsia" w:ascii="宋体" w:hAnsi="宋体" w:eastAsia="宋体" w:cs="宋体"/>
          <w:b/>
          <w:sz w:val="28"/>
          <w:szCs w:val="28"/>
        </w:rPr>
      </w:pPr>
      <w:bookmarkStart w:id="8" w:name="_Toc8804"/>
      <w:r>
        <w:rPr>
          <w:rFonts w:hint="eastAsia" w:ascii="宋体" w:hAnsi="宋体" w:eastAsia="宋体" w:cs="宋体"/>
          <w:b/>
          <w:sz w:val="28"/>
          <w:szCs w:val="28"/>
        </w:rPr>
        <w:t>4.2 技术指标要求</w:t>
      </w:r>
      <w:bookmarkEnd w:id="5"/>
      <w:bookmarkEnd w:id="6"/>
      <w:bookmarkEnd w:id="7"/>
      <w:bookmarkEnd w:id="8"/>
    </w:p>
    <w:tbl>
      <w:tblPr>
        <w:tblStyle w:val="12"/>
        <w:tblW w:w="89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7"/>
        <w:gridCol w:w="6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sz w:val="28"/>
                <w:szCs w:val="28"/>
              </w:rPr>
            </w:pPr>
            <w:r>
              <w:rPr>
                <w:rFonts w:hint="eastAsia" w:ascii="宋体" w:hAnsi="宋体" w:eastAsia="宋体" w:cs="宋体"/>
                <w:b/>
                <w:sz w:val="28"/>
                <w:szCs w:val="28"/>
                <w:lang w:eastAsia="zh-CN"/>
              </w:rPr>
              <w:t>名称</w:t>
            </w:r>
          </w:p>
        </w:tc>
        <w:tc>
          <w:tcPr>
            <w:tcW w:w="614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kern w:val="0"/>
                <w:sz w:val="28"/>
                <w:szCs w:val="28"/>
              </w:rPr>
            </w:pPr>
            <w:r>
              <w:rPr>
                <w:rFonts w:hint="eastAsia" w:ascii="宋体" w:hAnsi="宋体" w:eastAsia="宋体" w:cs="宋体"/>
                <w:b/>
                <w:sz w:val="28"/>
                <w:szCs w:val="28"/>
                <w:lang w:eastAsia="zh-CN"/>
              </w:rPr>
              <w:t>标准参数值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AC电压输入范围</w:t>
            </w:r>
          </w:p>
        </w:tc>
        <w:tc>
          <w:tcPr>
            <w:tcW w:w="614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90-264</w:t>
            </w:r>
            <w:r>
              <w:rPr>
                <w:rFonts w:hint="eastAsia" w:ascii="宋体" w:hAnsi="宋体" w:cs="宋体"/>
                <w:kern w:val="2"/>
                <w:sz w:val="28"/>
                <w:szCs w:val="28"/>
                <w:lang w:val="en-US" w:eastAsia="zh-CN" w:bidi="ar-SA"/>
              </w:rPr>
              <w:t xml:space="preserve"> </w:t>
            </w:r>
            <w:r>
              <w:rPr>
                <w:rFonts w:hint="eastAsia" w:ascii="宋体" w:hAnsi="宋体" w:eastAsia="宋体" w:cs="宋体"/>
                <w:kern w:val="2"/>
                <w:sz w:val="28"/>
                <w:szCs w:val="28"/>
                <w:lang w:val="en-US" w:eastAsia="zh-CN" w:bidi="ar-SA"/>
              </w:rPr>
              <w:t>Vrms</w:t>
            </w:r>
            <w:r>
              <w:rPr>
                <w:rFonts w:hint="eastAsia" w:ascii="宋体" w:hAnsi="宋体" w:cs="宋体"/>
                <w:kern w:val="2"/>
                <w:sz w:val="28"/>
                <w:szCs w:val="28"/>
                <w:lang w:val="en-US" w:eastAsia="zh-CN" w:bidi="ar-SA"/>
              </w:rPr>
              <w:t>，</w:t>
            </w:r>
            <w:r>
              <w:rPr>
                <w:rFonts w:hint="eastAsia" w:ascii="宋体" w:hAnsi="宋体" w:eastAsia="宋体" w:cs="宋体"/>
                <w:kern w:val="2"/>
                <w:sz w:val="28"/>
                <w:szCs w:val="28"/>
                <w:lang w:val="en-US" w:eastAsia="zh-CN" w:bidi="ar-SA"/>
              </w:rPr>
              <w:t>50/60 Hz</w:t>
            </w:r>
            <w:r>
              <w:rPr>
                <w:rFonts w:hint="eastAsia" w:ascii="宋体" w:hAnsi="宋体" w:cs="宋体"/>
                <w:kern w:val="2"/>
                <w:sz w:val="28"/>
                <w:szCs w:val="28"/>
                <w:lang w:val="en-US" w:eastAsia="zh-CN" w:bidi="ar-SA"/>
              </w:rPr>
              <w:t>，</w:t>
            </w:r>
            <w:r>
              <w:rPr>
                <w:rFonts w:hint="eastAsia" w:ascii="宋体" w:hAnsi="宋体" w:eastAsia="宋体" w:cs="宋体"/>
                <w:kern w:val="2"/>
                <w:sz w:val="28"/>
                <w:szCs w:val="28"/>
                <w:lang w:val="en-US" w:eastAsia="zh-CN" w:bidi="ar-SA"/>
              </w:rPr>
              <w:t>100 VA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电池寿命</w:t>
            </w:r>
          </w:p>
        </w:tc>
        <w:tc>
          <w:tcPr>
            <w:tcW w:w="614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6小时(标准)连续测试</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当在5kV &amp;</w:t>
            </w:r>
            <w:r>
              <w:rPr>
                <w:rFonts w:hint="eastAsia" w:ascii="宋体" w:hAnsi="宋体" w:cs="宋体"/>
                <w:kern w:val="2"/>
                <w:sz w:val="28"/>
                <w:szCs w:val="28"/>
                <w:lang w:val="en-US" w:eastAsia="zh-CN" w:bidi="ar-SA"/>
              </w:rPr>
              <w:t xml:space="preserve"> </w:t>
            </w:r>
            <w:r>
              <w:rPr>
                <w:rFonts w:hint="eastAsia" w:ascii="宋体" w:hAnsi="宋体" w:eastAsia="宋体" w:cs="宋体"/>
                <w:kern w:val="2"/>
                <w:sz w:val="28"/>
                <w:szCs w:val="28"/>
                <w:lang w:val="en-US" w:eastAsia="zh-CN" w:bidi="ar-SA"/>
              </w:rPr>
              <w:t>100MΩ负载时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电池充电时间</w:t>
            </w:r>
          </w:p>
        </w:tc>
        <w:tc>
          <w:tcPr>
            <w:tcW w:w="614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2.5小时，深度放电后2小时，正常放电后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30分钟快速充电</w:t>
            </w:r>
          </w:p>
        </w:tc>
        <w:tc>
          <w:tcPr>
            <w:tcW w:w="614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在5kV</w:t>
            </w:r>
            <w:r>
              <w:rPr>
                <w:rFonts w:hint="eastAsia" w:ascii="宋体" w:hAnsi="宋体" w:cs="宋体"/>
                <w:kern w:val="2"/>
                <w:sz w:val="28"/>
                <w:szCs w:val="28"/>
                <w:lang w:val="en-US" w:eastAsia="zh-CN" w:bidi="ar-SA"/>
              </w:rPr>
              <w:t>，</w:t>
            </w:r>
            <w:r>
              <w:rPr>
                <w:rFonts w:hint="eastAsia" w:ascii="宋体" w:hAnsi="宋体" w:eastAsia="宋体" w:cs="宋体"/>
                <w:kern w:val="2"/>
                <w:sz w:val="28"/>
                <w:szCs w:val="28"/>
                <w:lang w:val="en-US" w:eastAsia="zh-CN" w:bidi="ar-SA"/>
              </w:rPr>
              <w:t>100MΩ下满1小时操作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测试电压</w:t>
            </w:r>
          </w:p>
        </w:tc>
        <w:tc>
          <w:tcPr>
            <w:tcW w:w="614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500V</w:t>
            </w:r>
            <w:r>
              <w:rPr>
                <w:rFonts w:hint="eastAsia" w:ascii="宋体" w:hAnsi="宋体" w:cs="宋体"/>
                <w:kern w:val="2"/>
                <w:sz w:val="28"/>
                <w:szCs w:val="28"/>
                <w:lang w:val="en-US" w:eastAsia="zh-CN" w:bidi="ar-SA"/>
              </w:rPr>
              <w:t>、</w:t>
            </w:r>
            <w:r>
              <w:rPr>
                <w:rFonts w:hint="eastAsia" w:ascii="宋体" w:hAnsi="宋体" w:eastAsia="宋体" w:cs="宋体"/>
                <w:kern w:val="2"/>
                <w:sz w:val="28"/>
                <w:szCs w:val="28"/>
                <w:lang w:val="en-US" w:eastAsia="zh-CN" w:bidi="ar-SA"/>
              </w:rPr>
              <w:t>1000V</w:t>
            </w:r>
            <w:r>
              <w:rPr>
                <w:rFonts w:hint="eastAsia" w:ascii="宋体" w:hAnsi="宋体" w:cs="宋体"/>
                <w:kern w:val="2"/>
                <w:sz w:val="28"/>
                <w:szCs w:val="28"/>
                <w:lang w:val="en-US" w:eastAsia="zh-CN" w:bidi="ar-SA"/>
              </w:rPr>
              <w:t>、</w:t>
            </w:r>
            <w:r>
              <w:rPr>
                <w:rFonts w:hint="eastAsia" w:ascii="宋体" w:hAnsi="宋体" w:eastAsia="宋体" w:cs="宋体"/>
                <w:kern w:val="2"/>
                <w:sz w:val="28"/>
                <w:szCs w:val="28"/>
                <w:lang w:val="en-US" w:eastAsia="zh-CN" w:bidi="ar-SA"/>
              </w:rPr>
              <w:t>2500V</w:t>
            </w:r>
            <w:r>
              <w:rPr>
                <w:rFonts w:hint="eastAsia" w:ascii="宋体" w:hAnsi="宋体" w:cs="宋体"/>
                <w:kern w:val="2"/>
                <w:sz w:val="28"/>
                <w:szCs w:val="28"/>
                <w:lang w:val="en-US" w:eastAsia="zh-CN" w:bidi="ar-SA"/>
              </w:rPr>
              <w:t>、</w:t>
            </w:r>
            <w:r>
              <w:rPr>
                <w:rFonts w:hint="eastAsia" w:ascii="宋体" w:hAnsi="宋体" w:eastAsia="宋体" w:cs="宋体"/>
                <w:kern w:val="2"/>
                <w:sz w:val="28"/>
                <w:szCs w:val="28"/>
                <w:lang w:val="en-US" w:eastAsia="zh-CN" w:bidi="ar-SA"/>
              </w:rPr>
              <w:t>5000V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测试电压锁定</w:t>
            </w:r>
          </w:p>
        </w:tc>
        <w:tc>
          <w:tcPr>
            <w:tcW w:w="614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40V至1kV以10V为步进</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1kV至5kV以25V为步进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电压输出精度</w:t>
            </w:r>
          </w:p>
        </w:tc>
        <w:tc>
          <w:tcPr>
            <w:tcW w:w="614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+4%</w:t>
            </w:r>
            <w:r>
              <w:rPr>
                <w:rFonts w:hint="eastAsia" w:ascii="宋体" w:hAnsi="宋体" w:cs="宋体"/>
                <w:kern w:val="2"/>
                <w:sz w:val="28"/>
                <w:szCs w:val="28"/>
                <w:lang w:val="en-US" w:eastAsia="zh-CN" w:bidi="ar-SA"/>
              </w:rPr>
              <w:t>，</w:t>
            </w:r>
            <w:r>
              <w:rPr>
                <w:rFonts w:hint="eastAsia" w:ascii="宋体" w:hAnsi="宋体" w:eastAsia="宋体" w:cs="宋体"/>
                <w:kern w:val="2"/>
                <w:sz w:val="28"/>
                <w:szCs w:val="28"/>
                <w:lang w:val="en-US" w:eastAsia="zh-CN" w:bidi="ar-SA"/>
              </w:rPr>
              <w:t>-0%</w:t>
            </w:r>
            <w:r>
              <w:rPr>
                <w:rFonts w:hint="eastAsia" w:ascii="宋体" w:hAnsi="宋体" w:cs="宋体"/>
                <w:kern w:val="2"/>
                <w:sz w:val="28"/>
                <w:szCs w:val="28"/>
                <w:lang w:val="en-US" w:eastAsia="zh-CN" w:bidi="ar-SA"/>
              </w:rPr>
              <w:t>，</w:t>
            </w:r>
            <w:r>
              <w:rPr>
                <w:rFonts w:hint="eastAsia" w:ascii="宋体" w:hAnsi="宋体" w:eastAsia="宋体" w:cs="宋体"/>
                <w:kern w:val="2"/>
                <w:sz w:val="28"/>
                <w:szCs w:val="28"/>
                <w:lang w:val="en-US" w:eastAsia="zh-CN" w:bidi="ar-SA"/>
              </w:rPr>
              <w:t>±10V正常测试电压</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@1GΩ load (0℃</w:t>
            </w:r>
            <w:r>
              <w:rPr>
                <w:rFonts w:hint="eastAsia" w:ascii="宋体" w:hAnsi="宋体" w:cs="宋体"/>
                <w:kern w:val="2"/>
                <w:sz w:val="28"/>
                <w:szCs w:val="28"/>
                <w:lang w:val="en-US" w:eastAsia="zh-CN" w:bidi="ar-SA"/>
              </w:rPr>
              <w:t xml:space="preserve"> </w:t>
            </w:r>
            <w:r>
              <w:rPr>
                <w:rFonts w:hint="eastAsia" w:ascii="宋体" w:hAnsi="宋体" w:eastAsia="宋体" w:cs="宋体"/>
                <w:kern w:val="2"/>
                <w:sz w:val="28"/>
                <w:szCs w:val="28"/>
                <w:lang w:val="en-US" w:eastAsia="zh-CN" w:bidi="ar-SA"/>
              </w:rPr>
              <w:t>to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绝缘电阻测试范围</w:t>
            </w:r>
          </w:p>
        </w:tc>
        <w:tc>
          <w:tcPr>
            <w:tcW w:w="614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10kΩ-10TΩ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短路电流</w:t>
            </w:r>
          </w:p>
        </w:tc>
        <w:tc>
          <w:tcPr>
            <w:tcW w:w="614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6mA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电容范围</w:t>
            </w:r>
          </w:p>
        </w:tc>
        <w:tc>
          <w:tcPr>
            <w:tcW w:w="614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10nF 至 50μF (取决于测量电压）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电容精度 (23℃)</w:t>
            </w:r>
          </w:p>
        </w:tc>
        <w:tc>
          <w:tcPr>
            <w:tcW w:w="614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±10%±5nF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电流测量范围</w:t>
            </w:r>
          </w:p>
        </w:tc>
        <w:tc>
          <w:tcPr>
            <w:tcW w:w="614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0.01</w:t>
            </w:r>
            <w:r>
              <w:rPr>
                <w:rFonts w:hint="eastAsia" w:ascii="宋体" w:hAnsi="宋体" w:cs="宋体"/>
                <w:kern w:val="2"/>
                <w:sz w:val="28"/>
                <w:szCs w:val="28"/>
                <w:lang w:val="en-US" w:eastAsia="zh-CN" w:bidi="ar-SA"/>
              </w:rPr>
              <w:t xml:space="preserve"> </w:t>
            </w:r>
            <w:r>
              <w:rPr>
                <w:rFonts w:hint="eastAsia" w:ascii="宋体" w:hAnsi="宋体" w:eastAsia="宋体" w:cs="宋体"/>
                <w:kern w:val="2"/>
                <w:sz w:val="28"/>
                <w:szCs w:val="28"/>
                <w:lang w:val="en-US" w:eastAsia="zh-CN" w:bidi="ar-SA"/>
              </w:rPr>
              <w:t>nA至6 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精度(23℃)</w:t>
            </w:r>
          </w:p>
        </w:tc>
        <w:tc>
          <w:tcPr>
            <w:tcW w:w="614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±5%±0.2</w:t>
            </w:r>
            <w:r>
              <w:rPr>
                <w:rFonts w:hint="eastAsia" w:ascii="宋体" w:hAnsi="宋体" w:cs="宋体"/>
                <w:kern w:val="2"/>
                <w:sz w:val="28"/>
                <w:szCs w:val="28"/>
                <w:lang w:val="en-US" w:eastAsia="zh-CN" w:bidi="ar-SA"/>
              </w:rPr>
              <w:t xml:space="preserve"> </w:t>
            </w:r>
            <w:r>
              <w:rPr>
                <w:rFonts w:hint="eastAsia" w:ascii="宋体" w:hAnsi="宋体" w:eastAsia="宋体" w:cs="宋体"/>
                <w:kern w:val="2"/>
                <w:sz w:val="28"/>
                <w:szCs w:val="28"/>
                <w:lang w:val="en-US" w:eastAsia="zh-CN" w:bidi="ar-SA"/>
              </w:rPr>
              <w:t>nA所有电压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干扰抑制</w:t>
            </w:r>
          </w:p>
        </w:tc>
        <w:tc>
          <w:tcPr>
            <w:tcW w:w="614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8mA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软件过滤</w:t>
            </w:r>
          </w:p>
        </w:tc>
        <w:tc>
          <w:tcPr>
            <w:tcW w:w="614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4滤波器设置：10s</w:t>
            </w:r>
            <w:r>
              <w:rPr>
                <w:rFonts w:hint="eastAsia" w:ascii="宋体" w:hAnsi="宋体" w:cs="宋体"/>
                <w:kern w:val="2"/>
                <w:sz w:val="28"/>
                <w:szCs w:val="28"/>
                <w:lang w:val="en-US" w:eastAsia="zh-CN" w:bidi="ar-SA"/>
              </w:rPr>
              <w:t>、</w:t>
            </w:r>
            <w:r>
              <w:rPr>
                <w:rFonts w:hint="eastAsia" w:ascii="宋体" w:hAnsi="宋体" w:eastAsia="宋体" w:cs="宋体"/>
                <w:kern w:val="2"/>
                <w:sz w:val="28"/>
                <w:szCs w:val="28"/>
                <w:lang w:val="en-US" w:eastAsia="zh-CN" w:bidi="ar-SA"/>
              </w:rPr>
              <w:t>30s</w:t>
            </w:r>
            <w:r>
              <w:rPr>
                <w:rFonts w:hint="eastAsia" w:ascii="宋体" w:hAnsi="宋体" w:cs="宋体"/>
                <w:kern w:val="2"/>
                <w:sz w:val="28"/>
                <w:szCs w:val="28"/>
                <w:lang w:val="en-US" w:eastAsia="zh-CN" w:bidi="ar-SA"/>
              </w:rPr>
              <w:t>、</w:t>
            </w:r>
            <w:r>
              <w:rPr>
                <w:rFonts w:hint="eastAsia" w:ascii="宋体" w:hAnsi="宋体" w:eastAsia="宋体" w:cs="宋体"/>
                <w:kern w:val="2"/>
                <w:sz w:val="28"/>
                <w:szCs w:val="28"/>
                <w:lang w:val="en-US" w:eastAsia="zh-CN" w:bidi="ar-SA"/>
              </w:rPr>
              <w:t>100s</w:t>
            </w:r>
            <w:r>
              <w:rPr>
                <w:rFonts w:hint="eastAsia" w:ascii="宋体" w:hAnsi="宋体" w:cs="宋体"/>
                <w:kern w:val="2"/>
                <w:sz w:val="28"/>
                <w:szCs w:val="28"/>
                <w:lang w:val="en-US" w:eastAsia="zh-CN" w:bidi="ar-SA"/>
              </w:rPr>
              <w:t>、</w:t>
            </w:r>
            <w:r>
              <w:rPr>
                <w:rFonts w:hint="eastAsia" w:ascii="宋体" w:hAnsi="宋体" w:eastAsia="宋体" w:cs="宋体"/>
                <w:kern w:val="2"/>
                <w:sz w:val="28"/>
                <w:szCs w:val="28"/>
                <w:lang w:val="en-US" w:eastAsia="zh-CN" w:bidi="ar-SA"/>
              </w:rPr>
              <w:t>200s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电压表量程</w:t>
            </w:r>
          </w:p>
        </w:tc>
        <w:tc>
          <w:tcPr>
            <w:tcW w:w="614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30 V至660 V ac或dc</w:t>
            </w:r>
            <w:r>
              <w:rPr>
                <w:rFonts w:hint="eastAsia" w:ascii="宋体" w:hAnsi="宋体" w:cs="宋体"/>
                <w:kern w:val="2"/>
                <w:sz w:val="28"/>
                <w:szCs w:val="28"/>
                <w:lang w:val="en-US" w:eastAsia="zh-CN" w:bidi="ar-SA"/>
              </w:rPr>
              <w:t>，</w:t>
            </w:r>
            <w:r>
              <w:rPr>
                <w:rFonts w:hint="eastAsia" w:ascii="宋体" w:hAnsi="宋体" w:eastAsia="宋体" w:cs="宋体"/>
                <w:kern w:val="2"/>
                <w:sz w:val="28"/>
                <w:szCs w:val="28"/>
                <w:lang w:val="en-US" w:eastAsia="zh-CN" w:bidi="ar-SA"/>
              </w:rPr>
              <w:t>45 Hz-65 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电压表精度</w:t>
            </w:r>
          </w:p>
        </w:tc>
        <w:tc>
          <w:tcPr>
            <w:tcW w:w="614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±3%</w:t>
            </w:r>
            <w:r>
              <w:rPr>
                <w:rFonts w:hint="eastAsia" w:ascii="宋体" w:hAnsi="宋体" w:cs="宋体"/>
                <w:kern w:val="2"/>
                <w:sz w:val="28"/>
                <w:szCs w:val="28"/>
                <w:lang w:val="en-US" w:eastAsia="zh-CN" w:bidi="ar-SA"/>
              </w:rPr>
              <w:t>，</w:t>
            </w:r>
            <w:r>
              <w:rPr>
                <w:rFonts w:hint="eastAsia" w:ascii="宋体" w:hAnsi="宋体" w:eastAsia="宋体" w:cs="宋体"/>
                <w:kern w:val="2"/>
                <w:sz w:val="28"/>
                <w:szCs w:val="28"/>
                <w:lang w:val="en-US" w:eastAsia="zh-CN" w:bidi="ar-SA"/>
              </w:rPr>
              <w:t>±3V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测试方法</w:t>
            </w:r>
          </w:p>
        </w:tc>
        <w:tc>
          <w:tcPr>
            <w:tcW w:w="614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IR</w:t>
            </w:r>
            <w:r>
              <w:rPr>
                <w:rFonts w:hint="eastAsia" w:ascii="宋体" w:hAnsi="宋体" w:cs="宋体"/>
                <w:kern w:val="2"/>
                <w:sz w:val="28"/>
                <w:szCs w:val="28"/>
                <w:lang w:val="en-US" w:eastAsia="zh-CN" w:bidi="ar-SA"/>
              </w:rPr>
              <w:t>，</w:t>
            </w:r>
            <w:r>
              <w:rPr>
                <w:rFonts w:hint="eastAsia" w:ascii="宋体" w:hAnsi="宋体" w:eastAsia="宋体" w:cs="宋体"/>
                <w:kern w:val="2"/>
                <w:sz w:val="28"/>
                <w:szCs w:val="28"/>
                <w:lang w:val="en-US" w:eastAsia="zh-CN" w:bidi="ar-SA"/>
              </w:rPr>
              <w:t>IR(t)</w:t>
            </w:r>
            <w:r>
              <w:rPr>
                <w:rFonts w:hint="eastAsia" w:ascii="宋体" w:hAnsi="宋体" w:cs="宋体"/>
                <w:kern w:val="2"/>
                <w:sz w:val="28"/>
                <w:szCs w:val="28"/>
                <w:lang w:val="en-US" w:eastAsia="zh-CN" w:bidi="ar-SA"/>
              </w:rPr>
              <w:t>，</w:t>
            </w:r>
            <w:r>
              <w:rPr>
                <w:rFonts w:hint="eastAsia" w:ascii="宋体" w:hAnsi="宋体" w:eastAsia="宋体" w:cs="宋体"/>
                <w:kern w:val="2"/>
                <w:sz w:val="28"/>
                <w:szCs w:val="28"/>
                <w:lang w:val="en-US" w:eastAsia="zh-CN" w:bidi="ar-SA"/>
              </w:rPr>
              <w:t>DAR</w:t>
            </w:r>
            <w:r>
              <w:rPr>
                <w:rFonts w:hint="eastAsia" w:ascii="宋体" w:hAnsi="宋体" w:cs="宋体"/>
                <w:kern w:val="2"/>
                <w:sz w:val="28"/>
                <w:szCs w:val="28"/>
                <w:lang w:val="en-US" w:eastAsia="zh-CN" w:bidi="ar-SA"/>
              </w:rPr>
              <w:t>，</w:t>
            </w:r>
            <w:r>
              <w:rPr>
                <w:rFonts w:hint="eastAsia" w:ascii="宋体" w:hAnsi="宋体" w:eastAsia="宋体" w:cs="宋体"/>
                <w:kern w:val="2"/>
                <w:sz w:val="28"/>
                <w:szCs w:val="28"/>
                <w:lang w:val="en-US" w:eastAsia="zh-CN" w:bidi="ar-SA"/>
              </w:rPr>
              <w:t>PI</w:t>
            </w:r>
            <w:r>
              <w:rPr>
                <w:rFonts w:hint="eastAsia" w:ascii="宋体" w:hAnsi="宋体" w:cs="宋体"/>
                <w:kern w:val="2"/>
                <w:sz w:val="28"/>
                <w:szCs w:val="28"/>
                <w:lang w:val="en-US" w:eastAsia="zh-CN" w:bidi="ar-SA"/>
              </w:rPr>
              <w:t>，</w:t>
            </w:r>
            <w:r>
              <w:rPr>
                <w:rFonts w:hint="eastAsia" w:ascii="宋体" w:hAnsi="宋体" w:eastAsia="宋体" w:cs="宋体"/>
                <w:kern w:val="2"/>
                <w:sz w:val="28"/>
                <w:szCs w:val="28"/>
                <w:lang w:val="en-US" w:eastAsia="zh-CN" w:bidi="ar-SA"/>
              </w:rPr>
              <w:t>DD</w:t>
            </w:r>
            <w:r>
              <w:rPr>
                <w:rFonts w:hint="eastAsia" w:ascii="宋体" w:hAnsi="宋体" w:cs="宋体"/>
                <w:kern w:val="2"/>
                <w:sz w:val="28"/>
                <w:szCs w:val="28"/>
                <w:lang w:val="en-US" w:eastAsia="zh-CN" w:bidi="ar-SA"/>
              </w:rPr>
              <w:t>，</w:t>
            </w:r>
            <w:r>
              <w:rPr>
                <w:rFonts w:hint="eastAsia" w:ascii="宋体" w:hAnsi="宋体" w:eastAsia="宋体" w:cs="宋体"/>
                <w:kern w:val="2"/>
                <w:sz w:val="28"/>
                <w:szCs w:val="28"/>
                <w:lang w:val="en-US" w:eastAsia="zh-CN" w:bidi="ar-SA"/>
              </w:rPr>
              <w:t>SV</w:t>
            </w:r>
            <w:r>
              <w:rPr>
                <w:rFonts w:hint="eastAsia" w:ascii="宋体" w:hAnsi="宋体" w:cs="宋体"/>
                <w:kern w:val="2"/>
                <w:sz w:val="28"/>
                <w:szCs w:val="28"/>
                <w:lang w:val="en-US" w:eastAsia="zh-CN" w:bidi="ar-SA"/>
              </w:rPr>
              <w:t>，</w:t>
            </w:r>
            <w:r>
              <w:rPr>
                <w:rFonts w:hint="eastAsia" w:ascii="宋体" w:hAnsi="宋体" w:eastAsia="宋体" w:cs="宋体"/>
                <w:kern w:val="2"/>
                <w:sz w:val="28"/>
                <w:szCs w:val="28"/>
                <w:lang w:val="en-US" w:eastAsia="zh-CN" w:bidi="ar-SA"/>
              </w:rPr>
              <w:t>ramp 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283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实时输出</w:t>
            </w:r>
          </w:p>
        </w:tc>
        <w:tc>
          <w:tcPr>
            <w:tcW w:w="614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读数/s (V</w:t>
            </w:r>
            <w:r>
              <w:rPr>
                <w:rFonts w:hint="eastAsia" w:ascii="宋体" w:hAnsi="宋体" w:cs="宋体"/>
                <w:kern w:val="2"/>
                <w:sz w:val="28"/>
                <w:szCs w:val="28"/>
                <w:lang w:val="en-US" w:eastAsia="zh-CN" w:bidi="ar-SA"/>
              </w:rPr>
              <w:t>，</w:t>
            </w:r>
            <w:r>
              <w:rPr>
                <w:rFonts w:hint="eastAsia" w:ascii="宋体" w:hAnsi="宋体" w:eastAsia="宋体" w:cs="宋体"/>
                <w:kern w:val="2"/>
                <w:sz w:val="28"/>
                <w:szCs w:val="28"/>
                <w:lang w:val="en-US" w:eastAsia="zh-CN" w:bidi="ar-SA"/>
              </w:rPr>
              <w:t>I</w:t>
            </w:r>
            <w:r>
              <w:rPr>
                <w:rFonts w:hint="eastAsia" w:ascii="宋体" w:hAnsi="宋体" w:cs="宋体"/>
                <w:kern w:val="2"/>
                <w:sz w:val="28"/>
                <w:szCs w:val="28"/>
                <w:lang w:val="en-US" w:eastAsia="zh-CN" w:bidi="ar-SA"/>
              </w:rPr>
              <w:t>，</w:t>
            </w:r>
            <w:r>
              <w:rPr>
                <w:rFonts w:hint="eastAsia" w:ascii="宋体" w:hAnsi="宋体" w:eastAsia="宋体" w:cs="宋体"/>
                <w:kern w:val="2"/>
                <w:sz w:val="28"/>
                <w:szCs w:val="28"/>
                <w:lang w:val="en-US" w:eastAsia="zh-CN" w:bidi="ar-SA"/>
              </w:rPr>
              <w:t>R) 速度为1Hz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充电电流</w:t>
            </w:r>
          </w:p>
        </w:tc>
        <w:tc>
          <w:tcPr>
            <w:tcW w:w="614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2 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绝缘警报</w:t>
            </w:r>
          </w:p>
        </w:tc>
        <w:tc>
          <w:tcPr>
            <w:tcW w:w="614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100 kΩ至10 GΩ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电容器充电电池功率</w:t>
            </w:r>
          </w:p>
        </w:tc>
        <w:tc>
          <w:tcPr>
            <w:tcW w:w="614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&lt;2.5 s/μF to 5 kV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电容器充电AC功率</w:t>
            </w:r>
          </w:p>
        </w:tc>
        <w:tc>
          <w:tcPr>
            <w:tcW w:w="614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&lt;1.5 s/μF to 5 kV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电容器放电</w:t>
            </w:r>
          </w:p>
        </w:tc>
        <w:tc>
          <w:tcPr>
            <w:tcW w:w="614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5 kV to 50 V: &lt;120 ms/μF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IP等级</w:t>
            </w:r>
          </w:p>
        </w:tc>
        <w:tc>
          <w:tcPr>
            <w:tcW w:w="614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IP65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大小</w:t>
            </w:r>
          </w:p>
        </w:tc>
        <w:tc>
          <w:tcPr>
            <w:tcW w:w="614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不得大于290*185*310mm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重量</w:t>
            </w:r>
          </w:p>
        </w:tc>
        <w:tc>
          <w:tcPr>
            <w:tcW w:w="614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不高于5kg</w:t>
            </w:r>
          </w:p>
        </w:tc>
      </w:tr>
    </w:tbl>
    <w:p>
      <w:pPr>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0"/>
          <w:sz w:val="28"/>
          <w:szCs w:val="28"/>
        </w:rPr>
      </w:pPr>
    </w:p>
    <w:p>
      <w:pPr>
        <w:numPr>
          <w:ilvl w:val="0"/>
          <w:numId w:val="0"/>
        </w:numPr>
        <w:spacing w:line="360" w:lineRule="auto"/>
        <w:ind w:leftChars="0"/>
        <w:outlineLvl w:val="0"/>
        <w:rPr>
          <w:rFonts w:hint="eastAsia" w:ascii="宋体" w:hAnsi="宋体" w:eastAsia="宋体" w:cs="宋体"/>
          <w:b/>
          <w:sz w:val="30"/>
          <w:szCs w:val="30"/>
          <w:lang w:val="en-US" w:eastAsia="zh-CN"/>
        </w:rPr>
      </w:pPr>
      <w:bookmarkStart w:id="9" w:name="_Toc11170"/>
      <w:r>
        <w:rPr>
          <w:rFonts w:hint="eastAsia" w:ascii="宋体" w:hAnsi="宋体" w:eastAsia="宋体" w:cs="宋体"/>
          <w:b/>
          <w:sz w:val="30"/>
          <w:szCs w:val="30"/>
          <w:lang w:val="en-US" w:eastAsia="zh-CN"/>
        </w:rPr>
        <w:t>5 设备的供货范围要求</w:t>
      </w:r>
      <w:bookmarkEnd w:id="9"/>
    </w:p>
    <w:p>
      <w:pPr>
        <w:pageBreakBefore w:val="0"/>
        <w:tabs>
          <w:tab w:val="left" w:pos="900"/>
        </w:tabs>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napToGrid w:val="0"/>
          <w:sz w:val="28"/>
          <w:szCs w:val="28"/>
          <w:lang w:val="en-US" w:eastAsia="zh-CN"/>
        </w:rPr>
      </w:pPr>
      <w:r>
        <w:rPr>
          <w:rFonts w:hint="eastAsia" w:ascii="宋体" w:hAnsi="宋体" w:eastAsia="宋体" w:cs="宋体"/>
          <w:snapToGrid w:val="0"/>
          <w:sz w:val="28"/>
          <w:szCs w:val="28"/>
        </w:rPr>
        <w:t>单套供货清单</w:t>
      </w:r>
      <w:r>
        <w:rPr>
          <w:rFonts w:hint="eastAsia" w:ascii="宋体" w:hAnsi="宋体" w:cs="宋体"/>
          <w:snapToGrid w:val="0"/>
          <w:sz w:val="28"/>
          <w:szCs w:val="28"/>
          <w:lang w:val="en-US" w:eastAsia="zh-CN"/>
        </w:rPr>
        <w:t>如下：</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
        <w:gridCol w:w="3595"/>
        <w:gridCol w:w="1853"/>
        <w:gridCol w:w="2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19"/>
              <w:keepNext w:val="0"/>
              <w:keepLines w:val="0"/>
              <w:pageBreakBefore w:val="0"/>
              <w:widowControl w:val="0"/>
              <w:suppressAutoHyphens/>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序号</w:t>
            </w:r>
          </w:p>
        </w:tc>
        <w:tc>
          <w:tcPr>
            <w:tcW w:w="3595" w:type="dxa"/>
            <w:vAlign w:val="center"/>
          </w:tcPr>
          <w:p>
            <w:pPr>
              <w:pStyle w:val="19"/>
              <w:keepNext w:val="0"/>
              <w:keepLines w:val="0"/>
              <w:pageBreakBefore w:val="0"/>
              <w:widowControl w:val="0"/>
              <w:suppressAutoHyphens/>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供货设备</w:t>
            </w:r>
          </w:p>
        </w:tc>
        <w:tc>
          <w:tcPr>
            <w:tcW w:w="1853" w:type="dxa"/>
            <w:vAlign w:val="center"/>
          </w:tcPr>
          <w:p>
            <w:pPr>
              <w:pStyle w:val="19"/>
              <w:keepNext w:val="0"/>
              <w:keepLines w:val="0"/>
              <w:pageBreakBefore w:val="0"/>
              <w:widowControl w:val="0"/>
              <w:suppressAutoHyphens/>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型号</w:t>
            </w:r>
          </w:p>
        </w:tc>
        <w:tc>
          <w:tcPr>
            <w:tcW w:w="2214" w:type="dxa"/>
            <w:vAlign w:val="center"/>
          </w:tcPr>
          <w:p>
            <w:pPr>
              <w:pStyle w:val="19"/>
              <w:keepNext w:val="0"/>
              <w:keepLines w:val="0"/>
              <w:pageBreakBefore w:val="0"/>
              <w:widowControl w:val="0"/>
              <w:suppressAutoHyphens/>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19"/>
              <w:keepNext w:val="0"/>
              <w:keepLines w:val="0"/>
              <w:pageBreakBefore w:val="0"/>
              <w:widowControl w:val="0"/>
              <w:suppressAutoHyphens/>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1</w:t>
            </w:r>
          </w:p>
        </w:tc>
        <w:tc>
          <w:tcPr>
            <w:tcW w:w="3595" w:type="dxa"/>
            <w:vAlign w:val="center"/>
          </w:tcPr>
          <w:p>
            <w:pPr>
              <w:pStyle w:val="19"/>
              <w:keepNext w:val="0"/>
              <w:keepLines w:val="0"/>
              <w:pageBreakBefore w:val="0"/>
              <w:widowControl w:val="0"/>
              <w:tabs>
                <w:tab w:val="left" w:pos="867"/>
                <w:tab w:val="center" w:pos="1749"/>
              </w:tabs>
              <w:suppressAutoHyphens/>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数字式高压兆欧表</w:t>
            </w:r>
          </w:p>
        </w:tc>
        <w:tc>
          <w:tcPr>
            <w:tcW w:w="1853" w:type="dxa"/>
            <w:vAlign w:val="center"/>
          </w:tcPr>
          <w:p>
            <w:pPr>
              <w:pStyle w:val="19"/>
              <w:keepNext w:val="0"/>
              <w:keepLines w:val="0"/>
              <w:pageBreakBefore w:val="0"/>
              <w:widowControl w:val="0"/>
              <w:suppressAutoHyphens/>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2"/>
                <w:sz w:val="28"/>
                <w:szCs w:val="28"/>
                <w:lang w:val="en-US" w:eastAsia="zh-CN" w:bidi="ar-SA"/>
              </w:rPr>
            </w:pPr>
            <w:r>
              <w:rPr>
                <w:rFonts w:hint="eastAsia" w:ascii="宋体" w:hAnsi="宋体" w:cs="宋体"/>
                <w:kern w:val="2"/>
                <w:sz w:val="28"/>
                <w:szCs w:val="28"/>
                <w:lang w:val="en-US" w:eastAsia="zh-CN" w:bidi="ar-SA"/>
              </w:rPr>
              <w:t>/</w:t>
            </w:r>
          </w:p>
        </w:tc>
        <w:tc>
          <w:tcPr>
            <w:tcW w:w="2214" w:type="dxa"/>
            <w:vAlign w:val="center"/>
          </w:tcPr>
          <w:p>
            <w:pPr>
              <w:pStyle w:val="19"/>
              <w:keepNext w:val="0"/>
              <w:keepLines w:val="0"/>
              <w:pageBreakBefore w:val="0"/>
              <w:widowControl w:val="0"/>
              <w:suppressAutoHyphens/>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898" w:type="dxa"/>
            <w:vAlign w:val="center"/>
          </w:tcPr>
          <w:p>
            <w:pPr>
              <w:pStyle w:val="19"/>
              <w:keepNext w:val="0"/>
              <w:keepLines w:val="0"/>
              <w:pageBreakBefore w:val="0"/>
              <w:widowControl w:val="0"/>
              <w:suppressAutoHyphens/>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2</w:t>
            </w:r>
          </w:p>
        </w:tc>
        <w:tc>
          <w:tcPr>
            <w:tcW w:w="3595" w:type="dxa"/>
            <w:vAlign w:val="center"/>
          </w:tcPr>
          <w:p>
            <w:pPr>
              <w:pStyle w:val="19"/>
              <w:keepNext w:val="0"/>
              <w:keepLines w:val="0"/>
              <w:pageBreakBefore w:val="0"/>
              <w:widowControl w:val="0"/>
              <w:suppressAutoHyphens/>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测试线</w:t>
            </w:r>
          </w:p>
        </w:tc>
        <w:tc>
          <w:tcPr>
            <w:tcW w:w="1853" w:type="dxa"/>
            <w:vAlign w:val="center"/>
          </w:tcPr>
          <w:p>
            <w:pPr>
              <w:pStyle w:val="19"/>
              <w:keepNext w:val="0"/>
              <w:keepLines w:val="0"/>
              <w:pageBreakBefore w:val="0"/>
              <w:widowControl w:val="0"/>
              <w:suppressAutoHyphens/>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2"/>
                <w:sz w:val="28"/>
                <w:szCs w:val="28"/>
                <w:lang w:val="en-US" w:eastAsia="zh-CN" w:bidi="ar-SA"/>
              </w:rPr>
            </w:pPr>
            <w:r>
              <w:rPr>
                <w:rFonts w:hint="eastAsia" w:ascii="宋体" w:hAnsi="宋体" w:cs="宋体"/>
                <w:kern w:val="2"/>
                <w:sz w:val="28"/>
                <w:szCs w:val="28"/>
                <w:lang w:val="en-US" w:eastAsia="zh-CN" w:bidi="ar-SA"/>
              </w:rPr>
              <w:t>/</w:t>
            </w:r>
          </w:p>
        </w:tc>
        <w:tc>
          <w:tcPr>
            <w:tcW w:w="2214" w:type="dxa"/>
            <w:vAlign w:val="center"/>
          </w:tcPr>
          <w:p>
            <w:pPr>
              <w:pStyle w:val="19"/>
              <w:keepNext w:val="0"/>
              <w:keepLines w:val="0"/>
              <w:pageBreakBefore w:val="0"/>
              <w:widowControl w:val="0"/>
              <w:suppressAutoHyphens/>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19"/>
              <w:keepNext w:val="0"/>
              <w:keepLines w:val="0"/>
              <w:pageBreakBefore w:val="0"/>
              <w:widowControl w:val="0"/>
              <w:suppressAutoHyphens/>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3</w:t>
            </w:r>
          </w:p>
        </w:tc>
        <w:tc>
          <w:tcPr>
            <w:tcW w:w="3595" w:type="dxa"/>
            <w:vAlign w:val="center"/>
          </w:tcPr>
          <w:p>
            <w:pPr>
              <w:pStyle w:val="19"/>
              <w:keepNext w:val="0"/>
              <w:keepLines w:val="0"/>
              <w:pageBreakBefore w:val="0"/>
              <w:widowControl w:val="0"/>
              <w:suppressAutoHyphens/>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使用说明（操作手册）</w:t>
            </w:r>
          </w:p>
        </w:tc>
        <w:tc>
          <w:tcPr>
            <w:tcW w:w="1853" w:type="dxa"/>
            <w:vAlign w:val="center"/>
          </w:tcPr>
          <w:p>
            <w:pPr>
              <w:pStyle w:val="19"/>
              <w:keepNext w:val="0"/>
              <w:keepLines w:val="0"/>
              <w:pageBreakBefore w:val="0"/>
              <w:widowControl w:val="0"/>
              <w:suppressAutoHyphens/>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2"/>
                <w:sz w:val="28"/>
                <w:szCs w:val="28"/>
                <w:lang w:val="en-US" w:eastAsia="zh-CN" w:bidi="ar-SA"/>
              </w:rPr>
            </w:pPr>
            <w:r>
              <w:rPr>
                <w:rFonts w:hint="eastAsia" w:ascii="宋体" w:hAnsi="宋体" w:cs="宋体"/>
                <w:kern w:val="2"/>
                <w:sz w:val="28"/>
                <w:szCs w:val="28"/>
                <w:lang w:val="en-US" w:eastAsia="zh-CN" w:bidi="ar-SA"/>
              </w:rPr>
              <w:t>/</w:t>
            </w:r>
          </w:p>
        </w:tc>
        <w:tc>
          <w:tcPr>
            <w:tcW w:w="2214" w:type="dxa"/>
            <w:vAlign w:val="center"/>
          </w:tcPr>
          <w:p>
            <w:pPr>
              <w:pStyle w:val="19"/>
              <w:keepNext w:val="0"/>
              <w:keepLines w:val="0"/>
              <w:pageBreakBefore w:val="0"/>
              <w:widowControl w:val="0"/>
              <w:suppressAutoHyphens/>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19"/>
              <w:keepNext w:val="0"/>
              <w:keepLines w:val="0"/>
              <w:pageBreakBefore w:val="0"/>
              <w:widowControl w:val="0"/>
              <w:suppressAutoHyphens/>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4</w:t>
            </w:r>
          </w:p>
        </w:tc>
        <w:tc>
          <w:tcPr>
            <w:tcW w:w="3595" w:type="dxa"/>
            <w:vAlign w:val="center"/>
          </w:tcPr>
          <w:p>
            <w:pPr>
              <w:pStyle w:val="19"/>
              <w:keepNext w:val="0"/>
              <w:keepLines w:val="0"/>
              <w:pageBreakBefore w:val="0"/>
              <w:widowControl w:val="0"/>
              <w:suppressAutoHyphens/>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检测报告</w:t>
            </w:r>
          </w:p>
        </w:tc>
        <w:tc>
          <w:tcPr>
            <w:tcW w:w="1853" w:type="dxa"/>
            <w:vAlign w:val="center"/>
          </w:tcPr>
          <w:p>
            <w:pPr>
              <w:pStyle w:val="19"/>
              <w:keepNext w:val="0"/>
              <w:keepLines w:val="0"/>
              <w:pageBreakBefore w:val="0"/>
              <w:widowControl w:val="0"/>
              <w:suppressAutoHyphens/>
              <w:kinsoku/>
              <w:wordWrap/>
              <w:overflowPunct/>
              <w:topLinePunct w:val="0"/>
              <w:autoSpaceDE/>
              <w:autoSpaceDN/>
              <w:bidi w:val="0"/>
              <w:adjustRightInd/>
              <w:snapToGrid/>
              <w:spacing w:line="240" w:lineRule="auto"/>
              <w:jc w:val="center"/>
              <w:textAlignment w:val="auto"/>
              <w:rPr>
                <w:rFonts w:hint="default" w:ascii="宋体" w:hAnsi="宋体" w:eastAsia="宋体" w:cs="宋体"/>
                <w:kern w:val="2"/>
                <w:sz w:val="28"/>
                <w:szCs w:val="28"/>
                <w:lang w:val="en-US" w:eastAsia="zh-CN" w:bidi="ar-SA"/>
              </w:rPr>
            </w:pPr>
            <w:r>
              <w:rPr>
                <w:rFonts w:hint="eastAsia" w:ascii="宋体" w:hAnsi="宋体" w:cs="宋体"/>
                <w:kern w:val="2"/>
                <w:sz w:val="28"/>
                <w:szCs w:val="28"/>
                <w:lang w:val="en-US" w:eastAsia="zh-CN" w:bidi="ar-SA"/>
              </w:rPr>
              <w:t>/</w:t>
            </w:r>
          </w:p>
        </w:tc>
        <w:tc>
          <w:tcPr>
            <w:tcW w:w="2214" w:type="dxa"/>
            <w:vAlign w:val="center"/>
          </w:tcPr>
          <w:p>
            <w:pPr>
              <w:pStyle w:val="19"/>
              <w:keepNext w:val="0"/>
              <w:keepLines w:val="0"/>
              <w:pageBreakBefore w:val="0"/>
              <w:widowControl w:val="0"/>
              <w:suppressAutoHyphens/>
              <w:kinsoku/>
              <w:wordWrap/>
              <w:overflowPunct/>
              <w:topLinePunct w:val="0"/>
              <w:autoSpaceDE/>
              <w:autoSpaceDN/>
              <w:bidi w:val="0"/>
              <w:adjustRightInd/>
              <w:snapToGrid/>
              <w:spacing w:line="240" w:lineRule="auto"/>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1份</w:t>
            </w:r>
          </w:p>
        </w:tc>
      </w:tr>
    </w:tbl>
    <w:p>
      <w:pPr>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以上为供货验收清单，若不满足做退货并取消合同处理。</w:t>
      </w:r>
    </w:p>
    <w:p>
      <w:pPr>
        <w:pageBreakBefore w:val="0"/>
        <w:kinsoku/>
        <w:wordWrap/>
        <w:overflowPunct/>
        <w:topLinePunct w:val="0"/>
        <w:autoSpaceDE/>
        <w:autoSpaceDN/>
        <w:bidi w:val="0"/>
        <w:adjustRightInd/>
        <w:snapToGrid/>
        <w:spacing w:line="360" w:lineRule="auto"/>
        <w:textAlignment w:val="auto"/>
        <w:outlineLvl w:val="0"/>
        <w:rPr>
          <w:rFonts w:hint="default" w:ascii="Times New Roman" w:hAnsi="Times New Roman" w:eastAsia="宋体" w:cs="Times New Roman"/>
          <w:b/>
          <w:kern w:val="2"/>
          <w:sz w:val="30"/>
          <w:szCs w:val="30"/>
          <w:lang w:val="en-US" w:eastAsia="zh-CN" w:bidi="ar-SA"/>
        </w:rPr>
      </w:pPr>
      <w:bookmarkStart w:id="10" w:name="_Toc22926"/>
      <w:bookmarkStart w:id="11" w:name="_Toc10357"/>
      <w:r>
        <w:rPr>
          <w:rFonts w:hint="default" w:ascii="Times New Roman" w:hAnsi="Times New Roman" w:eastAsia="宋体" w:cs="Times New Roman"/>
          <w:b/>
          <w:kern w:val="2"/>
          <w:sz w:val="30"/>
          <w:szCs w:val="30"/>
          <w:lang w:val="en-US" w:eastAsia="zh-CN" w:bidi="ar-SA"/>
        </w:rPr>
        <w:t>6 包装、运输和贮存</w:t>
      </w:r>
      <w:bookmarkEnd w:id="10"/>
      <w:bookmarkEnd w:id="11"/>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1</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设备制造完成并通过试验后应及时包装</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应得到切实的保护</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确保其不受污损。</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lang w:eastAsia="zh-CN"/>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2</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所有部件经妥善包装或装箱后</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在运输过程中应采取其它防护措施</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以免散失损坏或被盗</w:t>
      </w:r>
      <w:r>
        <w:rPr>
          <w:rFonts w:hint="default" w:ascii="Times New Roman" w:hAnsi="Times New Roman" w:eastAsia="宋体" w:cs="Times New Roman"/>
          <w:sz w:val="28"/>
          <w:szCs w:val="28"/>
          <w:lang w:eastAsia="zh-CN"/>
        </w:rPr>
        <w:t>。</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3</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在包装箱外应标明需方的订货号、发货号。</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4</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各种包装应能确保各零部件在运输过程中不致遭到损坏、丢失、变形、受潮和腐蚀。</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5</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包装箱上应有明显的包装储运图示标志(按GB191)。</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6</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整体产品或分别运输的部件都要适合运输和装载的要求。</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7</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随产品提供的技术资料应完整无缺</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提供份额符合GB11032的要求。</w:t>
      </w:r>
    </w:p>
    <w:p>
      <w:pPr>
        <w:pStyle w:val="4"/>
        <w:keepNext/>
        <w:keepLines/>
        <w:pageBreakBefore w:val="0"/>
        <w:widowControl w:val="0"/>
        <w:tabs>
          <w:tab w:val="left" w:pos="2085"/>
        </w:tabs>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bCs w:val="0"/>
          <w:kern w:val="2"/>
          <w:sz w:val="30"/>
          <w:szCs w:val="30"/>
          <w:lang w:val="en-US" w:eastAsia="zh-CN" w:bidi="ar-SA"/>
        </w:rPr>
      </w:pPr>
      <w:bookmarkStart w:id="12" w:name="_Toc23336"/>
      <w:bookmarkStart w:id="13" w:name="_Toc16264"/>
      <w:bookmarkStart w:id="14" w:name="_Toc18597"/>
      <w:r>
        <w:rPr>
          <w:rFonts w:hint="default" w:ascii="Times New Roman" w:hAnsi="Times New Roman" w:eastAsia="宋体" w:cs="Times New Roman"/>
          <w:b/>
          <w:bCs w:val="0"/>
          <w:kern w:val="2"/>
          <w:sz w:val="30"/>
          <w:szCs w:val="30"/>
          <w:lang w:val="en-US" w:eastAsia="zh-CN" w:bidi="ar-SA"/>
        </w:rPr>
        <w:t>7 售后服务和技术培训</w:t>
      </w:r>
      <w:bookmarkStart w:id="15" w:name="_Toc390088690"/>
      <w:r>
        <w:rPr>
          <w:rFonts w:hint="default" w:ascii="Times New Roman" w:hAnsi="Times New Roman" w:eastAsia="宋体" w:cs="Times New Roman"/>
          <w:b/>
          <w:bCs w:val="0"/>
          <w:kern w:val="2"/>
          <w:sz w:val="30"/>
          <w:szCs w:val="30"/>
          <w:lang w:val="en-US" w:eastAsia="zh-CN" w:bidi="ar-SA"/>
        </w:rPr>
        <w:t>要求</w:t>
      </w:r>
      <w:bookmarkEnd w:id="12"/>
      <w:bookmarkEnd w:id="13"/>
      <w:bookmarkEnd w:id="14"/>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sz w:val="28"/>
          <w:szCs w:val="28"/>
          <w:lang w:val="en-US" w:eastAsia="zh-CN"/>
        </w:rPr>
      </w:pPr>
      <w:bookmarkStart w:id="16" w:name="_Toc16249"/>
      <w:bookmarkStart w:id="17" w:name="_Toc3099"/>
      <w:bookmarkStart w:id="18" w:name="_Toc29029"/>
      <w:r>
        <w:rPr>
          <w:rFonts w:hint="default" w:ascii="Times New Roman" w:hAnsi="Times New Roman" w:eastAsia="宋体" w:cs="Times New Roman"/>
          <w:b/>
          <w:bCs/>
          <w:sz w:val="28"/>
          <w:szCs w:val="28"/>
          <w:lang w:val="en-US" w:eastAsia="zh-CN"/>
        </w:rPr>
        <w:t>7.1 售后服务</w:t>
      </w:r>
      <w:bookmarkEnd w:id="15"/>
      <w:bookmarkEnd w:id="16"/>
      <w:bookmarkEnd w:id="17"/>
      <w:bookmarkEnd w:id="18"/>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（1）</w:t>
      </w:r>
      <w:bookmarkStart w:id="19" w:name="OLE_LINK17"/>
      <w:r>
        <w:rPr>
          <w:rFonts w:hint="default" w:ascii="Times New Roman" w:hAnsi="Times New Roman" w:cs="Times New Roman"/>
          <w:sz w:val="28"/>
          <w:szCs w:val="28"/>
        </w:rPr>
        <w:t>投标方应保证系统投运之日起提供</w:t>
      </w:r>
      <w:bookmarkEnd w:id="19"/>
      <w:r>
        <w:rPr>
          <w:rFonts w:hint="default" w:ascii="Times New Roman" w:hAnsi="Times New Roman" w:cs="Times New Roman"/>
          <w:sz w:val="28"/>
          <w:szCs w:val="28"/>
        </w:rPr>
        <w:t>终身免费软件服务：免费技术支持、免费给予版本升级（不限次数）；</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（2）投标方应保证系统投运之日起提供：</w:t>
      </w:r>
      <w:r>
        <w:rPr>
          <w:rFonts w:hint="eastAsia" w:cs="Times New Roman"/>
          <w:sz w:val="28"/>
          <w:szCs w:val="28"/>
          <w:lang w:val="en-US" w:eastAsia="zh-CN"/>
        </w:rPr>
        <w:t>三</w:t>
      </w:r>
      <w:r>
        <w:rPr>
          <w:rFonts w:hint="default" w:ascii="Times New Roman" w:hAnsi="Times New Roman" w:cs="Times New Roman"/>
          <w:sz w:val="28"/>
          <w:szCs w:val="28"/>
        </w:rPr>
        <w:t>年保修（含人工费用），终身维护；</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（3）</w:t>
      </w:r>
      <w:bookmarkStart w:id="20" w:name="_Toc390088691"/>
      <w:r>
        <w:rPr>
          <w:rFonts w:hint="default" w:ascii="Times New Roman" w:hAnsi="Times New Roman" w:cs="Times New Roman"/>
          <w:sz w:val="28"/>
          <w:szCs w:val="28"/>
        </w:rPr>
        <w:t>投标方对软件提供7×24小时技术支持服务；</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（4）系统运行过程中，如出现软件故障，投标方须在接到用户报告提出维护要求4小时内作出响应，24小时内提交故障分析报告和解决方案。</w:t>
      </w:r>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sz w:val="28"/>
          <w:szCs w:val="28"/>
          <w:lang w:val="en-US" w:eastAsia="zh-CN"/>
        </w:rPr>
      </w:pPr>
      <w:bookmarkStart w:id="21" w:name="_Toc4614"/>
      <w:bookmarkStart w:id="22" w:name="_Toc6783"/>
      <w:bookmarkStart w:id="23" w:name="_Toc430"/>
      <w:bookmarkStart w:id="24" w:name="OLE_LINK22"/>
      <w:r>
        <w:rPr>
          <w:rFonts w:hint="default" w:ascii="Times New Roman" w:hAnsi="Times New Roman" w:eastAsia="宋体" w:cs="Times New Roman"/>
          <w:b/>
          <w:bCs/>
          <w:sz w:val="28"/>
          <w:szCs w:val="28"/>
          <w:lang w:val="en-US" w:eastAsia="zh-CN"/>
        </w:rPr>
        <w:t>7.2 技术培训</w:t>
      </w:r>
      <w:bookmarkEnd w:id="20"/>
      <w:bookmarkEnd w:id="21"/>
      <w:bookmarkEnd w:id="22"/>
      <w:bookmarkEnd w:id="23"/>
    </w:p>
    <w:bookmarkEnd w:id="24"/>
    <w:p>
      <w:pPr>
        <w:pStyle w:val="27"/>
        <w:spacing w:line="360" w:lineRule="auto"/>
        <w:rPr>
          <w:rFonts w:hint="default" w:ascii="Times New Roman" w:hAnsi="Times New Roman" w:eastAsia="宋体" w:cs="Times New Roman"/>
          <w:b/>
          <w:bCs/>
          <w:sz w:val="28"/>
          <w:szCs w:val="28"/>
        </w:rPr>
      </w:pPr>
      <w:r>
        <w:rPr>
          <w:rFonts w:hint="default" w:ascii="Times New Roman" w:hAnsi="Times New Roman" w:eastAsia="宋体" w:cs="Times New Roman"/>
          <w:b/>
          <w:bCs/>
          <w:sz w:val="28"/>
          <w:szCs w:val="28"/>
          <w:lang w:val="en-US" w:eastAsia="zh-CN"/>
        </w:rPr>
        <w:t>7</w:t>
      </w:r>
      <w:r>
        <w:rPr>
          <w:rFonts w:hint="default" w:ascii="Times New Roman" w:hAnsi="Times New Roman" w:eastAsia="宋体" w:cs="Times New Roman"/>
          <w:b/>
          <w:bCs/>
          <w:sz w:val="28"/>
          <w:szCs w:val="28"/>
        </w:rPr>
        <w:t>.2.1</w:t>
      </w:r>
      <w:r>
        <w:rPr>
          <w:rFonts w:hint="default" w:ascii="Times New Roman" w:hAnsi="Times New Roman" w:eastAsia="宋体" w:cs="Times New Roman"/>
          <w:b/>
          <w:bCs/>
          <w:sz w:val="28"/>
          <w:szCs w:val="28"/>
          <w:lang w:val="en-US" w:eastAsia="zh-CN"/>
        </w:rPr>
        <w:t xml:space="preserve"> </w:t>
      </w:r>
      <w:r>
        <w:rPr>
          <w:rFonts w:hint="default" w:ascii="Times New Roman" w:hAnsi="Times New Roman" w:eastAsia="宋体" w:cs="Times New Roman"/>
          <w:b/>
          <w:bCs/>
          <w:sz w:val="28"/>
          <w:szCs w:val="28"/>
        </w:rPr>
        <w:t>培训要求</w:t>
      </w:r>
    </w:p>
    <w:p>
      <w:pPr>
        <w:pStyle w:val="27"/>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（1）投标方须免费提供现场的集中培训，时间</w:t>
      </w:r>
      <w:bookmarkStart w:id="25" w:name="OLE_LINK16"/>
      <w:r>
        <w:rPr>
          <w:rFonts w:hint="default" w:ascii="Times New Roman" w:hAnsi="Times New Roman" w:eastAsia="宋体" w:cs="Times New Roman"/>
          <w:sz w:val="28"/>
          <w:szCs w:val="28"/>
        </w:rPr>
        <w:t>不少于</w:t>
      </w:r>
      <w:bookmarkEnd w:id="25"/>
      <w:r>
        <w:rPr>
          <w:rFonts w:hint="default" w:ascii="Times New Roman" w:hAnsi="Times New Roman" w:eastAsia="宋体" w:cs="Times New Roman"/>
          <w:sz w:val="28"/>
          <w:szCs w:val="28"/>
        </w:rPr>
        <w:t>3天。其中，理论培训1天；实操不少于2天。</w:t>
      </w:r>
    </w:p>
    <w:p>
      <w:pPr>
        <w:pStyle w:val="27"/>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（2）招标方的技术人员在理论和操作方面得到培训，熟悉和掌握仪器的使用和检测结果的评定。</w:t>
      </w:r>
    </w:p>
    <w:p>
      <w:pPr>
        <w:pStyle w:val="27"/>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（3）投标方须向受训人员提供相关操作手册等技术资料。</w:t>
      </w:r>
    </w:p>
    <w:p>
      <w:pPr>
        <w:autoSpaceDE w:val="0"/>
        <w:autoSpaceDN w:val="0"/>
        <w:adjustRightInd w:val="0"/>
        <w:snapToGrid w:val="0"/>
        <w:spacing w:line="360" w:lineRule="auto"/>
        <w:rPr>
          <w:rFonts w:hint="default" w:ascii="Times New Roman" w:hAnsi="Times New Roman" w:cs="Times New Roman"/>
          <w:kern w:val="0"/>
          <w:sz w:val="28"/>
          <w:szCs w:val="28"/>
        </w:rPr>
      </w:pPr>
      <w:bookmarkStart w:id="26" w:name="_Toc341535610"/>
      <w:r>
        <w:rPr>
          <w:rFonts w:hint="default" w:ascii="Times New Roman" w:hAnsi="Times New Roman" w:cs="Times New Roman"/>
          <w:b/>
          <w:bCs/>
          <w:kern w:val="0"/>
          <w:sz w:val="28"/>
          <w:szCs w:val="28"/>
          <w:lang w:val="en-US" w:eastAsia="zh-CN"/>
        </w:rPr>
        <w:t>7</w:t>
      </w:r>
      <w:r>
        <w:rPr>
          <w:rFonts w:hint="default" w:ascii="Times New Roman" w:hAnsi="Times New Roman" w:cs="Times New Roman"/>
          <w:b/>
          <w:bCs/>
          <w:kern w:val="0"/>
          <w:sz w:val="28"/>
          <w:szCs w:val="28"/>
        </w:rPr>
        <w:t>.2.2</w:t>
      </w:r>
      <w:r>
        <w:rPr>
          <w:rFonts w:hint="default" w:ascii="Times New Roman" w:hAnsi="Times New Roman" w:cs="Times New Roman"/>
          <w:b/>
          <w:bCs/>
          <w:kern w:val="0"/>
          <w:sz w:val="28"/>
          <w:szCs w:val="28"/>
          <w:lang w:val="en-US" w:eastAsia="zh-CN"/>
        </w:rPr>
        <w:t xml:space="preserve"> </w:t>
      </w:r>
      <w:r>
        <w:rPr>
          <w:rFonts w:hint="default" w:ascii="Times New Roman" w:hAnsi="Times New Roman" w:cs="Times New Roman"/>
          <w:b/>
          <w:bCs/>
          <w:kern w:val="0"/>
          <w:sz w:val="28"/>
          <w:szCs w:val="28"/>
        </w:rPr>
        <w:t>培训内容</w:t>
      </w:r>
      <w:bookmarkEnd w:id="26"/>
    </w:p>
    <w:p>
      <w:pPr>
        <w:pStyle w:val="27"/>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（1）理论培训：技术原理</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设备使用方法</w:t>
      </w:r>
      <w:r>
        <w:rPr>
          <w:rFonts w:hint="default" w:ascii="Times New Roman" w:hAnsi="Times New Roman" w:eastAsia="宋体" w:cs="Times New Roman"/>
          <w:sz w:val="28"/>
          <w:szCs w:val="28"/>
        </w:rPr>
        <w:t>等；</w:t>
      </w:r>
    </w:p>
    <w:p>
      <w:pPr>
        <w:pStyle w:val="27"/>
        <w:spacing w:line="360" w:lineRule="auto"/>
        <w:ind w:firstLine="560" w:firstLineChars="200"/>
        <w:rPr>
          <w:rFonts w:hint="default" w:ascii="Times New Roman" w:hAnsi="Times New Roman" w:eastAsia="宋体" w:cs="Times New Roman"/>
          <w:b/>
          <w:kern w:val="2"/>
          <w:sz w:val="30"/>
          <w:szCs w:val="30"/>
          <w:lang w:val="en-US" w:eastAsia="zh-CN" w:bidi="ar-SA"/>
        </w:rPr>
      </w:pPr>
      <w:r>
        <w:rPr>
          <w:rFonts w:hint="default" w:ascii="Times New Roman" w:hAnsi="Times New Roman" w:eastAsia="宋体" w:cs="Times New Roman"/>
          <w:sz w:val="28"/>
          <w:szCs w:val="28"/>
        </w:rPr>
        <w:t>（</w:t>
      </w:r>
      <w:r>
        <w:rPr>
          <w:rFonts w:hint="default" w:ascii="Times New Roman" w:hAnsi="Times New Roman" w:eastAsia="宋体" w:cs="Times New Roman"/>
          <w:sz w:val="28"/>
          <w:szCs w:val="28"/>
          <w:lang w:val="en-US" w:eastAsia="zh-CN"/>
        </w:rPr>
        <w:t>2</w:t>
      </w:r>
      <w:r>
        <w:rPr>
          <w:rFonts w:hint="default" w:ascii="Times New Roman" w:hAnsi="Times New Roman" w:eastAsia="宋体" w:cs="Times New Roman"/>
          <w:sz w:val="28"/>
          <w:szCs w:val="28"/>
        </w:rPr>
        <w:t>）</w:t>
      </w:r>
      <w:r>
        <w:rPr>
          <w:rFonts w:hint="default" w:ascii="Times New Roman" w:hAnsi="Times New Roman" w:eastAsia="宋体" w:cs="Times New Roman"/>
          <w:sz w:val="28"/>
          <w:szCs w:val="28"/>
          <w:lang w:val="en-US" w:eastAsia="zh-CN"/>
        </w:rPr>
        <w:t>实操</w:t>
      </w:r>
      <w:r>
        <w:rPr>
          <w:rFonts w:hint="default" w:ascii="Times New Roman" w:hAnsi="Times New Roman" w:eastAsia="宋体" w:cs="Times New Roman"/>
          <w:sz w:val="28"/>
          <w:szCs w:val="28"/>
        </w:rPr>
        <w:t>培训：根据需方的安排，开展一座变电站相关设备等一次检测。</w:t>
      </w:r>
    </w:p>
    <w:p>
      <w:pPr>
        <w:pStyle w:val="4"/>
        <w:keepNext/>
        <w:keepLines/>
        <w:pageBreakBefore w:val="0"/>
        <w:widowControl w:val="0"/>
        <w:tabs>
          <w:tab w:val="left" w:pos="2085"/>
        </w:tabs>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bCs w:val="0"/>
          <w:kern w:val="2"/>
          <w:sz w:val="30"/>
          <w:szCs w:val="30"/>
          <w:lang w:val="en-US" w:eastAsia="zh-CN" w:bidi="ar-SA"/>
        </w:rPr>
      </w:pPr>
      <w:bookmarkStart w:id="27" w:name="_Toc25839"/>
      <w:bookmarkStart w:id="28" w:name="_Toc26867"/>
      <w:bookmarkStart w:id="29" w:name="_Toc7428"/>
      <w:r>
        <w:rPr>
          <w:rFonts w:hint="default" w:ascii="Times New Roman" w:hAnsi="Times New Roman" w:eastAsia="宋体" w:cs="Times New Roman"/>
          <w:b/>
          <w:bCs w:val="0"/>
          <w:kern w:val="2"/>
          <w:sz w:val="30"/>
          <w:szCs w:val="30"/>
          <w:lang w:val="en-US" w:eastAsia="zh-CN" w:bidi="ar-SA"/>
        </w:rPr>
        <w:t>8 验收</w:t>
      </w:r>
      <w:bookmarkStart w:id="30" w:name="_Toc387612874"/>
      <w:bookmarkStart w:id="31" w:name="_Toc390088694"/>
      <w:bookmarkStart w:id="32" w:name="_Toc291690060"/>
      <w:r>
        <w:rPr>
          <w:rFonts w:hint="default" w:ascii="Times New Roman" w:hAnsi="Times New Roman" w:eastAsia="宋体" w:cs="Times New Roman"/>
          <w:b/>
          <w:bCs w:val="0"/>
          <w:kern w:val="2"/>
          <w:sz w:val="30"/>
          <w:szCs w:val="30"/>
          <w:lang w:val="en-US" w:eastAsia="zh-CN" w:bidi="ar-SA"/>
        </w:rPr>
        <w:t>要求</w:t>
      </w:r>
      <w:bookmarkEnd w:id="27"/>
      <w:bookmarkEnd w:id="28"/>
      <w:bookmarkEnd w:id="29"/>
    </w:p>
    <w:bookmarkEnd w:id="30"/>
    <w:bookmarkEnd w:id="31"/>
    <w:p>
      <w:pPr>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cs="Times New Roman"/>
          <w:sz w:val="28"/>
          <w:szCs w:val="28"/>
        </w:rPr>
      </w:pPr>
      <w:r>
        <w:rPr>
          <w:rFonts w:hint="default" w:ascii="Times New Roman" w:hAnsi="Times New Roman" w:cs="Times New Roman"/>
          <w:sz w:val="28"/>
          <w:szCs w:val="28"/>
        </w:rPr>
        <w:t>系统测试验收划分为二个阶段，即到货验收、现场验收。</w:t>
      </w:r>
      <w:bookmarkStart w:id="33" w:name="_Toc387612875"/>
      <w:bookmarkStart w:id="34" w:name="_Toc341535612"/>
      <w:bookmarkStart w:id="35" w:name="_Toc257812191"/>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kern w:val="0"/>
          <w:sz w:val="28"/>
          <w:szCs w:val="28"/>
          <w:lang w:val="en-US" w:eastAsia="zh-CN" w:bidi="ar-SA"/>
        </w:rPr>
      </w:pPr>
      <w:bookmarkStart w:id="36" w:name="_Toc22741"/>
      <w:bookmarkStart w:id="37" w:name="_Toc27907"/>
      <w:bookmarkStart w:id="38" w:name="_Toc23903"/>
      <w:bookmarkStart w:id="39" w:name="OLE_LINK21"/>
      <w:r>
        <w:rPr>
          <w:rFonts w:hint="default" w:ascii="Times New Roman" w:hAnsi="Times New Roman" w:eastAsia="宋体" w:cs="Times New Roman"/>
          <w:b/>
          <w:bCs/>
          <w:kern w:val="0"/>
          <w:sz w:val="28"/>
          <w:szCs w:val="28"/>
          <w:lang w:val="en-US" w:eastAsia="zh-CN" w:bidi="ar-SA"/>
        </w:rPr>
        <w:t>8.1 到货验收</w:t>
      </w:r>
      <w:bookmarkEnd w:id="33"/>
      <w:bookmarkEnd w:id="34"/>
      <w:bookmarkEnd w:id="35"/>
      <w:bookmarkEnd w:id="36"/>
      <w:bookmarkEnd w:id="37"/>
      <w:bookmarkEnd w:id="38"/>
    </w:p>
    <w:bookmarkEnd w:id="39"/>
    <w:p>
      <w:pPr>
        <w:pStyle w:val="27"/>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到货验收包括对硬件的型号、数量以及详细参数进行验收，检查软件是否已安装进系统。</w:t>
      </w:r>
      <w:bookmarkStart w:id="40" w:name="_Toc341535616"/>
      <w:bookmarkStart w:id="41" w:name="_Toc257812192"/>
      <w:bookmarkStart w:id="42" w:name="_Toc387612876"/>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kern w:val="0"/>
          <w:sz w:val="28"/>
          <w:szCs w:val="28"/>
          <w:lang w:val="en-US" w:eastAsia="zh-CN" w:bidi="ar-SA"/>
        </w:rPr>
      </w:pPr>
      <w:bookmarkStart w:id="43" w:name="_Toc9650"/>
      <w:bookmarkStart w:id="44" w:name="_Toc5236"/>
      <w:bookmarkStart w:id="45" w:name="_Toc22068"/>
      <w:r>
        <w:rPr>
          <w:rFonts w:hint="default" w:ascii="Times New Roman" w:hAnsi="Times New Roman" w:eastAsia="宋体" w:cs="Times New Roman"/>
          <w:b/>
          <w:bCs/>
          <w:kern w:val="0"/>
          <w:sz w:val="28"/>
          <w:szCs w:val="28"/>
          <w:lang w:val="en-US" w:eastAsia="zh-CN" w:bidi="ar-SA"/>
        </w:rPr>
        <w:t>8.2 现场验收</w:t>
      </w:r>
      <w:bookmarkEnd w:id="40"/>
      <w:bookmarkEnd w:id="41"/>
      <w:bookmarkEnd w:id="42"/>
      <w:bookmarkEnd w:id="43"/>
      <w:bookmarkEnd w:id="44"/>
      <w:bookmarkEnd w:id="45"/>
    </w:p>
    <w:p>
      <w:pPr>
        <w:spacing w:line="360" w:lineRule="auto"/>
        <w:ind w:firstLine="560" w:firstLineChars="200"/>
        <w:rPr>
          <w:rFonts w:ascii="宋体" w:hAnsi="宋体"/>
          <w:szCs w:val="21"/>
        </w:rPr>
      </w:pPr>
      <w:r>
        <w:rPr>
          <w:rFonts w:hint="default" w:ascii="Times New Roman" w:hAnsi="Times New Roman" w:eastAsia="宋体" w:cs="Times New Roman"/>
          <w:sz w:val="28"/>
          <w:szCs w:val="28"/>
        </w:rPr>
        <w:t>以投标方协助需方完成培训内容为标准进行验收</w:t>
      </w:r>
      <w:bookmarkEnd w:id="32"/>
      <w:r>
        <w:rPr>
          <w:rFonts w:hint="default" w:ascii="Times New Roman" w:hAnsi="Times New Roman" w:eastAsia="宋体" w:cs="Times New Roman"/>
          <w:sz w:val="28"/>
          <w:szCs w:val="28"/>
          <w:lang w:eastAsia="zh-CN"/>
        </w:rPr>
        <w:t>。</w:t>
      </w:r>
    </w:p>
    <w:sectPr>
      <w:footerReference r:id="rId4" w:type="default"/>
      <w:pgSz w:w="12240" w:h="15840"/>
      <w:pgMar w:top="1440" w:right="1797" w:bottom="1440" w:left="1797" w:header="720" w:footer="720" w:gutter="0"/>
      <w:pgNumType w:fmt="decimal" w:start="1"/>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roman"/>
    <w:pitch w:val="default"/>
    <w:sig w:usb0="00000000" w:usb1="00000000" w:usb2="0000003F" w:usb3="00000000" w:csb0="603F01FF" w:csb1="FFFF0000"/>
  </w:font>
  <w:font w:name="微软雅黑">
    <w:panose1 w:val="020B0503020204020204"/>
    <w:charset w:val="86"/>
    <w:family w:val="swiss"/>
    <w:pitch w:val="default"/>
    <w:sig w:usb0="80000287" w:usb1="2ACF3C50" w:usb2="00000016" w:usb3="00000000" w:csb0="0004001F" w:csb1="00000000"/>
  </w:font>
  <w:font w:name="华文宋体">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9"/>
                </w:pPr>
                <w:r>
                  <w:fldChar w:fldCharType="begin"/>
                </w:r>
                <w:r>
                  <w:instrText xml:space="preserve"> PAGE  \* MERGEFORMAT </w:instrText>
                </w:r>
                <w:r>
                  <w:fldChar w:fldCharType="separate"/>
                </w:r>
                <w:r>
                  <w:t>2</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2880" w:firstLineChars="1600"/>
      <w:jc w:val="both"/>
      <w:rPr>
        <w:rFonts w:hint="default" w:ascii="宋体" w:hAnsi="宋体" w:eastAsia="宋体"/>
        <w:lang w:val="en-US" w:eastAsia="zh-CN"/>
      </w:rPr>
    </w:pPr>
    <w:r>
      <w:rPr>
        <w:rFonts w:hint="eastAsia" w:ascii="宋体" w:hAnsi="宋体"/>
      </w:rPr>
      <w:t xml:space="preserve">                             </w:t>
    </w:r>
    <w:r>
      <w:rPr>
        <w:rFonts w:hint="eastAsia" w:ascii="宋体" w:hAnsi="宋体"/>
        <w:lang w:val="en-US" w:eastAsia="zh-CN"/>
      </w:rPr>
      <w:t xml:space="preserve"> 变电专业数字式高压兆欧表技术规范书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796E71"/>
    <w:multiLevelType w:val="singleLevel"/>
    <w:tmpl w:val="3E796E71"/>
    <w:lvl w:ilvl="0" w:tentative="0">
      <w:start w:val="1"/>
      <w:numFmt w:val="decimal"/>
      <w:lvlText w:val="%1、"/>
      <w:lvlJc w:val="left"/>
      <w:pPr>
        <w:tabs>
          <w:tab w:val="left" w:pos="570"/>
        </w:tabs>
        <w:ind w:left="570" w:hanging="36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gutterAtTop/>
  <w:documentProtection w:enforcement="0"/>
  <w:defaultTabStop w:val="420"/>
  <w:drawingGridHorizontalSpacing w:val="105"/>
  <w:drawingGridVerticalSpacing w:val="143"/>
  <w:displayHorizontalDrawingGridEvery w:val="1"/>
  <w:displayVerticalDrawingGridEvery w:val="1"/>
  <w:doNotShadeFormData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172A27"/>
    <w:rsid w:val="000035E1"/>
    <w:rsid w:val="00022BDE"/>
    <w:rsid w:val="000242F6"/>
    <w:rsid w:val="00027BF9"/>
    <w:rsid w:val="0005282D"/>
    <w:rsid w:val="00054B15"/>
    <w:rsid w:val="0007361B"/>
    <w:rsid w:val="00083FF4"/>
    <w:rsid w:val="000929A6"/>
    <w:rsid w:val="0009426D"/>
    <w:rsid w:val="000B212F"/>
    <w:rsid w:val="000D060D"/>
    <w:rsid w:val="000E0B6B"/>
    <w:rsid w:val="000E3A0F"/>
    <w:rsid w:val="00133AF7"/>
    <w:rsid w:val="00142319"/>
    <w:rsid w:val="00172A27"/>
    <w:rsid w:val="00187370"/>
    <w:rsid w:val="001E0CF1"/>
    <w:rsid w:val="00212B1F"/>
    <w:rsid w:val="00214840"/>
    <w:rsid w:val="002550D5"/>
    <w:rsid w:val="00274732"/>
    <w:rsid w:val="0027656D"/>
    <w:rsid w:val="00286C41"/>
    <w:rsid w:val="00291B33"/>
    <w:rsid w:val="002A1D5D"/>
    <w:rsid w:val="002A593A"/>
    <w:rsid w:val="002A7143"/>
    <w:rsid w:val="002B1D6E"/>
    <w:rsid w:val="002B5F07"/>
    <w:rsid w:val="002B78D0"/>
    <w:rsid w:val="002C018F"/>
    <w:rsid w:val="002F0F8B"/>
    <w:rsid w:val="002F625C"/>
    <w:rsid w:val="00302818"/>
    <w:rsid w:val="00312008"/>
    <w:rsid w:val="00334ED3"/>
    <w:rsid w:val="0036262E"/>
    <w:rsid w:val="00372DF9"/>
    <w:rsid w:val="00374B10"/>
    <w:rsid w:val="00397BEF"/>
    <w:rsid w:val="003C63C7"/>
    <w:rsid w:val="003F1B09"/>
    <w:rsid w:val="00404BFF"/>
    <w:rsid w:val="004054C8"/>
    <w:rsid w:val="00411A58"/>
    <w:rsid w:val="00421AF0"/>
    <w:rsid w:val="0044464B"/>
    <w:rsid w:val="00453089"/>
    <w:rsid w:val="0045545B"/>
    <w:rsid w:val="00475D99"/>
    <w:rsid w:val="00476D30"/>
    <w:rsid w:val="004861F1"/>
    <w:rsid w:val="00490D38"/>
    <w:rsid w:val="004A5264"/>
    <w:rsid w:val="004F0BBD"/>
    <w:rsid w:val="00515503"/>
    <w:rsid w:val="00530101"/>
    <w:rsid w:val="00545565"/>
    <w:rsid w:val="005516AD"/>
    <w:rsid w:val="005673D2"/>
    <w:rsid w:val="005718DB"/>
    <w:rsid w:val="00572083"/>
    <w:rsid w:val="00575854"/>
    <w:rsid w:val="005B3C3E"/>
    <w:rsid w:val="005C06BF"/>
    <w:rsid w:val="005C5FD4"/>
    <w:rsid w:val="005D7D51"/>
    <w:rsid w:val="0060183B"/>
    <w:rsid w:val="006109C8"/>
    <w:rsid w:val="00614DD7"/>
    <w:rsid w:val="00620FA0"/>
    <w:rsid w:val="00653640"/>
    <w:rsid w:val="00660130"/>
    <w:rsid w:val="00662556"/>
    <w:rsid w:val="006671D4"/>
    <w:rsid w:val="006A5858"/>
    <w:rsid w:val="006C13B5"/>
    <w:rsid w:val="006D0825"/>
    <w:rsid w:val="006E4A3B"/>
    <w:rsid w:val="006F15E7"/>
    <w:rsid w:val="006F356C"/>
    <w:rsid w:val="006F5FD0"/>
    <w:rsid w:val="006F615E"/>
    <w:rsid w:val="00715F97"/>
    <w:rsid w:val="00720314"/>
    <w:rsid w:val="0072357D"/>
    <w:rsid w:val="00723D38"/>
    <w:rsid w:val="00744B2E"/>
    <w:rsid w:val="00757DDB"/>
    <w:rsid w:val="00766FCC"/>
    <w:rsid w:val="00767DC9"/>
    <w:rsid w:val="0077422F"/>
    <w:rsid w:val="007903FA"/>
    <w:rsid w:val="007A6AF8"/>
    <w:rsid w:val="007E150A"/>
    <w:rsid w:val="00811D27"/>
    <w:rsid w:val="0083606F"/>
    <w:rsid w:val="00853ACF"/>
    <w:rsid w:val="00861E03"/>
    <w:rsid w:val="00885066"/>
    <w:rsid w:val="00897E2F"/>
    <w:rsid w:val="008A13EB"/>
    <w:rsid w:val="008B3ED1"/>
    <w:rsid w:val="008B7D17"/>
    <w:rsid w:val="008C550E"/>
    <w:rsid w:val="00903147"/>
    <w:rsid w:val="0091574D"/>
    <w:rsid w:val="00926765"/>
    <w:rsid w:val="00932C8D"/>
    <w:rsid w:val="00962C65"/>
    <w:rsid w:val="0098104B"/>
    <w:rsid w:val="00A03D85"/>
    <w:rsid w:val="00A205B9"/>
    <w:rsid w:val="00A257B6"/>
    <w:rsid w:val="00A46A9F"/>
    <w:rsid w:val="00A51B42"/>
    <w:rsid w:val="00A528D2"/>
    <w:rsid w:val="00A545C9"/>
    <w:rsid w:val="00AC41D5"/>
    <w:rsid w:val="00AD26D5"/>
    <w:rsid w:val="00AE2150"/>
    <w:rsid w:val="00AE64D2"/>
    <w:rsid w:val="00B61CFA"/>
    <w:rsid w:val="00B87E6E"/>
    <w:rsid w:val="00B96D3D"/>
    <w:rsid w:val="00BB09DA"/>
    <w:rsid w:val="00BB5AA6"/>
    <w:rsid w:val="00BE0618"/>
    <w:rsid w:val="00BE3D18"/>
    <w:rsid w:val="00C153E3"/>
    <w:rsid w:val="00C55880"/>
    <w:rsid w:val="00C7290C"/>
    <w:rsid w:val="00C92FF8"/>
    <w:rsid w:val="00CA36A1"/>
    <w:rsid w:val="00CA4ED3"/>
    <w:rsid w:val="00CB23DB"/>
    <w:rsid w:val="00CB4B8C"/>
    <w:rsid w:val="00CC2321"/>
    <w:rsid w:val="00CC597B"/>
    <w:rsid w:val="00CE048D"/>
    <w:rsid w:val="00CE4DFB"/>
    <w:rsid w:val="00CE4E80"/>
    <w:rsid w:val="00CF4840"/>
    <w:rsid w:val="00CF72D4"/>
    <w:rsid w:val="00D30360"/>
    <w:rsid w:val="00D350E2"/>
    <w:rsid w:val="00D976F8"/>
    <w:rsid w:val="00DC730E"/>
    <w:rsid w:val="00DD1D78"/>
    <w:rsid w:val="00DE7114"/>
    <w:rsid w:val="00DF482B"/>
    <w:rsid w:val="00E34AF7"/>
    <w:rsid w:val="00E64616"/>
    <w:rsid w:val="00E92E57"/>
    <w:rsid w:val="00EA3EEA"/>
    <w:rsid w:val="00EA6DC9"/>
    <w:rsid w:val="00EC1566"/>
    <w:rsid w:val="00EE47FC"/>
    <w:rsid w:val="00F00BE3"/>
    <w:rsid w:val="00F00F8D"/>
    <w:rsid w:val="00F22B91"/>
    <w:rsid w:val="00F24602"/>
    <w:rsid w:val="00F5425B"/>
    <w:rsid w:val="00F57B66"/>
    <w:rsid w:val="00F749C6"/>
    <w:rsid w:val="00F8005A"/>
    <w:rsid w:val="00FA2B19"/>
    <w:rsid w:val="00FB3D25"/>
    <w:rsid w:val="00FD37FD"/>
    <w:rsid w:val="00FF0701"/>
    <w:rsid w:val="00FF31C9"/>
    <w:rsid w:val="01216BCF"/>
    <w:rsid w:val="021D332E"/>
    <w:rsid w:val="039970F0"/>
    <w:rsid w:val="04B85A8C"/>
    <w:rsid w:val="06C83369"/>
    <w:rsid w:val="06F74250"/>
    <w:rsid w:val="06FC1FE4"/>
    <w:rsid w:val="073440CA"/>
    <w:rsid w:val="083B22E9"/>
    <w:rsid w:val="089538A4"/>
    <w:rsid w:val="0AA06A69"/>
    <w:rsid w:val="0B1D612C"/>
    <w:rsid w:val="0B7E463B"/>
    <w:rsid w:val="0B9E7B3E"/>
    <w:rsid w:val="0BAC324C"/>
    <w:rsid w:val="0BBD0B5D"/>
    <w:rsid w:val="0BC25FDA"/>
    <w:rsid w:val="0D03755D"/>
    <w:rsid w:val="0D09760B"/>
    <w:rsid w:val="0DF84B27"/>
    <w:rsid w:val="0E4C7BE5"/>
    <w:rsid w:val="0ECF52F5"/>
    <w:rsid w:val="10884FAF"/>
    <w:rsid w:val="117656A1"/>
    <w:rsid w:val="11C76314"/>
    <w:rsid w:val="11F81621"/>
    <w:rsid w:val="121A5772"/>
    <w:rsid w:val="122703EF"/>
    <w:rsid w:val="128959F9"/>
    <w:rsid w:val="129375E2"/>
    <w:rsid w:val="1364719A"/>
    <w:rsid w:val="13A0311A"/>
    <w:rsid w:val="14AE74C4"/>
    <w:rsid w:val="152A59B2"/>
    <w:rsid w:val="15597D95"/>
    <w:rsid w:val="157E633F"/>
    <w:rsid w:val="160C0C6D"/>
    <w:rsid w:val="17247B54"/>
    <w:rsid w:val="17E9578A"/>
    <w:rsid w:val="196A1CCC"/>
    <w:rsid w:val="1A050DE8"/>
    <w:rsid w:val="1E476C31"/>
    <w:rsid w:val="206C32B1"/>
    <w:rsid w:val="20A85646"/>
    <w:rsid w:val="21B6556D"/>
    <w:rsid w:val="22783F62"/>
    <w:rsid w:val="22F56ECA"/>
    <w:rsid w:val="23485F72"/>
    <w:rsid w:val="23846F1A"/>
    <w:rsid w:val="26301520"/>
    <w:rsid w:val="264577A3"/>
    <w:rsid w:val="264B09E7"/>
    <w:rsid w:val="292B071C"/>
    <w:rsid w:val="2BF96554"/>
    <w:rsid w:val="2CD803A2"/>
    <w:rsid w:val="2D5F3BEA"/>
    <w:rsid w:val="2DAD1295"/>
    <w:rsid w:val="2E3D1E67"/>
    <w:rsid w:val="2F82055E"/>
    <w:rsid w:val="2FFA4747"/>
    <w:rsid w:val="3015100B"/>
    <w:rsid w:val="32B02F4F"/>
    <w:rsid w:val="33515420"/>
    <w:rsid w:val="335A7731"/>
    <w:rsid w:val="3459654B"/>
    <w:rsid w:val="34D658BF"/>
    <w:rsid w:val="359F2D89"/>
    <w:rsid w:val="35A53D8B"/>
    <w:rsid w:val="35E67CC2"/>
    <w:rsid w:val="35EA73E3"/>
    <w:rsid w:val="37130BEA"/>
    <w:rsid w:val="386C41A1"/>
    <w:rsid w:val="397E1DFD"/>
    <w:rsid w:val="398B33E3"/>
    <w:rsid w:val="3B007723"/>
    <w:rsid w:val="3B3E176C"/>
    <w:rsid w:val="3EB65EA7"/>
    <w:rsid w:val="3EC76A8F"/>
    <w:rsid w:val="3F1A5214"/>
    <w:rsid w:val="3F306184"/>
    <w:rsid w:val="407946F1"/>
    <w:rsid w:val="43981875"/>
    <w:rsid w:val="4592285F"/>
    <w:rsid w:val="45FA704D"/>
    <w:rsid w:val="461061B1"/>
    <w:rsid w:val="46122A69"/>
    <w:rsid w:val="47966882"/>
    <w:rsid w:val="47F67200"/>
    <w:rsid w:val="48935017"/>
    <w:rsid w:val="49A73E15"/>
    <w:rsid w:val="4B3E25C7"/>
    <w:rsid w:val="4BF316AA"/>
    <w:rsid w:val="4C2C0CD0"/>
    <w:rsid w:val="4C6B6707"/>
    <w:rsid w:val="4CC534FF"/>
    <w:rsid w:val="4CF47715"/>
    <w:rsid w:val="4D442103"/>
    <w:rsid w:val="4D605863"/>
    <w:rsid w:val="4DE24485"/>
    <w:rsid w:val="4F121247"/>
    <w:rsid w:val="524220F7"/>
    <w:rsid w:val="52873053"/>
    <w:rsid w:val="53176A9C"/>
    <w:rsid w:val="53F40CBE"/>
    <w:rsid w:val="542A117B"/>
    <w:rsid w:val="546F3F6B"/>
    <w:rsid w:val="54F112A5"/>
    <w:rsid w:val="559336C4"/>
    <w:rsid w:val="55D90C66"/>
    <w:rsid w:val="55EF668D"/>
    <w:rsid w:val="56343C80"/>
    <w:rsid w:val="56DD1F1C"/>
    <w:rsid w:val="585B5B7A"/>
    <w:rsid w:val="595744CF"/>
    <w:rsid w:val="59785C59"/>
    <w:rsid w:val="5A5B1DED"/>
    <w:rsid w:val="5AA62E48"/>
    <w:rsid w:val="5CAC0170"/>
    <w:rsid w:val="5CB660AB"/>
    <w:rsid w:val="5CDD10BF"/>
    <w:rsid w:val="5E052881"/>
    <w:rsid w:val="5F273CAC"/>
    <w:rsid w:val="5F5027A2"/>
    <w:rsid w:val="61001CE1"/>
    <w:rsid w:val="61877856"/>
    <w:rsid w:val="621870FC"/>
    <w:rsid w:val="6249287A"/>
    <w:rsid w:val="64C90076"/>
    <w:rsid w:val="65DC68AD"/>
    <w:rsid w:val="65F60B40"/>
    <w:rsid w:val="66042581"/>
    <w:rsid w:val="677E43FB"/>
    <w:rsid w:val="67D92E70"/>
    <w:rsid w:val="68305A7D"/>
    <w:rsid w:val="69725190"/>
    <w:rsid w:val="6A0D0A67"/>
    <w:rsid w:val="6A163E39"/>
    <w:rsid w:val="6A2E5D2C"/>
    <w:rsid w:val="6C4B4ADF"/>
    <w:rsid w:val="6C63752A"/>
    <w:rsid w:val="6D4579BF"/>
    <w:rsid w:val="6D7935F9"/>
    <w:rsid w:val="6DA97A9C"/>
    <w:rsid w:val="6E322ED1"/>
    <w:rsid w:val="6F3B6E8A"/>
    <w:rsid w:val="6FDC2C9B"/>
    <w:rsid w:val="7015325F"/>
    <w:rsid w:val="703716AB"/>
    <w:rsid w:val="70394BAE"/>
    <w:rsid w:val="71E21A2C"/>
    <w:rsid w:val="738D6525"/>
    <w:rsid w:val="755358DC"/>
    <w:rsid w:val="75A504A5"/>
    <w:rsid w:val="769E7DAB"/>
    <w:rsid w:val="76C635C6"/>
    <w:rsid w:val="77790D29"/>
    <w:rsid w:val="792225EC"/>
    <w:rsid w:val="796B11C3"/>
    <w:rsid w:val="79C60827"/>
    <w:rsid w:val="7A0343B8"/>
    <w:rsid w:val="7A292D70"/>
    <w:rsid w:val="7B235383"/>
    <w:rsid w:val="7BF917C8"/>
    <w:rsid w:val="7D3533F7"/>
    <w:rsid w:val="7D991F1C"/>
    <w:rsid w:val="7F984CE1"/>
    <w:rsid w:val="7FC9010E"/>
    <w:rsid w:val="7FE21E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keepNext/>
      <w:keepLines/>
      <w:tabs>
        <w:tab w:val="left" w:pos="576"/>
        <w:tab w:val="left" w:pos="3276"/>
      </w:tabs>
      <w:spacing w:before="260" w:after="260" w:line="415" w:lineRule="auto"/>
      <w:ind w:left="3276" w:hanging="576"/>
      <w:outlineLvl w:val="1"/>
    </w:pPr>
    <w:rPr>
      <w:b/>
      <w:sz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qFormat/>
    <w:uiPriority w:val="0"/>
    <w:pPr>
      <w:spacing w:line="360" w:lineRule="exact"/>
    </w:pPr>
    <w:rPr>
      <w:rFonts w:ascii="黑体" w:eastAsia="黑体"/>
      <w:sz w:val="28"/>
      <w:szCs w:val="20"/>
    </w:rPr>
  </w:style>
  <w:style w:type="paragraph" w:styleId="6">
    <w:name w:val="Document Map"/>
    <w:basedOn w:val="1"/>
    <w:semiHidden/>
    <w:uiPriority w:val="0"/>
    <w:pPr>
      <w:shd w:val="clear" w:color="auto" w:fill="000080"/>
    </w:pPr>
  </w:style>
  <w:style w:type="paragraph" w:styleId="7">
    <w:name w:val="Body Text Indent"/>
    <w:basedOn w:val="1"/>
    <w:uiPriority w:val="0"/>
    <w:pPr>
      <w:spacing w:line="360" w:lineRule="auto"/>
      <w:ind w:firstLine="480" w:firstLineChars="200"/>
    </w:pPr>
    <w:rPr>
      <w:sz w:val="24"/>
    </w:rPr>
  </w:style>
  <w:style w:type="paragraph" w:styleId="8">
    <w:name w:val="Date"/>
    <w:basedOn w:val="1"/>
    <w:next w:val="1"/>
    <w:link w:val="17"/>
    <w:qFormat/>
    <w:uiPriority w:val="0"/>
    <w:pPr>
      <w:ind w:left="100" w:leftChars="2500"/>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uiPriority w:val="0"/>
    <w:pPr>
      <w:pBdr>
        <w:bottom w:val="single" w:color="auto" w:sz="6" w:space="1"/>
      </w:pBdr>
      <w:tabs>
        <w:tab w:val="center" w:pos="4153"/>
        <w:tab w:val="right" w:pos="8306"/>
      </w:tabs>
      <w:snapToGrid w:val="0"/>
      <w:jc w:val="center"/>
    </w:pPr>
    <w:rPr>
      <w:sz w:val="18"/>
    </w:rPr>
  </w:style>
  <w:style w:type="paragraph" w:styleId="11">
    <w:name w:val="Normal (Web)"/>
    <w:basedOn w:val="1"/>
    <w:uiPriority w:val="0"/>
    <w:pPr>
      <w:spacing w:before="100" w:beforeAutospacing="1" w:after="100" w:afterAutospacing="1"/>
      <w:jc w:val="left"/>
    </w:pPr>
    <w:rPr>
      <w:kern w:val="0"/>
      <w:sz w:val="24"/>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page number"/>
    <w:basedOn w:val="14"/>
    <w:qFormat/>
    <w:uiPriority w:val="0"/>
  </w:style>
  <w:style w:type="character" w:styleId="16">
    <w:name w:val="Emphasis"/>
    <w:qFormat/>
    <w:uiPriority w:val="20"/>
    <w:rPr>
      <w:i/>
      <w:iCs/>
    </w:rPr>
  </w:style>
  <w:style w:type="character" w:customStyle="1" w:styleId="17">
    <w:name w:val="日期 Char"/>
    <w:link w:val="8"/>
    <w:qFormat/>
    <w:uiPriority w:val="0"/>
    <w:rPr>
      <w:kern w:val="2"/>
      <w:sz w:val="21"/>
    </w:rPr>
  </w:style>
  <w:style w:type="character" w:customStyle="1" w:styleId="18">
    <w:name w:val="mark"/>
    <w:basedOn w:val="14"/>
    <w:qFormat/>
    <w:uiPriority w:val="0"/>
  </w:style>
  <w:style w:type="paragraph" w:customStyle="1" w:styleId="19">
    <w:name w:val="表"/>
    <w:qFormat/>
    <w:uiPriority w:val="0"/>
    <w:pPr>
      <w:snapToGrid w:val="0"/>
      <w:spacing w:line="440" w:lineRule="exact"/>
      <w:jc w:val="center"/>
    </w:pPr>
    <w:rPr>
      <w:rFonts w:ascii="Times New Roman" w:hAnsi="Times New Roman" w:eastAsia="宋体" w:cs="Times New Roman"/>
      <w:kern w:val="1"/>
      <w:sz w:val="24"/>
      <w:szCs w:val="24"/>
      <w:lang w:val="en-US" w:eastAsia="ar-SA" w:bidi="ar-SA"/>
    </w:rPr>
  </w:style>
  <w:style w:type="paragraph" w:customStyle="1" w:styleId="20">
    <w:name w:val="Char Char Char Char"/>
    <w:basedOn w:val="1"/>
    <w:qFormat/>
    <w:uiPriority w:val="0"/>
  </w:style>
  <w:style w:type="paragraph" w:customStyle="1" w:styleId="21">
    <w:name w:val="Char Char Char Char Char Char"/>
    <w:basedOn w:val="6"/>
    <w:qFormat/>
    <w:uiPriority w:val="0"/>
    <w:rPr>
      <w:rFonts w:ascii="Tahoma" w:hAnsi="Tahoma"/>
      <w:sz w:val="24"/>
      <w:szCs w:val="24"/>
    </w:rPr>
  </w:style>
  <w:style w:type="paragraph" w:styleId="22">
    <w:name w:val="No Spacing"/>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23">
    <w:name w:val="msolistparagraph"/>
    <w:basedOn w:val="1"/>
    <w:qFormat/>
    <w:uiPriority w:val="0"/>
    <w:pPr>
      <w:spacing w:line="360" w:lineRule="auto"/>
      <w:ind w:firstLine="420" w:firstLineChars="200"/>
    </w:pPr>
    <w:rPr>
      <w:rFonts w:ascii="Calibri" w:hAnsi="Calibri" w:cs="Calibri"/>
      <w:szCs w:val="21"/>
    </w:rPr>
  </w:style>
  <w:style w:type="paragraph" w:customStyle="1" w:styleId="2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5">
    <w:name w:val="样式 标题 2"/>
    <w:basedOn w:val="5"/>
    <w:qFormat/>
    <w:uiPriority w:val="0"/>
    <w:rPr>
      <w:b w:val="0"/>
    </w:rPr>
  </w:style>
  <w:style w:type="paragraph" w:customStyle="1" w:styleId="26">
    <w:name w:val="样式1"/>
    <w:basedOn w:val="1"/>
    <w:qFormat/>
    <w:uiPriority w:val="0"/>
    <w:pPr>
      <w:numPr>
        <w:ilvl w:val="2"/>
        <w:numId w:val="1"/>
      </w:numPr>
      <w:tabs>
        <w:tab w:val="left" w:pos="570"/>
      </w:tabs>
      <w:spacing w:line="360" w:lineRule="auto"/>
    </w:pPr>
    <w:rPr>
      <w:rFonts w:ascii="宋体"/>
      <w:sz w:val="24"/>
    </w:rPr>
  </w:style>
  <w:style w:type="paragraph" w:customStyle="1" w:styleId="27">
    <w:name w:val="p0"/>
    <w:basedOn w:val="1"/>
    <w:qFormat/>
    <w:uiPriority w:val="0"/>
    <w:pPr>
      <w:widowControl/>
      <w:jc w:val="left"/>
    </w:pPr>
    <w:rPr>
      <w:rFonts w:ascii="Calibri" w:hAnsi="Calibri" w:eastAsia="Arial Unicode MS"/>
      <w:kern w:val="0"/>
      <w:szCs w:val="20"/>
    </w:rPr>
  </w:style>
  <w:style w:type="paragraph" w:customStyle="1" w:styleId="28">
    <w:name w:val="WPSOffice手动目录 1"/>
    <w:uiPriority w:val="0"/>
    <w:pPr>
      <w:ind w:leftChars="0"/>
    </w:pPr>
    <w:rPr>
      <w:rFonts w:ascii="Times New Roman" w:hAnsi="Times New Roman" w:eastAsia="宋体" w:cs="Times New Roman"/>
      <w:sz w:val="20"/>
      <w:szCs w:val="20"/>
    </w:rPr>
  </w:style>
  <w:style w:type="paragraph" w:customStyle="1" w:styleId="29">
    <w:name w:val="WPSOffice手动目录 2"/>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gold</Company>
  <Pages>5</Pages>
  <Words>2279</Words>
  <Characters>2492</Characters>
  <Lines>16</Lines>
  <Paragraphs>4</Paragraphs>
  <TotalTime>0</TotalTime>
  <ScaleCrop>false</ScaleCrop>
  <LinksUpToDate>false</LinksUpToDate>
  <CharactersWithSpaces>2550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2023-08-28T01:24:00Z</dcterms:created>
  <dc:creator>zmc</dc:creator>
  <cp:lastModifiedBy>hncsg</cp:lastModifiedBy>
  <dcterms:modified xsi:type="dcterms:W3CDTF">2025-07-18T04:31:41Z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BB8AACC7C288468990F0ADBDA38A0836</vt:lpwstr>
  </property>
  <property fmtid="{D5CDD505-2E9C-101B-9397-08002B2CF9AE}" pid="4" name="KSOTemplateDocerSaveRecord">
    <vt:lpwstr>eyJoZGlkIjoiOTBlYjA3MDdlMDk3ZGI0NzBiYjVmM2FlZjkyNzAwNmEiLCJ1c2VySWQiOiIyNDcxNDIxMjAifQ==</vt:lpwstr>
  </property>
</Properties>
</file>