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eastAsia="黑体" w:cs="Times New Roman"/>
          <w:b/>
          <w:bCs/>
          <w:sz w:val="56"/>
          <w:szCs w:val="56"/>
          <w:lang w:val="en-US" w:eastAsia="zh-CN"/>
        </w:rPr>
        <w:t>变压器绕组变形测试仪</w:t>
      </w:r>
    </w:p>
    <w:p>
      <w:pPr>
        <w:spacing w:line="360" w:lineRule="auto"/>
        <w:jc w:val="center"/>
        <w:rPr>
          <w:rFonts w:ascii="微软雅黑" w:hAnsi="微软雅黑" w:eastAsia="微软雅黑"/>
          <w:b/>
          <w:sz w:val="36"/>
          <w:szCs w:val="36"/>
        </w:rPr>
      </w:pPr>
      <w:r>
        <w:rPr>
          <w:rFonts w:hint="default" w:ascii="Times New Roman" w:hAnsi="Times New Roman" w:eastAsia="黑体" w:cs="Times New Roman"/>
          <w:b/>
          <w:bCs/>
          <w:sz w:val="56"/>
          <w:szCs w:val="56"/>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2829"/>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3"/>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_Toc26162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1 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_Toc26162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3"/>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_Toc21386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2 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_Toc21386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3"/>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_Toc5849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_Toc5849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bookmarkStart w:id="60" w:name="_GoBack"/>
          <w:bookmarkEnd w:id="60"/>
        </w:p>
        <w:p>
          <w:pPr>
            <w:pStyle w:val="33"/>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_Toc16849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_Toc16849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_Toc23914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_Toc23914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_Toc910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_Toc910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3"/>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_Toc31499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_Toc31499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3"/>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_Toc6348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_Toc6348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3"/>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_Toc11534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_Toc11534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_Toc31014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_Toc31014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_Toc17905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_Toc17905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3"/>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_Toc10568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_Toc10568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_Toc19273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_Toc19273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_Toc17828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_Toc17828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ilvl w:val="0"/>
              <w:numId w:val="0"/>
            </w:numPr>
            <w:spacing w:line="360" w:lineRule="auto"/>
            <w:ind w:leftChars="0"/>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sz w:val="30"/>
              <w:szCs w:val="30"/>
              <w:lang w:val="en-US" w:eastAsia="zh-CN"/>
            </w:rPr>
          </w:pPr>
        </w:p>
      </w:sdtContent>
    </w:sdt>
    <w:p>
      <w:pPr>
        <w:numPr>
          <w:ilvl w:val="0"/>
          <w:numId w:val="0"/>
        </w:numPr>
        <w:spacing w:line="360" w:lineRule="auto"/>
        <w:ind w:leftChars="0"/>
        <w:outlineLvl w:val="0"/>
        <w:rPr>
          <w:rFonts w:hint="eastAsia" w:ascii="宋体" w:hAnsi="宋体" w:eastAsia="宋体" w:cs="宋体"/>
          <w:b/>
          <w:sz w:val="30"/>
          <w:szCs w:val="30"/>
          <w:lang w:val="en-US" w:eastAsia="zh-CN"/>
        </w:rPr>
      </w:pPr>
      <w:bookmarkStart w:id="0" w:name="_Toc26162"/>
      <w:r>
        <w:rPr>
          <w:rFonts w:hint="eastAsia" w:ascii="宋体" w:hAnsi="宋体" w:eastAsia="宋体" w:cs="宋体"/>
          <w:b/>
          <w:sz w:val="30"/>
          <w:szCs w:val="30"/>
          <w:lang w:val="en-US" w:eastAsia="zh-CN"/>
        </w:rPr>
        <w:t>1 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本规范书适用于变压器绕组变形测试仪的招标，它提出设备的功能、结构、性能、安装和试验等方面的技术要求。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1" w:name="_Toc21386"/>
      <w:r>
        <w:rPr>
          <w:rFonts w:hint="eastAsia" w:ascii="宋体" w:hAnsi="宋体" w:eastAsia="宋体" w:cs="宋体"/>
          <w:b/>
          <w:sz w:val="30"/>
          <w:szCs w:val="30"/>
          <w:lang w:val="en-US" w:eastAsia="zh-CN"/>
        </w:rPr>
        <w:t>2 引用标准</w:t>
      </w:r>
      <w:bookmarkEnd w:id="1"/>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cs="宋体"/>
          <w:sz w:val="28"/>
          <w:szCs w:val="28"/>
          <w:lang w:val="en-US" w:eastAsia="zh-CN"/>
        </w:rPr>
        <w:t>主要引用</w:t>
      </w:r>
      <w:r>
        <w:rPr>
          <w:rFonts w:hint="eastAsia" w:ascii="宋体" w:hAnsi="宋体" w:eastAsia="宋体" w:cs="宋体"/>
          <w:sz w:val="28"/>
          <w:szCs w:val="28"/>
        </w:rPr>
        <w:t>标准</w:t>
      </w:r>
      <w:r>
        <w:rPr>
          <w:rFonts w:hint="eastAsia" w:ascii="宋体" w:hAnsi="宋体" w:cs="宋体"/>
          <w:sz w:val="28"/>
          <w:szCs w:val="28"/>
          <w:lang w:val="en-US" w:eastAsia="zh-CN"/>
        </w:rPr>
        <w:t>如下：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DL/T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911</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电力变压器绕组变形的频率响应分析法</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60" w:lineRule="auto"/>
        <w:ind w:left="0" w:right="0" w:firstLine="560" w:firstLineChars="200"/>
        <w:jc w:val="left"/>
        <w:rPr>
          <w:rFonts w:hint="eastAsia" w:ascii="宋体" w:hAnsi="宋体" w:eastAsia="宋体" w:cs="宋体"/>
          <w:sz w:val="28"/>
          <w:szCs w:val="28"/>
        </w:rPr>
      </w:pPr>
      <w:r>
        <w:rPr>
          <w:rFonts w:hint="eastAsia" w:ascii="宋体" w:hAnsi="宋体" w:eastAsia="宋体" w:cs="宋体"/>
          <w:b w:val="0"/>
          <w:bCs w:val="0"/>
          <w:kern w:val="2"/>
          <w:sz w:val="28"/>
          <w:szCs w:val="28"/>
          <w:lang w:val="en-US" w:eastAsia="zh-CN" w:bidi="ar-SA"/>
        </w:rPr>
        <w:fldChar w:fldCharType="begin"/>
      </w:r>
      <w:r>
        <w:rPr>
          <w:rFonts w:hint="eastAsia" w:ascii="宋体" w:hAnsi="宋体" w:eastAsia="宋体" w:cs="宋体"/>
          <w:b w:val="0"/>
          <w:bCs w:val="0"/>
          <w:kern w:val="2"/>
          <w:sz w:val="28"/>
          <w:szCs w:val="28"/>
          <w:lang w:val="en-US" w:eastAsia="zh-CN" w:bidi="ar-SA"/>
        </w:rPr>
        <w:instrText xml:space="preserve"> HYPERLINK "https://www.so.com/link?m=wluYCRXGH4IppxFzOyiRAaGV1uOG8kfuRa4crBxzmOkeuRbn9hx5V+HmVAczhFe5DhlMQXw38wxll+laCpEX3zQkv4Rdx5RRtF5Ff68b+n1Ocb12ymaUeHEsQYt7Qblo95kaVbN9KF5K0rMa/yzwm4Q==" \t "https://www.so.com/_blank" </w:instrText>
      </w:r>
      <w:r>
        <w:rPr>
          <w:rFonts w:hint="eastAsia" w:ascii="宋体" w:hAnsi="宋体" w:eastAsia="宋体" w:cs="宋体"/>
          <w:b w:val="0"/>
          <w:bCs w:val="0"/>
          <w:kern w:val="2"/>
          <w:sz w:val="28"/>
          <w:szCs w:val="28"/>
          <w:lang w:val="en-US" w:eastAsia="zh-CN" w:bidi="ar-SA"/>
        </w:rPr>
        <w:fldChar w:fldCharType="separate"/>
      </w:r>
      <w:r>
        <w:rPr>
          <w:rFonts w:hint="eastAsia" w:ascii="宋体" w:hAnsi="宋体" w:eastAsia="宋体" w:cs="宋体"/>
          <w:b w:val="0"/>
          <w:bCs w:val="0"/>
          <w:kern w:val="2"/>
          <w:sz w:val="28"/>
          <w:szCs w:val="28"/>
          <w:lang w:val="en-US" w:eastAsia="zh-CN" w:bidi="ar-SA"/>
        </w:rPr>
        <w:t>IEC 60076-18  电力变压器 第18部分：频率响应测定》</w:t>
      </w:r>
      <w:r>
        <w:rPr>
          <w:rFonts w:hint="eastAsia" w:ascii="宋体" w:hAnsi="宋体" w:eastAsia="宋体" w:cs="宋体"/>
          <w:b w:val="0"/>
          <w:bCs w:val="0"/>
          <w:kern w:val="2"/>
          <w:sz w:val="28"/>
          <w:szCs w:val="28"/>
          <w:lang w:val="en-US" w:eastAsia="zh-CN" w:bidi="ar-SA"/>
        </w:rPr>
        <w:fldChar w:fldCharType="end"/>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JF(新)108-2023</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变压器绕组变形测试仪校准规范</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2" w:name="_Toc5849"/>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color w:val="000000"/>
          <w:sz w:val="28"/>
          <w:szCs w:val="28"/>
        </w:rPr>
        <w:t>20℃～＋55℃</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w:t>
      </w:r>
      <w:r>
        <w:rPr>
          <w:rFonts w:hint="eastAsia" w:ascii="宋体" w:hAnsi="宋体" w:eastAsia="宋体" w:cs="宋体"/>
          <w:color w:val="000000"/>
          <w:sz w:val="28"/>
          <w:szCs w:val="28"/>
        </w:rPr>
        <w:t>≤90%</w:t>
      </w:r>
      <w:r>
        <w:rPr>
          <w:rFonts w:hint="eastAsia" w:ascii="宋体" w:hAnsi="宋体" w:eastAsia="宋体" w:cs="宋体"/>
          <w:sz w:val="28"/>
          <w:szCs w:val="28"/>
        </w:rPr>
        <w:t>%RH</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使用地点：室内外</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污秽等级：</w:t>
      </w:r>
      <w:r>
        <w:rPr>
          <w:rFonts w:hint="eastAsia" w:ascii="宋体" w:hAnsi="宋体" w:eastAsia="宋体" w:cs="宋体"/>
          <w:sz w:val="28"/>
          <w:szCs w:val="28"/>
        </w:rPr>
        <w:t>&gt;</w:t>
      </w:r>
      <w:r>
        <w:rPr>
          <w:rFonts w:hint="eastAsia" w:ascii="宋体" w:hAnsi="宋体" w:eastAsia="宋体" w:cs="宋体"/>
          <w:sz w:val="28"/>
          <w:szCs w:val="28"/>
        </w:rPr>
        <w:t>Ⅲ级</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16849"/>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b/>
          <w:sz w:val="28"/>
          <w:szCs w:val="28"/>
        </w:rPr>
      </w:pPr>
      <w:bookmarkStart w:id="4" w:name="_Toc23914"/>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167008908"/>
      <w:bookmarkStart w:id="6" w:name="_Toc4556"/>
      <w:bookmarkStart w:id="7" w:name="_Toc200511818"/>
      <w:r>
        <w:rPr>
          <w:rFonts w:hint="eastAsia" w:ascii="宋体" w:hAnsi="宋体" w:eastAsia="宋体" w:cs="宋体"/>
          <w:sz w:val="28"/>
          <w:szCs w:val="28"/>
          <w:lang w:val="en-US" w:eastAsia="zh-CN"/>
        </w:rPr>
        <w:t>（1）可用于测量变压器的绕组综合参数来判断绕组情况。</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可以满足变压器绕组变形测试的需求，进行绕组变形测试并对变压器绕组形变进行判断，给出测试结果</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仪器测试频率可达0.1Hz-25MHz</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动态范围＞150dB</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sz w:val="28"/>
          <w:szCs w:val="28"/>
        </w:rPr>
        <w:t>仪器采样速率不低于100MS/s，具有快速测试设置37s</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w:t>
      </w:r>
      <w:r>
        <w:rPr>
          <w:rFonts w:hint="eastAsia" w:ascii="宋体" w:hAnsi="宋体" w:eastAsia="宋体" w:cs="宋体"/>
          <w:sz w:val="28"/>
          <w:szCs w:val="28"/>
        </w:rPr>
        <w:t>频率输出精度可达0.01%</w:t>
      </w:r>
      <w:r>
        <w:rPr>
          <w:rFonts w:hint="eastAsia" w:ascii="宋体" w:hAnsi="宋体" w:eastAsia="宋体" w:cs="宋体"/>
          <w:sz w:val="28"/>
          <w:szCs w:val="28"/>
          <w:lang w:eastAsia="zh-CN"/>
        </w:rPr>
        <w:t>，</w:t>
      </w:r>
      <w:r>
        <w:rPr>
          <w:rFonts w:hint="eastAsia" w:ascii="宋体" w:hAnsi="宋体" w:eastAsia="宋体" w:cs="宋体"/>
          <w:sz w:val="28"/>
          <w:szCs w:val="28"/>
        </w:rPr>
        <w:t>动态范围最高精度可达±0.1dB</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7</w:t>
      </w:r>
      <w:r>
        <w:rPr>
          <w:rFonts w:hint="eastAsia" w:ascii="宋体" w:hAnsi="宋体" w:eastAsia="宋体" w:cs="宋体"/>
          <w:sz w:val="28"/>
          <w:szCs w:val="28"/>
          <w:lang w:eastAsia="zh-CN"/>
        </w:rPr>
        <w:t>）</w:t>
      </w:r>
      <w:r>
        <w:rPr>
          <w:rFonts w:hint="eastAsia" w:ascii="宋体" w:hAnsi="宋体" w:eastAsia="宋体" w:cs="宋体"/>
          <w:sz w:val="28"/>
          <w:szCs w:val="28"/>
        </w:rPr>
        <w:t>仪器内置可充电电源</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（8）可上传至</w:t>
      </w:r>
      <w:r>
        <w:rPr>
          <w:rFonts w:hint="eastAsia" w:ascii="宋体" w:hAnsi="宋体" w:eastAsia="宋体" w:cs="宋体"/>
          <w:sz w:val="28"/>
          <w:szCs w:val="28"/>
        </w:rPr>
        <w:t>PC端软件进行测试数据分析</w:t>
      </w:r>
      <w:r>
        <w:rPr>
          <w:rFonts w:hint="eastAsia" w:ascii="宋体" w:hAnsi="宋体" w:eastAsia="宋体" w:cs="宋体"/>
          <w:sz w:val="28"/>
          <w:szCs w:val="28"/>
          <w:lang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910"/>
      <w:r>
        <w:rPr>
          <w:rFonts w:hint="eastAsia" w:ascii="宋体" w:hAnsi="宋体" w:eastAsia="宋体" w:cs="宋体"/>
          <w:sz w:val="28"/>
          <w:szCs w:val="28"/>
        </w:rPr>
        <w:t>4.2 技术指标要求</w:t>
      </w:r>
      <w:bookmarkEnd w:id="5"/>
      <w:bookmarkEnd w:id="6"/>
      <w:bookmarkEnd w:id="7"/>
      <w:bookmarkEnd w:id="8"/>
    </w:p>
    <w:tbl>
      <w:tblPr>
        <w:tblStyle w:val="13"/>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检测方式</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扫描频率(SFRA)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频率范围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0.1Hz-25MHz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频率精度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水平分辨率</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0.001dB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内部噪声水平</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&lt;-140dB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动态监测范围</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&gt;150dB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动态范围精度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±0.1dB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相位精度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模拟输出</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通道数：1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bCs/>
                <w:sz w:val="28"/>
                <w:szCs w:val="28"/>
              </w:rPr>
              <w:t>输出阻抗</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bCs/>
                <w:sz w:val="28"/>
                <w:szCs w:val="28"/>
              </w:rPr>
              <w:t>50Ω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bCs/>
                <w:sz w:val="28"/>
                <w:szCs w:val="28"/>
              </w:rPr>
              <w:t>模拟输入</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bCs/>
                <w:sz w:val="28"/>
                <w:szCs w:val="28"/>
              </w:rPr>
              <w:t>通道数：2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bCs/>
                <w:sz w:val="28"/>
                <w:szCs w:val="28"/>
              </w:rPr>
              <w:t>输入阻抗</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bCs/>
                <w:sz w:val="28"/>
                <w:szCs w:val="28"/>
              </w:rPr>
              <w:t>50Ω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采样率</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100MS/s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EMI扫描</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0kHz-30MHz比参考电平低10dB；</w:t>
            </w:r>
          </w:p>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30MHz-50MHz比参考电平低0dB；</w:t>
            </w:r>
          </w:p>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50MHz-100MHz比参考电平低20dB；</w:t>
            </w:r>
          </w:p>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50MHz-1GHz使用具有120kHz带宽的VHF调谐器时比参考电平低20dB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bCs/>
                <w:sz w:val="28"/>
                <w:szCs w:val="28"/>
              </w:rPr>
              <w:t>重量</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bCs/>
                <w:sz w:val="28"/>
                <w:szCs w:val="28"/>
              </w:rPr>
              <w:t>不超过15kg</w:t>
            </w:r>
          </w:p>
        </w:tc>
      </w:tr>
    </w:tbl>
    <w:p>
      <w:pPr>
        <w:spacing w:line="360" w:lineRule="auto"/>
        <w:rPr>
          <w:rFonts w:hint="eastAsia" w:ascii="宋体" w:hAnsi="宋体" w:eastAsia="宋体" w:cs="宋体"/>
          <w:sz w:val="28"/>
          <w:szCs w:val="28"/>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31499"/>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22"/>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22"/>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2"/>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bCs/>
                <w:sz w:val="28"/>
                <w:szCs w:val="28"/>
              </w:rPr>
              <w:t>变压器绕组变形测试仪</w:t>
            </w:r>
          </w:p>
        </w:tc>
        <w:tc>
          <w:tcPr>
            <w:tcW w:w="1853" w:type="dxa"/>
            <w:vAlign w:val="center"/>
          </w:tcPr>
          <w:p>
            <w:pPr>
              <w:pStyle w:val="22"/>
              <w:widowControl w:val="0"/>
              <w:suppressAutoHyphens/>
              <w:spacing w:line="240" w:lineRule="auto"/>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1</w:t>
            </w:r>
            <w:r>
              <w:rPr>
                <w:rFonts w:hint="eastAsia" w:ascii="宋体" w:hAnsi="宋体" w:eastAsia="宋体" w:cs="宋体"/>
                <w:sz w:val="28"/>
                <w:szCs w:val="28"/>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22"/>
              <w:widowControl w:val="0"/>
              <w:suppressAutoHyphen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bCs/>
                <w:sz w:val="28"/>
                <w:szCs w:val="28"/>
              </w:rPr>
              <w:t>测试线</w:t>
            </w:r>
          </w:p>
        </w:tc>
        <w:tc>
          <w:tcPr>
            <w:tcW w:w="1853" w:type="dxa"/>
            <w:vAlign w:val="center"/>
          </w:tcPr>
          <w:p>
            <w:pPr>
              <w:pStyle w:val="22"/>
              <w:widowControl w:val="0"/>
              <w:suppressAutoHyphens/>
              <w:spacing w:line="240" w:lineRule="auto"/>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bCs/>
                <w:sz w:val="28"/>
                <w:szCs w:val="28"/>
              </w:rPr>
              <w:t>EMI扫描模块</w:t>
            </w:r>
          </w:p>
        </w:tc>
        <w:tc>
          <w:tcPr>
            <w:tcW w:w="1853" w:type="dxa"/>
            <w:vAlign w:val="center"/>
          </w:tcPr>
          <w:p>
            <w:pPr>
              <w:pStyle w:val="22"/>
              <w:widowControl w:val="0"/>
              <w:suppressAutoHyphens/>
              <w:spacing w:line="240" w:lineRule="auto"/>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bCs/>
                <w:sz w:val="28"/>
                <w:szCs w:val="28"/>
              </w:rPr>
              <w:t>夜间示踪装置</w:t>
            </w:r>
          </w:p>
        </w:tc>
        <w:tc>
          <w:tcPr>
            <w:tcW w:w="1853" w:type="dxa"/>
            <w:vAlign w:val="center"/>
          </w:tcPr>
          <w:p>
            <w:pPr>
              <w:pStyle w:val="22"/>
              <w:widowControl w:val="0"/>
              <w:suppressAutoHyphens/>
              <w:spacing w:line="240" w:lineRule="auto"/>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bCs/>
                <w:sz w:val="28"/>
                <w:szCs w:val="28"/>
              </w:rPr>
              <w:t>软件</w:t>
            </w:r>
          </w:p>
        </w:tc>
        <w:tc>
          <w:tcPr>
            <w:tcW w:w="1853" w:type="dxa"/>
            <w:vAlign w:val="center"/>
          </w:tcPr>
          <w:p>
            <w:pPr>
              <w:pStyle w:val="22"/>
              <w:widowControl w:val="0"/>
              <w:suppressAutoHyphens/>
              <w:spacing w:line="240" w:lineRule="auto"/>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bCs/>
                <w:sz w:val="28"/>
                <w:szCs w:val="28"/>
              </w:rPr>
              <w:t>现场测试箱</w:t>
            </w:r>
          </w:p>
        </w:tc>
        <w:tc>
          <w:tcPr>
            <w:tcW w:w="1853" w:type="dxa"/>
            <w:vAlign w:val="center"/>
          </w:tcPr>
          <w:p>
            <w:pPr>
              <w:pStyle w:val="22"/>
              <w:widowControl w:val="0"/>
              <w:suppressAutoHyphens/>
              <w:spacing w:line="240" w:lineRule="auto"/>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bCs/>
                <w:sz w:val="28"/>
                <w:szCs w:val="28"/>
              </w:rPr>
              <w:t>接地线</w:t>
            </w:r>
          </w:p>
        </w:tc>
        <w:tc>
          <w:tcPr>
            <w:tcW w:w="1853" w:type="dxa"/>
            <w:vAlign w:val="center"/>
          </w:tcPr>
          <w:p>
            <w:pPr>
              <w:pStyle w:val="22"/>
              <w:widowControl w:val="0"/>
              <w:suppressAutoHyphens/>
              <w:spacing w:line="240" w:lineRule="auto"/>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bCs/>
                <w:sz w:val="28"/>
                <w:szCs w:val="28"/>
              </w:rPr>
              <w:t>说明书</w:t>
            </w:r>
          </w:p>
        </w:tc>
        <w:tc>
          <w:tcPr>
            <w:tcW w:w="1853" w:type="dxa"/>
            <w:vAlign w:val="center"/>
          </w:tcPr>
          <w:p>
            <w:pPr>
              <w:pStyle w:val="22"/>
              <w:widowControl w:val="0"/>
              <w:suppressAutoHyphens/>
              <w:spacing w:line="240" w:lineRule="auto"/>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1份</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22926"/>
      <w:bookmarkStart w:id="11" w:name="_Toc10357"/>
      <w:bookmarkStart w:id="12" w:name="_Toc12038"/>
      <w:bookmarkStart w:id="13" w:name="_Toc6348"/>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4" w:name="_Toc23336"/>
      <w:bookmarkStart w:id="15" w:name="_Toc19111"/>
      <w:bookmarkStart w:id="16" w:name="_Toc16264"/>
      <w:bookmarkStart w:id="17" w:name="_Toc18597"/>
      <w:bookmarkStart w:id="18" w:name="_Toc11534"/>
      <w:r>
        <w:rPr>
          <w:rFonts w:hint="default" w:ascii="Times New Roman" w:hAnsi="Times New Roman" w:eastAsia="宋体" w:cs="Times New Roman"/>
          <w:b/>
          <w:bCs w:val="0"/>
          <w:kern w:val="2"/>
          <w:sz w:val="30"/>
          <w:szCs w:val="30"/>
          <w:lang w:val="en-US" w:eastAsia="zh-CN" w:bidi="ar-SA"/>
        </w:rPr>
        <w:t>7 售后服务和技术培训</w:t>
      </w:r>
      <w:bookmarkStart w:id="19" w:name="_Toc390088690"/>
      <w:r>
        <w:rPr>
          <w:rFonts w:hint="default" w:ascii="Times New Roman" w:hAnsi="Times New Roman" w:eastAsia="宋体" w:cs="Times New Roman"/>
          <w:b/>
          <w:bCs w:val="0"/>
          <w:kern w:val="2"/>
          <w:sz w:val="30"/>
          <w:szCs w:val="30"/>
          <w:lang w:val="en-US" w:eastAsia="zh-CN" w:bidi="ar-SA"/>
        </w:rPr>
        <w:t>要求</w:t>
      </w:r>
      <w:bookmarkEnd w:id="14"/>
      <w:bookmarkEnd w:id="15"/>
      <w:bookmarkEnd w:id="16"/>
      <w:bookmarkEnd w:id="17"/>
      <w:bookmarkEnd w:id="18"/>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0" w:name="_Toc16249"/>
      <w:bookmarkStart w:id="21" w:name="_Toc29029"/>
      <w:bookmarkStart w:id="22" w:name="_Toc18060"/>
      <w:bookmarkStart w:id="23" w:name="_Toc3099"/>
      <w:bookmarkStart w:id="24" w:name="_Toc31014"/>
      <w:r>
        <w:rPr>
          <w:rFonts w:hint="default" w:ascii="Times New Roman" w:hAnsi="Times New Roman" w:eastAsia="宋体" w:cs="Times New Roman"/>
          <w:b/>
          <w:bCs/>
          <w:sz w:val="28"/>
          <w:szCs w:val="28"/>
          <w:lang w:val="en-US" w:eastAsia="zh-CN"/>
        </w:rPr>
        <w:t>7.1 售后服务</w:t>
      </w:r>
      <w:bookmarkEnd w:id="19"/>
      <w:bookmarkEnd w:id="20"/>
      <w:bookmarkEnd w:id="21"/>
      <w:bookmarkEnd w:id="22"/>
      <w:bookmarkEnd w:id="23"/>
      <w:bookmarkEnd w:id="24"/>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25" w:name="OLE_LINK17"/>
      <w:r>
        <w:rPr>
          <w:rFonts w:hint="default" w:ascii="Times New Roman" w:hAnsi="Times New Roman" w:cs="Times New Roman"/>
          <w:sz w:val="28"/>
          <w:szCs w:val="28"/>
        </w:rPr>
        <w:t>投标方应保证系统投运之日起提供</w:t>
      </w:r>
      <w:bookmarkEnd w:id="25"/>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26"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7" w:name="_Toc6783"/>
      <w:bookmarkStart w:id="28" w:name="_Toc5683"/>
      <w:bookmarkStart w:id="29" w:name="_Toc4614"/>
      <w:bookmarkStart w:id="30" w:name="_Toc430"/>
      <w:bookmarkStart w:id="31" w:name="_Toc17905"/>
      <w:bookmarkStart w:id="32" w:name="OLE_LINK22"/>
      <w:r>
        <w:rPr>
          <w:rFonts w:hint="default" w:ascii="Times New Roman" w:hAnsi="Times New Roman" w:eastAsia="宋体" w:cs="Times New Roman"/>
          <w:b/>
          <w:bCs/>
          <w:sz w:val="28"/>
          <w:szCs w:val="28"/>
          <w:lang w:val="en-US" w:eastAsia="zh-CN"/>
        </w:rPr>
        <w:t>7.2 技术培训</w:t>
      </w:r>
      <w:bookmarkEnd w:id="26"/>
      <w:bookmarkEnd w:id="27"/>
      <w:bookmarkEnd w:id="28"/>
      <w:bookmarkEnd w:id="29"/>
      <w:bookmarkEnd w:id="30"/>
      <w:bookmarkEnd w:id="31"/>
    </w:p>
    <w:bookmarkEnd w:id="32"/>
    <w:p>
      <w:pPr>
        <w:pStyle w:val="32"/>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2"/>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33" w:name="OLE_LINK16"/>
      <w:r>
        <w:rPr>
          <w:rFonts w:hint="default" w:ascii="Times New Roman" w:hAnsi="Times New Roman" w:eastAsia="宋体" w:cs="Times New Roman"/>
          <w:sz w:val="28"/>
          <w:szCs w:val="28"/>
        </w:rPr>
        <w:t>不少于</w:t>
      </w:r>
      <w:bookmarkEnd w:id="33"/>
      <w:r>
        <w:rPr>
          <w:rFonts w:hint="default" w:ascii="Times New Roman" w:hAnsi="Times New Roman" w:eastAsia="宋体" w:cs="Times New Roman"/>
          <w:sz w:val="28"/>
          <w:szCs w:val="28"/>
        </w:rPr>
        <w:t>3天。其中，理论培训1天；实操不少于2天。</w:t>
      </w:r>
    </w:p>
    <w:p>
      <w:pPr>
        <w:pStyle w:val="32"/>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2"/>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34"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34"/>
    </w:p>
    <w:p>
      <w:pPr>
        <w:pStyle w:val="32"/>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2"/>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35" w:name="_Toc26867"/>
      <w:bookmarkStart w:id="36" w:name="_Toc7428"/>
      <w:bookmarkStart w:id="37" w:name="_Toc3624"/>
      <w:bookmarkStart w:id="38" w:name="_Toc25839"/>
      <w:bookmarkStart w:id="39" w:name="_Toc10568"/>
      <w:r>
        <w:rPr>
          <w:rFonts w:hint="default" w:ascii="Times New Roman" w:hAnsi="Times New Roman" w:eastAsia="宋体" w:cs="Times New Roman"/>
          <w:b/>
          <w:bCs w:val="0"/>
          <w:kern w:val="2"/>
          <w:sz w:val="30"/>
          <w:szCs w:val="30"/>
          <w:lang w:val="en-US" w:eastAsia="zh-CN" w:bidi="ar-SA"/>
        </w:rPr>
        <w:t>8 验收</w:t>
      </w:r>
      <w:bookmarkStart w:id="40" w:name="_Toc387612874"/>
      <w:bookmarkStart w:id="41" w:name="_Toc390088694"/>
      <w:bookmarkStart w:id="42" w:name="_Toc291690060"/>
      <w:r>
        <w:rPr>
          <w:rFonts w:hint="default" w:ascii="Times New Roman" w:hAnsi="Times New Roman" w:eastAsia="宋体" w:cs="Times New Roman"/>
          <w:b/>
          <w:bCs w:val="0"/>
          <w:kern w:val="2"/>
          <w:sz w:val="30"/>
          <w:szCs w:val="30"/>
          <w:lang w:val="en-US" w:eastAsia="zh-CN" w:bidi="ar-SA"/>
        </w:rPr>
        <w:t>要求</w:t>
      </w:r>
      <w:bookmarkEnd w:id="35"/>
      <w:bookmarkEnd w:id="36"/>
      <w:bookmarkEnd w:id="37"/>
      <w:bookmarkEnd w:id="38"/>
      <w:bookmarkEnd w:id="39"/>
    </w:p>
    <w:bookmarkEnd w:id="40"/>
    <w:bookmarkEnd w:id="4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43" w:name="_Toc257812191"/>
      <w:bookmarkStart w:id="44" w:name="_Toc387612875"/>
      <w:bookmarkStart w:id="45" w:name="_Toc34153561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46" w:name="_Toc27907"/>
      <w:bookmarkStart w:id="47" w:name="_Toc22741"/>
      <w:bookmarkStart w:id="48" w:name="_Toc7867"/>
      <w:bookmarkStart w:id="49" w:name="_Toc23903"/>
      <w:bookmarkStart w:id="50" w:name="_Toc19273"/>
      <w:bookmarkStart w:id="51" w:name="OLE_LINK21"/>
      <w:r>
        <w:rPr>
          <w:rFonts w:hint="default" w:ascii="Times New Roman" w:hAnsi="Times New Roman" w:eastAsia="宋体" w:cs="Times New Roman"/>
          <w:b/>
          <w:bCs/>
          <w:kern w:val="0"/>
          <w:sz w:val="28"/>
          <w:szCs w:val="28"/>
          <w:lang w:val="en-US" w:eastAsia="zh-CN" w:bidi="ar-SA"/>
        </w:rPr>
        <w:t>8.1 到货验收</w:t>
      </w:r>
      <w:bookmarkEnd w:id="43"/>
      <w:bookmarkEnd w:id="44"/>
      <w:bookmarkEnd w:id="45"/>
      <w:bookmarkEnd w:id="46"/>
      <w:bookmarkEnd w:id="47"/>
      <w:bookmarkEnd w:id="48"/>
      <w:bookmarkEnd w:id="49"/>
      <w:bookmarkEnd w:id="50"/>
    </w:p>
    <w:bookmarkEnd w:id="51"/>
    <w:p>
      <w:pPr>
        <w:pStyle w:val="32"/>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52" w:name="_Toc341535616"/>
      <w:bookmarkStart w:id="53" w:name="_Toc257812192"/>
      <w:bookmarkStart w:id="54" w:name="_Toc38761287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5" w:name="_Toc22068"/>
      <w:bookmarkStart w:id="56" w:name="_Toc5236"/>
      <w:bookmarkStart w:id="57" w:name="_Toc9650"/>
      <w:bookmarkStart w:id="58" w:name="_Toc15384"/>
      <w:bookmarkStart w:id="59" w:name="_Toc17828"/>
      <w:r>
        <w:rPr>
          <w:rFonts w:hint="default" w:ascii="Times New Roman" w:hAnsi="Times New Roman" w:eastAsia="宋体" w:cs="Times New Roman"/>
          <w:b/>
          <w:bCs/>
          <w:kern w:val="0"/>
          <w:sz w:val="28"/>
          <w:szCs w:val="28"/>
          <w:lang w:val="en-US" w:eastAsia="zh-CN" w:bidi="ar-SA"/>
        </w:rPr>
        <w:t>8.2 现场验收</w:t>
      </w:r>
      <w:bookmarkEnd w:id="52"/>
      <w:bookmarkEnd w:id="53"/>
      <w:bookmarkEnd w:id="54"/>
      <w:bookmarkEnd w:id="55"/>
      <w:bookmarkEnd w:id="56"/>
      <w:bookmarkEnd w:id="57"/>
      <w:bookmarkEnd w:id="58"/>
      <w:bookmarkEnd w:id="59"/>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4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2880" w:firstLineChars="1600"/>
      <w:jc w:val="both"/>
      <w:rPr>
        <w:rFonts w:hint="default" w:ascii="宋体" w:hAnsi="宋体" w:eastAsia="宋体"/>
        <w:lang w:val="en-US" w:eastAsia="zh-CN"/>
      </w:rPr>
    </w:pPr>
    <w:r>
      <w:rPr>
        <w:rFonts w:hint="eastAsia" w:ascii="宋体" w:hAnsi="宋体"/>
      </w:rPr>
      <w:t xml:space="preserve">                          </w:t>
    </w:r>
    <w:r>
      <w:rPr>
        <w:rFonts w:hint="eastAsia" w:ascii="宋体" w:hAnsi="宋体"/>
        <w:lang w:val="en-US" w:eastAsia="zh-CN"/>
      </w:rPr>
      <w:t>变电专业变压器绕组变形测试仪技术规范书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2601C2"/>
    <w:rsid w:val="04B85A8C"/>
    <w:rsid w:val="06C83369"/>
    <w:rsid w:val="06F74250"/>
    <w:rsid w:val="06FC1FE4"/>
    <w:rsid w:val="073440CA"/>
    <w:rsid w:val="083B22E9"/>
    <w:rsid w:val="0AA06A69"/>
    <w:rsid w:val="0B1D612C"/>
    <w:rsid w:val="0B9E7B3E"/>
    <w:rsid w:val="0BAC324C"/>
    <w:rsid w:val="0BBD0B5D"/>
    <w:rsid w:val="0D09760B"/>
    <w:rsid w:val="0DF84B27"/>
    <w:rsid w:val="0E4C7BE5"/>
    <w:rsid w:val="0ED04650"/>
    <w:rsid w:val="0FD05800"/>
    <w:rsid w:val="117656A1"/>
    <w:rsid w:val="11C76314"/>
    <w:rsid w:val="11F81621"/>
    <w:rsid w:val="121A5772"/>
    <w:rsid w:val="122703EF"/>
    <w:rsid w:val="129375E2"/>
    <w:rsid w:val="134233B7"/>
    <w:rsid w:val="1364719A"/>
    <w:rsid w:val="137D5F06"/>
    <w:rsid w:val="13A0311A"/>
    <w:rsid w:val="14AE74C4"/>
    <w:rsid w:val="152A59B2"/>
    <w:rsid w:val="157E633F"/>
    <w:rsid w:val="17247B54"/>
    <w:rsid w:val="17E9578A"/>
    <w:rsid w:val="196A1CCC"/>
    <w:rsid w:val="1A050DE8"/>
    <w:rsid w:val="1B5F7121"/>
    <w:rsid w:val="1E476C31"/>
    <w:rsid w:val="1FDB71CF"/>
    <w:rsid w:val="206C32B1"/>
    <w:rsid w:val="20A85646"/>
    <w:rsid w:val="22783F62"/>
    <w:rsid w:val="22F56ECA"/>
    <w:rsid w:val="23846F1A"/>
    <w:rsid w:val="26301520"/>
    <w:rsid w:val="264B09E7"/>
    <w:rsid w:val="29253C5F"/>
    <w:rsid w:val="292B071C"/>
    <w:rsid w:val="2A850E52"/>
    <w:rsid w:val="2BB97F4A"/>
    <w:rsid w:val="2BFB6435"/>
    <w:rsid w:val="2D5F3BEA"/>
    <w:rsid w:val="2DAD1295"/>
    <w:rsid w:val="2E1A1CB3"/>
    <w:rsid w:val="2F82055E"/>
    <w:rsid w:val="3015100B"/>
    <w:rsid w:val="32B02F4F"/>
    <w:rsid w:val="32ED7EDB"/>
    <w:rsid w:val="33515420"/>
    <w:rsid w:val="3459654B"/>
    <w:rsid w:val="35E67CC2"/>
    <w:rsid w:val="35EA73E3"/>
    <w:rsid w:val="37130BEA"/>
    <w:rsid w:val="397E1DFD"/>
    <w:rsid w:val="398B33E3"/>
    <w:rsid w:val="3B007723"/>
    <w:rsid w:val="3B3E176C"/>
    <w:rsid w:val="3EB65EA7"/>
    <w:rsid w:val="3F306184"/>
    <w:rsid w:val="407946F1"/>
    <w:rsid w:val="4592285F"/>
    <w:rsid w:val="4594599D"/>
    <w:rsid w:val="45FA704D"/>
    <w:rsid w:val="461061B1"/>
    <w:rsid w:val="46122A69"/>
    <w:rsid w:val="48935017"/>
    <w:rsid w:val="49A73E15"/>
    <w:rsid w:val="4C2C0CD0"/>
    <w:rsid w:val="4C6B6707"/>
    <w:rsid w:val="4CC534FF"/>
    <w:rsid w:val="4CF47715"/>
    <w:rsid w:val="4D442103"/>
    <w:rsid w:val="4D605863"/>
    <w:rsid w:val="4DE24485"/>
    <w:rsid w:val="52873053"/>
    <w:rsid w:val="53176A9C"/>
    <w:rsid w:val="53F40CBE"/>
    <w:rsid w:val="542A117B"/>
    <w:rsid w:val="54330458"/>
    <w:rsid w:val="546F3F6B"/>
    <w:rsid w:val="54F112A5"/>
    <w:rsid w:val="559336C4"/>
    <w:rsid w:val="56DD1F1C"/>
    <w:rsid w:val="585B5B7A"/>
    <w:rsid w:val="595744CF"/>
    <w:rsid w:val="5CDC67F1"/>
    <w:rsid w:val="5CDD10BF"/>
    <w:rsid w:val="5E052881"/>
    <w:rsid w:val="5E677FF0"/>
    <w:rsid w:val="5EC17405"/>
    <w:rsid w:val="5F273CAC"/>
    <w:rsid w:val="5F5027A2"/>
    <w:rsid w:val="600D5DA2"/>
    <w:rsid w:val="61877856"/>
    <w:rsid w:val="6249287A"/>
    <w:rsid w:val="64BF7E83"/>
    <w:rsid w:val="64C90076"/>
    <w:rsid w:val="65F60B40"/>
    <w:rsid w:val="66042581"/>
    <w:rsid w:val="677847D8"/>
    <w:rsid w:val="677E43FB"/>
    <w:rsid w:val="693A5F2F"/>
    <w:rsid w:val="6A0D0A67"/>
    <w:rsid w:val="6A163E39"/>
    <w:rsid w:val="6A2E5D2C"/>
    <w:rsid w:val="6C4B4ADF"/>
    <w:rsid w:val="6C63752A"/>
    <w:rsid w:val="6C940230"/>
    <w:rsid w:val="6D4579BF"/>
    <w:rsid w:val="6D7935F9"/>
    <w:rsid w:val="6E06478D"/>
    <w:rsid w:val="6E322ED1"/>
    <w:rsid w:val="6FDC2C9B"/>
    <w:rsid w:val="7015325F"/>
    <w:rsid w:val="71E21A2C"/>
    <w:rsid w:val="738D6525"/>
    <w:rsid w:val="755358DC"/>
    <w:rsid w:val="75A504A5"/>
    <w:rsid w:val="764928A0"/>
    <w:rsid w:val="76C635C6"/>
    <w:rsid w:val="77790D29"/>
    <w:rsid w:val="792225E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Date"/>
    <w:basedOn w:val="1"/>
    <w:next w:val="1"/>
    <w:link w:val="20"/>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rPr>
  </w:style>
  <w:style w:type="paragraph" w:styleId="12">
    <w:name w:val="Normal (Web)"/>
    <w:basedOn w:val="1"/>
    <w:qFormat/>
    <w:uiPriority w:val="0"/>
    <w:pPr>
      <w:spacing w:before="100" w:beforeAutospacing="1" w:after="100" w:afterAutospacing="1"/>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page number"/>
    <w:basedOn w:val="15"/>
    <w:qFormat/>
    <w:uiPriority w:val="0"/>
  </w:style>
  <w:style w:type="character" w:styleId="18">
    <w:name w:val="Emphasis"/>
    <w:qFormat/>
    <w:uiPriority w:val="20"/>
    <w:rPr>
      <w:i/>
      <w:iCs/>
    </w:rPr>
  </w:style>
  <w:style w:type="character" w:styleId="19">
    <w:name w:val="Hyperlink"/>
    <w:basedOn w:val="15"/>
    <w:uiPriority w:val="0"/>
    <w:rPr>
      <w:color w:val="0000FF"/>
      <w:u w:val="single"/>
    </w:rPr>
  </w:style>
  <w:style w:type="character" w:customStyle="1" w:styleId="20">
    <w:name w:val="日期 Char"/>
    <w:link w:val="9"/>
    <w:qFormat/>
    <w:uiPriority w:val="0"/>
    <w:rPr>
      <w:kern w:val="2"/>
      <w:sz w:val="21"/>
    </w:rPr>
  </w:style>
  <w:style w:type="character" w:customStyle="1" w:styleId="21">
    <w:name w:val="mark"/>
    <w:basedOn w:val="15"/>
    <w:qFormat/>
    <w:uiPriority w:val="0"/>
  </w:style>
  <w:style w:type="paragraph" w:customStyle="1" w:styleId="22">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3">
    <w:name w:val="Char Char Char Char"/>
    <w:basedOn w:val="1"/>
    <w:qFormat/>
    <w:uiPriority w:val="0"/>
  </w:style>
  <w:style w:type="paragraph" w:customStyle="1" w:styleId="24">
    <w:name w:val="Char Char Char Char Char Char"/>
    <w:basedOn w:val="7"/>
    <w:qFormat/>
    <w:uiPriority w:val="0"/>
    <w:rPr>
      <w:rFonts w:ascii="Tahoma" w:hAnsi="Tahoma"/>
      <w:sz w:val="24"/>
      <w:szCs w:val="24"/>
    </w:rPr>
  </w:style>
  <w:style w:type="paragraph" w:styleId="25">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6">
    <w:name w:val="msolistparagraph"/>
    <w:basedOn w:val="1"/>
    <w:qFormat/>
    <w:uiPriority w:val="0"/>
    <w:pPr>
      <w:spacing w:line="360" w:lineRule="auto"/>
      <w:ind w:firstLine="420" w:firstLineChars="200"/>
    </w:pPr>
    <w:rPr>
      <w:rFonts w:ascii="Calibri" w:hAnsi="Calibri" w:cs="Calibri"/>
      <w:szCs w:val="21"/>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样式 标题 2"/>
    <w:basedOn w:val="5"/>
    <w:qFormat/>
    <w:uiPriority w:val="0"/>
    <w:rPr>
      <w:b w:val="0"/>
    </w:rPr>
  </w:style>
  <w:style w:type="paragraph" w:customStyle="1" w:styleId="29">
    <w:name w:val="样式1"/>
    <w:basedOn w:val="1"/>
    <w:qFormat/>
    <w:uiPriority w:val="0"/>
    <w:pPr>
      <w:numPr>
        <w:ilvl w:val="2"/>
        <w:numId w:val="1"/>
      </w:numPr>
      <w:tabs>
        <w:tab w:val="left" w:pos="570"/>
      </w:tabs>
      <w:spacing w:line="360" w:lineRule="auto"/>
    </w:pPr>
    <w:rPr>
      <w:rFonts w:ascii="宋体"/>
      <w:sz w:val="24"/>
    </w:rPr>
  </w:style>
  <w:style w:type="paragraph" w:customStyle="1" w:styleId="30">
    <w:name w:val="正文1"/>
    <w:basedOn w:val="1"/>
    <w:qFormat/>
    <w:uiPriority w:val="0"/>
    <w:pPr>
      <w:autoSpaceDE w:val="0"/>
      <w:spacing w:line="276" w:lineRule="auto"/>
      <w:ind w:firstLine="480" w:firstLineChars="200"/>
    </w:pPr>
    <w:rPr>
      <w:kern w:val="0"/>
      <w:sz w:val="24"/>
      <w:szCs w:val="20"/>
    </w:rPr>
  </w:style>
  <w:style w:type="paragraph" w:customStyle="1" w:styleId="31">
    <w:name w:val="Char"/>
    <w:basedOn w:val="1"/>
    <w:qFormat/>
    <w:uiPriority w:val="0"/>
    <w:pPr>
      <w:widowControl/>
      <w:spacing w:line="348" w:lineRule="auto"/>
      <w:ind w:firstLine="560" w:firstLineChars="200"/>
    </w:pPr>
    <w:rPr>
      <w:rFonts w:eastAsia="仿宋_GB2312"/>
      <w:sz w:val="28"/>
    </w:rPr>
  </w:style>
  <w:style w:type="paragraph" w:customStyle="1" w:styleId="32">
    <w:name w:val="p0"/>
    <w:basedOn w:val="1"/>
    <w:qFormat/>
    <w:uiPriority w:val="0"/>
    <w:pPr>
      <w:widowControl/>
      <w:jc w:val="left"/>
    </w:pPr>
    <w:rPr>
      <w:rFonts w:ascii="Calibri" w:hAnsi="Calibri" w:eastAsia="Arial Unicode MS"/>
      <w:kern w:val="0"/>
      <w:szCs w:val="20"/>
    </w:rPr>
  </w:style>
  <w:style w:type="paragraph" w:customStyle="1" w:styleId="33">
    <w:name w:val="WPSOffice手动目录 1"/>
    <w:uiPriority w:val="0"/>
    <w:pPr>
      <w:ind w:leftChars="0"/>
    </w:pPr>
    <w:rPr>
      <w:sz w:val="20"/>
      <w:szCs w:val="20"/>
    </w:rPr>
  </w:style>
  <w:style w:type="paragraph" w:customStyle="1" w:styleId="34">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1927</Words>
  <Characters>2163</Characters>
  <Lines>16</Lines>
  <Paragraphs>4</Paragraphs>
  <TotalTime>3</TotalTime>
  <ScaleCrop>false</ScaleCrop>
  <LinksUpToDate>false</LinksUpToDate>
  <CharactersWithSpaces>2207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2025-07-18T11:40:30Z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