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eastAsia" w:ascii="Times New Roman" w:hAnsi="Times New Roman" w:eastAsia="黑体" w:cs="Times New Roman"/>
          <w:b/>
          <w:bCs/>
          <w:sz w:val="56"/>
          <w:szCs w:val="56"/>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变压器</w:t>
      </w:r>
      <w:r>
        <w:rPr>
          <w:rFonts w:hint="eastAsia" w:ascii="Times New Roman" w:hAnsi="Times New Roman" w:eastAsia="黑体" w:cs="Times New Roman"/>
          <w:b/>
          <w:bCs/>
          <w:sz w:val="56"/>
          <w:szCs w:val="56"/>
        </w:rPr>
        <w:t>有载开关参数</w:t>
      </w:r>
    </w:p>
    <w:p>
      <w:pPr>
        <w:spacing w:line="360" w:lineRule="auto"/>
        <w:jc w:val="center"/>
        <w:rPr>
          <w:rFonts w:hint="eastAsia" w:ascii="微软雅黑" w:hAnsi="微软雅黑" w:eastAsia="微软雅黑"/>
          <w:b/>
          <w:sz w:val="52"/>
          <w:szCs w:val="52"/>
        </w:rPr>
      </w:pPr>
      <w:r>
        <w:rPr>
          <w:rFonts w:hint="eastAsia" w:ascii="Times New Roman" w:hAnsi="Times New Roman" w:eastAsia="黑体" w:cs="Times New Roman"/>
          <w:b/>
          <w:bCs/>
          <w:sz w:val="56"/>
          <w:szCs w:val="56"/>
        </w:rPr>
        <w:t>测试仪</w:t>
      </w: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74365"/>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_Toc18475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_Toc18475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_Toc19552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_Toc19552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_Toc3827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_Toc3827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_Toc29978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_Toc29978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_Toc9909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_Toc9909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_Toc23714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_Toc23714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_Toc13779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_Toc13779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_Toc26565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_Toc26565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_Toc19981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_Toc19981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_Toc18631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_Toc18631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_Toc10775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_Toc10775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_Toc17181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_Toc17181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_Toc27863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_Toc27863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_Toc20024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_Toc20024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rPr>
              <w:rFonts w:hint="eastAsia" w:ascii="宋体" w:hAnsi="宋体" w:eastAsia="宋体" w:cs="宋体"/>
              <w:b w:val="0"/>
              <w:bCs/>
              <w:sz w:val="28"/>
              <w:szCs w:val="28"/>
              <w:lang w:val="en-US" w:eastAsia="zh-CN"/>
            </w:rPr>
          </w:pPr>
        </w:p>
        <w:p>
          <w:pPr>
            <w:numPr>
              <w:ilvl w:val="0"/>
              <w:numId w:val="0"/>
            </w:numPr>
            <w:spacing w:line="360" w:lineRule="auto"/>
            <w:ind w:leftChars="0"/>
            <w:rPr>
              <w:rFonts w:hint="eastAsia" w:ascii="宋体" w:hAnsi="宋体" w:eastAsia="宋体" w:cs="宋体"/>
              <w:b w:val="0"/>
              <w:bCs/>
              <w:sz w:val="28"/>
              <w:szCs w:val="28"/>
              <w:lang w:val="en-US" w:eastAsia="zh-CN"/>
            </w:rPr>
          </w:pPr>
        </w:p>
        <w:p>
          <w:pPr>
            <w:numPr>
              <w:ilvl w:val="0"/>
              <w:numId w:val="0"/>
            </w:numPr>
            <w:spacing w:line="360" w:lineRule="auto"/>
            <w:ind w:leftChars="0"/>
            <w:rPr>
              <w:rFonts w:hint="eastAsia" w:ascii="宋体" w:hAnsi="宋体" w:eastAsia="宋体" w:cs="宋体"/>
              <w:b w:val="0"/>
              <w:bCs/>
              <w:sz w:val="28"/>
              <w:szCs w:val="28"/>
              <w:lang w:val="en-US" w:eastAsia="zh-CN"/>
            </w:rPr>
          </w:pPr>
        </w:p>
        <w:p>
          <w:pPr>
            <w:numPr>
              <w:ilvl w:val="0"/>
              <w:numId w:val="0"/>
            </w:numPr>
            <w:spacing w:line="360" w:lineRule="auto"/>
            <w:ind w:leftChars="0"/>
            <w:rPr>
              <w:rFonts w:hint="eastAsia" w:ascii="宋体" w:hAnsi="宋体" w:eastAsia="宋体" w:cs="宋体"/>
              <w:b w:val="0"/>
              <w:bCs/>
              <w:sz w:val="28"/>
              <w:szCs w:val="28"/>
              <w:lang w:val="en-US" w:eastAsia="zh-CN"/>
            </w:rPr>
          </w:pPr>
        </w:p>
        <w:p>
          <w:pPr>
            <w:numPr>
              <w:ilvl w:val="0"/>
              <w:numId w:val="0"/>
            </w:numPr>
            <w:spacing w:line="360" w:lineRule="auto"/>
            <w:ind w:leftChars="0"/>
            <w:rPr>
              <w:rFonts w:hint="eastAsia" w:ascii="宋体" w:hAnsi="宋体" w:eastAsia="宋体" w:cs="宋体"/>
              <w:b w:val="0"/>
              <w:bCs/>
              <w:sz w:val="28"/>
              <w:szCs w:val="28"/>
              <w:lang w:val="en-US" w:eastAsia="zh-CN"/>
            </w:rPr>
          </w:pPr>
          <w:bookmarkStart w:id="67" w:name="_GoBack"/>
          <w:bookmarkEnd w:id="67"/>
        </w:p>
        <w:p>
          <w:pPr>
            <w:numPr>
              <w:ilvl w:val="0"/>
              <w:numId w:val="0"/>
            </w:numPr>
            <w:spacing w:line="360" w:lineRule="auto"/>
            <w:ind w:leftChars="0"/>
            <w:rPr>
              <w:rFonts w:hint="eastAsia" w:ascii="宋体" w:hAnsi="宋体" w:eastAsia="宋体" w:cs="宋体"/>
              <w:b w:val="0"/>
              <w:bCs/>
              <w:sz w:val="28"/>
              <w:szCs w:val="28"/>
              <w:lang w:val="en-US" w:eastAsia="zh-CN"/>
            </w:rPr>
          </w:pPr>
        </w:p>
        <w:p>
          <w:pPr>
            <w:numPr>
              <w:ilvl w:val="0"/>
              <w:numId w:val="0"/>
            </w:numPr>
            <w:spacing w:line="360" w:lineRule="auto"/>
            <w:ind w:leftChars="0"/>
            <w:rPr>
              <w:rFonts w:hint="eastAsia" w:ascii="宋体" w:hAnsi="宋体" w:eastAsia="宋体" w:cs="宋体"/>
              <w:b/>
              <w:sz w:val="30"/>
              <w:szCs w:val="30"/>
              <w:lang w:val="en-US" w:eastAsia="zh-CN"/>
            </w:rPr>
          </w:pPr>
        </w:p>
      </w:sdtContent>
    </w:sdt>
    <w:p>
      <w:pPr>
        <w:numPr>
          <w:ilvl w:val="0"/>
          <w:numId w:val="0"/>
        </w:numPr>
        <w:spacing w:line="360" w:lineRule="auto"/>
        <w:ind w:leftChars="0"/>
        <w:outlineLvl w:val="0"/>
        <w:rPr>
          <w:rFonts w:hint="eastAsia" w:ascii="宋体" w:hAnsi="宋体" w:eastAsia="宋体" w:cs="宋体"/>
          <w:b/>
          <w:sz w:val="28"/>
          <w:szCs w:val="28"/>
        </w:rPr>
      </w:pPr>
      <w:bookmarkStart w:id="0" w:name="_Toc18475"/>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cs="宋体"/>
          <w:sz w:val="28"/>
          <w:szCs w:val="28"/>
          <w:lang w:val="en-US" w:eastAsia="zh-CN"/>
        </w:rPr>
        <w:t xml:space="preserve">1.1 </w:t>
      </w:r>
      <w:r>
        <w:rPr>
          <w:rFonts w:hint="eastAsia" w:ascii="宋体" w:hAnsi="宋体" w:eastAsia="宋体" w:cs="宋体"/>
          <w:sz w:val="28"/>
          <w:szCs w:val="28"/>
        </w:rPr>
        <w:t>本规范书适用于变压器有载开关参数测试仪的招标，它提出设备的功能、结构、性能、安装和试验等方面的技术要求。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19552"/>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 6592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电工和电子测量设备性能表示</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"https://www.so.com/link?m=wluYCRXGH4IppxFzOyiRAaGV1uOG8kfuRa4crBxzmOkeuRbn9hx5V+HmVAczhFe5DhlMQXw38wxll+laCpEX3zQkv4Rdx5RRtF5Ff68b+n1Ocb12ymaUeHEsQYt7Qblo95kaVbN9KF5K0rMa/yzwm4Q==" \t "https://www.so.com/_blank"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GB/T 6593</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电子测量仪器质量检验规则</w:t>
      </w:r>
      <w:r>
        <w:rPr>
          <w:rFonts w:hint="eastAsia" w:ascii="宋体" w:hAnsi="宋体" w:eastAsia="宋体" w:cs="宋体"/>
          <w:sz w:val="28"/>
          <w:szCs w:val="28"/>
          <w:lang w:val="en-US" w:eastAsia="zh-CN"/>
        </w:rPr>
        <w:fldChar w:fldCharType="end"/>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 265</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变压器有载分接开关现场试验导则</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3827"/>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cs="宋体"/>
          <w:sz w:val="28"/>
          <w:szCs w:val="28"/>
          <w:lang w:eastAsia="zh-CN"/>
        </w:rPr>
        <w:t>：</w:t>
      </w:r>
      <w:r>
        <w:rPr>
          <w:rFonts w:hint="eastAsia" w:ascii="宋体" w:hAnsi="宋体" w:eastAsia="宋体" w:cs="宋体"/>
          <w:kern w:val="0"/>
          <w:sz w:val="28"/>
          <w:szCs w:val="28"/>
          <w:highlight w:val="none"/>
        </w:rPr>
        <w:t>-20℃～+50℃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w:t>
      </w:r>
      <w:r>
        <w:rPr>
          <w:rFonts w:hint="eastAsia" w:ascii="宋体" w:hAnsi="宋体" w:eastAsia="宋体" w:cs="宋体"/>
          <w:color w:val="000000"/>
          <w:sz w:val="28"/>
          <w:szCs w:val="28"/>
        </w:rPr>
        <w:t>≤90%</w:t>
      </w:r>
      <w:r>
        <w:rPr>
          <w:rFonts w:hint="eastAsia" w:ascii="宋体" w:hAnsi="宋体" w:cs="宋体"/>
          <w:color w:val="000000"/>
          <w:sz w:val="28"/>
          <w:szCs w:val="28"/>
          <w:lang w:val="en-US" w:eastAsia="zh-CN"/>
        </w:rPr>
        <w:t xml:space="preserve"> </w:t>
      </w:r>
      <w:r>
        <w:rPr>
          <w:rFonts w:hint="eastAsia" w:ascii="宋体" w:hAnsi="宋体" w:eastAsia="宋体" w:cs="宋体"/>
          <w:sz w:val="28"/>
          <w:szCs w:val="28"/>
        </w:rPr>
        <w:t>RH</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污秽等级：&gt;Ⅲ级</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9978"/>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9909"/>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4556"/>
      <w:bookmarkStart w:id="6" w:name="_Toc200511818"/>
      <w:bookmarkStart w:id="7" w:name="_Toc167008908"/>
      <w:r>
        <w:rPr>
          <w:rFonts w:hint="eastAsia" w:ascii="宋体" w:hAnsi="宋体" w:cs="宋体"/>
          <w:sz w:val="28"/>
          <w:szCs w:val="28"/>
          <w:lang w:val="en-US" w:eastAsia="zh-CN"/>
        </w:rPr>
        <w:t>（1）</w:t>
      </w:r>
      <w:r>
        <w:rPr>
          <w:rFonts w:hint="eastAsia" w:ascii="宋体" w:hAnsi="宋体" w:eastAsia="宋体" w:cs="宋体"/>
          <w:sz w:val="28"/>
          <w:szCs w:val="28"/>
          <w:lang w:val="en-US" w:eastAsia="zh-CN"/>
        </w:rPr>
        <w:t>可用于</w:t>
      </w:r>
      <w:r>
        <w:rPr>
          <w:rFonts w:hint="eastAsia" w:ascii="宋体" w:hAnsi="宋体" w:eastAsia="宋体" w:cs="宋体"/>
          <w:i w:val="0"/>
          <w:iCs w:val="0"/>
          <w:caps w:val="0"/>
          <w:color w:val="333333"/>
          <w:spacing w:val="0"/>
          <w:sz w:val="28"/>
          <w:szCs w:val="28"/>
          <w:shd w:val="clear" w:fill="FFFFFF"/>
        </w:rPr>
        <w:t>电力变压器及特种变压器有载分接开关电气性能指标的综合测量</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最大输出电流2A</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适合测试更小的过渡电阻</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具有完善的保护电路，可靠性强</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7寸全触控工业级彩色液晶屏，分辨率1024×600，全视角显示，亮度400cd/m2</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户外显示清晰，触控面板采用防爆玻璃，适合工业环境使用</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lang w:val="en-US" w:eastAsia="zh-CN"/>
        </w:rPr>
        <w:t>全功能单键飞梭操作和触控操作互为备份，</w:t>
      </w:r>
      <w:r>
        <w:rPr>
          <w:rFonts w:hint="eastAsia" w:ascii="宋体" w:hAnsi="宋体" w:cs="宋体"/>
          <w:sz w:val="28"/>
          <w:szCs w:val="28"/>
          <w:highlight w:val="none"/>
          <w:lang w:val="en-US" w:eastAsia="zh-CN"/>
        </w:rPr>
        <w:t>具备</w:t>
      </w:r>
      <w:r>
        <w:rPr>
          <w:rFonts w:hint="eastAsia" w:ascii="宋体" w:hAnsi="宋体" w:eastAsia="宋体" w:cs="宋体"/>
          <w:sz w:val="28"/>
          <w:szCs w:val="28"/>
          <w:highlight w:val="none"/>
          <w:lang w:val="en-US" w:eastAsia="zh-CN"/>
        </w:rPr>
        <w:t>双重操作保障，并配合全新的UI显示系统，为用户带来安全、便捷的操作体验</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lang w:val="en-US" w:eastAsia="zh-CN"/>
        </w:rPr>
        <w:t>配备高速热敏打印机，便于数据打印</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lang w:val="en-US" w:eastAsia="zh-CN"/>
        </w:rPr>
        <w:t>具有本机存储和优盘存储，并配合PC端软件，使波形分析更加方便</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（8）</w:t>
      </w:r>
      <w:r>
        <w:rPr>
          <w:rFonts w:hint="eastAsia" w:ascii="宋体" w:hAnsi="宋体" w:eastAsia="宋体" w:cs="宋体"/>
          <w:sz w:val="28"/>
          <w:szCs w:val="28"/>
          <w:highlight w:val="none"/>
          <w:lang w:val="en-US" w:eastAsia="zh-CN"/>
        </w:rPr>
        <w:t>通讯协议：设备通讯格式满足常用通讯技术规约</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（9）</w:t>
      </w:r>
      <w:r>
        <w:rPr>
          <w:rFonts w:hint="eastAsia" w:ascii="宋体" w:hAnsi="宋体" w:eastAsia="宋体" w:cs="宋体"/>
          <w:sz w:val="28"/>
          <w:szCs w:val="28"/>
          <w:highlight w:val="none"/>
          <w:lang w:val="en-US" w:eastAsia="zh-CN"/>
        </w:rPr>
        <w:t>数据上传：</w:t>
      </w:r>
      <w:r>
        <w:rPr>
          <w:rFonts w:hint="eastAsia" w:ascii="宋体" w:hAnsi="宋体" w:cs="宋体"/>
          <w:sz w:val="28"/>
          <w:szCs w:val="28"/>
          <w:highlight w:val="none"/>
          <w:lang w:val="en-US" w:eastAsia="zh-CN"/>
        </w:rPr>
        <w:t>具备</w:t>
      </w:r>
      <w:r>
        <w:rPr>
          <w:rFonts w:hint="eastAsia" w:ascii="宋体" w:hAnsi="宋体" w:eastAsia="宋体" w:cs="宋体"/>
          <w:sz w:val="28"/>
          <w:szCs w:val="28"/>
          <w:highlight w:val="none"/>
          <w:lang w:val="en-US" w:eastAsia="zh-CN"/>
        </w:rPr>
        <w:t>数据上传</w:t>
      </w:r>
      <w:r>
        <w:rPr>
          <w:rFonts w:hint="eastAsia" w:ascii="宋体" w:hAnsi="宋体" w:cs="宋体"/>
          <w:sz w:val="28"/>
          <w:szCs w:val="28"/>
          <w:highlight w:val="none"/>
          <w:lang w:val="en-US" w:eastAsia="zh-CN"/>
        </w:rPr>
        <w:t>功能</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cs="宋体"/>
          <w:sz w:val="28"/>
          <w:szCs w:val="28"/>
          <w:highlight w:val="none"/>
          <w:lang w:val="en-US" w:eastAsia="zh-CN"/>
        </w:rPr>
        <w:t>（10）</w:t>
      </w:r>
      <w:r>
        <w:rPr>
          <w:rFonts w:hint="eastAsia" w:ascii="宋体" w:hAnsi="宋体" w:eastAsia="宋体" w:cs="宋体"/>
          <w:sz w:val="28"/>
          <w:szCs w:val="28"/>
          <w:highlight w:val="none"/>
          <w:lang w:val="en-US" w:eastAsia="zh-CN"/>
        </w:rPr>
        <w:t>解析内容：记录试验时间、试验电压、试验电流等</w:t>
      </w:r>
      <w:r>
        <w:rPr>
          <w:rFonts w:hint="eastAsia" w:ascii="宋体" w:hAnsi="宋体" w:eastAsia="宋体" w:cs="宋体"/>
          <w:sz w:val="28"/>
          <w:szCs w:val="28"/>
          <w:lang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3714"/>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1"/>
        <w:gridCol w:w="5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593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输出电流</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0.5A</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1A</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过渡时间测试范围</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0~320ms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测试时间准确度</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测试时间分辨率</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不大于0.1ms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过渡电阻值测试范围</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0.2~40Ω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过渡电阻值准确度</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±0.05Ω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过渡电阻值分辨率</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不大于0.01Ω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绝缘性能</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电源输入端对机壳的绝缘电阻＞2MΩ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工作电源</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单相AC 220V±10%，50±1Hz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通讯协议</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设备通讯格式满足常用通讯技术规约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数据上传</w:t>
            </w:r>
          </w:p>
        </w:tc>
        <w:tc>
          <w:tcPr>
            <w:tcW w:w="5932" w:type="dxa"/>
            <w:vAlign w:val="center"/>
          </w:tcPr>
          <w:p>
            <w:pPr>
              <w:tabs>
                <w:tab w:val="left" w:pos="1125"/>
                <w:tab w:val="left" w:pos="3960"/>
              </w:tabs>
              <w:spacing w:line="240" w:lineRule="auto"/>
              <w:jc w:val="center"/>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具备数据上传功能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1"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解析内容</w:t>
            </w:r>
          </w:p>
        </w:tc>
        <w:tc>
          <w:tcPr>
            <w:tcW w:w="5932" w:type="dxa"/>
            <w:vAlign w:val="center"/>
          </w:tcPr>
          <w:p>
            <w:pPr>
              <w:tabs>
                <w:tab w:val="left" w:pos="1125"/>
                <w:tab w:val="left" w:pos="3960"/>
              </w:tabs>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记录试验时间、试验电压、试验电流等</w:t>
            </w:r>
          </w:p>
        </w:tc>
      </w:tr>
    </w:tbl>
    <w:p>
      <w:pPr>
        <w:spacing w:line="360" w:lineRule="auto"/>
        <w:rPr>
          <w:rFonts w:hint="eastAsia" w:ascii="宋体" w:hAnsi="宋体" w:eastAsia="宋体" w:cs="宋体"/>
          <w:sz w:val="28"/>
          <w:szCs w:val="28"/>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3779"/>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791"/>
        <w:gridCol w:w="1657"/>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791"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657"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791" w:type="dxa"/>
            <w:vAlign w:val="center"/>
          </w:tcPr>
          <w:p>
            <w:pPr>
              <w:shd w:val="clear" w:color="auto" w:fill="auto"/>
              <w:topLinePunct/>
              <w:snapToGrid w:val="0"/>
              <w:spacing w:line="240" w:lineRule="auto"/>
              <w:jc w:val="center"/>
              <w:outlineLvl w:val="9"/>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变压器有载开关参数测试仪</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791" w:type="dxa"/>
            <w:vAlign w:val="center"/>
          </w:tcPr>
          <w:p>
            <w:pPr>
              <w:pStyle w:val="32"/>
              <w:shd w:val="clear" w:color="auto" w:fill="auto"/>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color w:val="000000"/>
                <w:sz w:val="28"/>
                <w:szCs w:val="28"/>
                <w:highlight w:val="none"/>
              </w:rPr>
              <w:t>专用测试导线</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791" w:type="dxa"/>
            <w:vAlign w:val="center"/>
          </w:tcPr>
          <w:p>
            <w:pPr>
              <w:pStyle w:val="32"/>
              <w:shd w:val="clear" w:color="auto" w:fill="auto"/>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2"/>
                <w:sz w:val="28"/>
                <w:szCs w:val="28"/>
                <w:highlight w:val="none"/>
                <w:lang w:val="en-US" w:eastAsia="zh-CN" w:bidi="ar-SA"/>
              </w:rPr>
              <w:t>仪器箱</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791" w:type="dxa"/>
            <w:vAlign w:val="center"/>
          </w:tcPr>
          <w:p>
            <w:pPr>
              <w:pStyle w:val="32"/>
              <w:shd w:val="clear" w:color="auto" w:fill="auto"/>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电源线</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791" w:type="dxa"/>
            <w:vAlign w:val="center"/>
          </w:tcPr>
          <w:p>
            <w:pPr>
              <w:shd w:val="clear" w:color="auto" w:fill="auto"/>
              <w:topLinePunct/>
              <w:snapToGrid w:val="0"/>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合格证</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791" w:type="dxa"/>
            <w:vAlign w:val="center"/>
          </w:tcPr>
          <w:p>
            <w:pPr>
              <w:shd w:val="clear" w:color="auto" w:fill="auto"/>
              <w:topLinePunct/>
              <w:snapToGrid w:val="0"/>
              <w:spacing w:line="240" w:lineRule="auto"/>
              <w:jc w:val="center"/>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检验报告</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791" w:type="dxa"/>
            <w:vAlign w:val="center"/>
          </w:tcPr>
          <w:p>
            <w:pPr>
              <w:shd w:val="clear" w:color="auto" w:fill="auto"/>
              <w:topLinePunct/>
              <w:snapToGrid w:val="0"/>
              <w:spacing w:line="240" w:lineRule="auto"/>
              <w:jc w:val="center"/>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说明书</w:t>
            </w:r>
          </w:p>
        </w:tc>
        <w:tc>
          <w:tcPr>
            <w:tcW w:w="1657"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10357"/>
      <w:bookmarkStart w:id="12" w:name="_Toc6348"/>
      <w:bookmarkStart w:id="13" w:name="_Toc22926"/>
      <w:bookmarkStart w:id="14" w:name="_Toc26565"/>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5" w:name="_Toc23336"/>
      <w:bookmarkStart w:id="16" w:name="_Toc16264"/>
      <w:bookmarkStart w:id="17" w:name="_Toc18597"/>
      <w:bookmarkStart w:id="18" w:name="_Toc11534"/>
      <w:bookmarkStart w:id="19" w:name="_Toc19111"/>
      <w:bookmarkStart w:id="20" w:name="_Toc19981"/>
      <w:r>
        <w:rPr>
          <w:rFonts w:hint="default" w:ascii="Times New Roman" w:hAnsi="Times New Roman" w:eastAsia="宋体" w:cs="Times New Roman"/>
          <w:b/>
          <w:bCs w:val="0"/>
          <w:kern w:val="2"/>
          <w:sz w:val="30"/>
          <w:szCs w:val="30"/>
          <w:lang w:val="en-US" w:eastAsia="zh-CN" w:bidi="ar-SA"/>
        </w:rPr>
        <w:t>7 售后服务和技术培训</w:t>
      </w:r>
      <w:bookmarkStart w:id="21" w:name="_Toc390088690"/>
      <w:r>
        <w:rPr>
          <w:rFonts w:hint="default" w:ascii="Times New Roman" w:hAnsi="Times New Roman" w:eastAsia="宋体" w:cs="Times New Roman"/>
          <w:b/>
          <w:bCs w:val="0"/>
          <w:kern w:val="2"/>
          <w:sz w:val="30"/>
          <w:szCs w:val="30"/>
          <w:lang w:val="en-US" w:eastAsia="zh-CN" w:bidi="ar-SA"/>
        </w:rPr>
        <w:t>要求</w:t>
      </w:r>
      <w:bookmarkEnd w:id="15"/>
      <w:bookmarkEnd w:id="16"/>
      <w:bookmarkEnd w:id="17"/>
      <w:bookmarkEnd w:id="18"/>
      <w:bookmarkEnd w:id="19"/>
      <w:bookmarkEnd w:id="20"/>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2" w:name="_Toc16249"/>
      <w:bookmarkStart w:id="23" w:name="_Toc29029"/>
      <w:bookmarkStart w:id="24" w:name="_Toc31014"/>
      <w:bookmarkStart w:id="25" w:name="_Toc3099"/>
      <w:bookmarkStart w:id="26" w:name="_Toc18060"/>
      <w:bookmarkStart w:id="27" w:name="_Toc18631"/>
      <w:r>
        <w:rPr>
          <w:rFonts w:hint="default" w:ascii="Times New Roman" w:hAnsi="Times New Roman" w:eastAsia="宋体" w:cs="Times New Roman"/>
          <w:b/>
          <w:bCs/>
          <w:sz w:val="28"/>
          <w:szCs w:val="28"/>
          <w:lang w:val="en-US" w:eastAsia="zh-CN"/>
        </w:rPr>
        <w:t>7.1 售后服务</w:t>
      </w:r>
      <w:bookmarkEnd w:id="21"/>
      <w:bookmarkEnd w:id="22"/>
      <w:bookmarkEnd w:id="23"/>
      <w:bookmarkEnd w:id="24"/>
      <w:bookmarkEnd w:id="25"/>
      <w:bookmarkEnd w:id="26"/>
      <w:bookmarkEnd w:id="27"/>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28" w:name="OLE_LINK17"/>
      <w:r>
        <w:rPr>
          <w:rFonts w:hint="default" w:ascii="Times New Roman" w:hAnsi="Times New Roman" w:cs="Times New Roman"/>
          <w:sz w:val="28"/>
          <w:szCs w:val="28"/>
        </w:rPr>
        <w:t>投标方应保证系统投运之日起提供</w:t>
      </w:r>
      <w:bookmarkEnd w:id="28"/>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9"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0" w:name="_Toc6783"/>
      <w:bookmarkStart w:id="31" w:name="_Toc5683"/>
      <w:bookmarkStart w:id="32" w:name="_Toc4614"/>
      <w:bookmarkStart w:id="33" w:name="_Toc17905"/>
      <w:bookmarkStart w:id="34" w:name="_Toc430"/>
      <w:bookmarkStart w:id="35" w:name="_Toc10775"/>
      <w:bookmarkStart w:id="36" w:name="OLE_LINK22"/>
      <w:r>
        <w:rPr>
          <w:rFonts w:hint="default" w:ascii="Times New Roman" w:hAnsi="Times New Roman" w:eastAsia="宋体" w:cs="Times New Roman"/>
          <w:b/>
          <w:bCs/>
          <w:sz w:val="28"/>
          <w:szCs w:val="28"/>
          <w:lang w:val="en-US" w:eastAsia="zh-CN"/>
        </w:rPr>
        <w:t>7.2 技术培训</w:t>
      </w:r>
      <w:bookmarkEnd w:id="29"/>
      <w:bookmarkEnd w:id="30"/>
      <w:bookmarkEnd w:id="31"/>
      <w:bookmarkEnd w:id="32"/>
      <w:bookmarkEnd w:id="33"/>
      <w:bookmarkEnd w:id="34"/>
      <w:bookmarkEnd w:id="35"/>
    </w:p>
    <w:bookmarkEnd w:id="36"/>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37" w:name="OLE_LINK16"/>
      <w:r>
        <w:rPr>
          <w:rFonts w:hint="default" w:ascii="Times New Roman" w:hAnsi="Times New Roman" w:eastAsia="宋体" w:cs="Times New Roman"/>
          <w:sz w:val="28"/>
          <w:szCs w:val="28"/>
        </w:rPr>
        <w:t>不少于</w:t>
      </w:r>
      <w:bookmarkEnd w:id="37"/>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38"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38"/>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39" w:name="_Toc3624"/>
      <w:bookmarkStart w:id="40" w:name="_Toc7428"/>
      <w:bookmarkStart w:id="41" w:name="_Toc26867"/>
      <w:bookmarkStart w:id="42" w:name="_Toc25839"/>
      <w:bookmarkStart w:id="43" w:name="_Toc10568"/>
      <w:bookmarkStart w:id="44" w:name="_Toc17181"/>
      <w:r>
        <w:rPr>
          <w:rFonts w:hint="default" w:ascii="Times New Roman" w:hAnsi="Times New Roman" w:eastAsia="宋体" w:cs="Times New Roman"/>
          <w:b/>
          <w:bCs w:val="0"/>
          <w:kern w:val="2"/>
          <w:sz w:val="30"/>
          <w:szCs w:val="30"/>
          <w:lang w:val="en-US" w:eastAsia="zh-CN" w:bidi="ar-SA"/>
        </w:rPr>
        <w:t>8 验收</w:t>
      </w:r>
      <w:bookmarkStart w:id="45" w:name="_Toc387612874"/>
      <w:bookmarkStart w:id="46" w:name="_Toc390088694"/>
      <w:bookmarkStart w:id="47" w:name="_Toc291690060"/>
      <w:r>
        <w:rPr>
          <w:rFonts w:hint="default" w:ascii="Times New Roman" w:hAnsi="Times New Roman" w:eastAsia="宋体" w:cs="Times New Roman"/>
          <w:b/>
          <w:bCs w:val="0"/>
          <w:kern w:val="2"/>
          <w:sz w:val="30"/>
          <w:szCs w:val="30"/>
          <w:lang w:val="en-US" w:eastAsia="zh-CN" w:bidi="ar-SA"/>
        </w:rPr>
        <w:t>要求</w:t>
      </w:r>
      <w:bookmarkEnd w:id="39"/>
      <w:bookmarkEnd w:id="40"/>
      <w:bookmarkEnd w:id="41"/>
      <w:bookmarkEnd w:id="42"/>
      <w:bookmarkEnd w:id="43"/>
      <w:bookmarkEnd w:id="44"/>
    </w:p>
    <w:bookmarkEnd w:id="45"/>
    <w:bookmarkEnd w:id="46"/>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48" w:name="_Toc341535612"/>
      <w:bookmarkStart w:id="49" w:name="_Toc387612875"/>
      <w:bookmarkStart w:id="50"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1" w:name="_Toc27907"/>
      <w:bookmarkStart w:id="52" w:name="_Toc22741"/>
      <w:bookmarkStart w:id="53" w:name="_Toc7867"/>
      <w:bookmarkStart w:id="54" w:name="_Toc19273"/>
      <w:bookmarkStart w:id="55" w:name="_Toc23903"/>
      <w:bookmarkStart w:id="56" w:name="_Toc27863"/>
      <w:bookmarkStart w:id="57" w:name="OLE_LINK21"/>
      <w:r>
        <w:rPr>
          <w:rFonts w:hint="default" w:ascii="Times New Roman" w:hAnsi="Times New Roman" w:eastAsia="宋体" w:cs="Times New Roman"/>
          <w:b/>
          <w:bCs/>
          <w:kern w:val="0"/>
          <w:sz w:val="28"/>
          <w:szCs w:val="28"/>
          <w:lang w:val="en-US" w:eastAsia="zh-CN" w:bidi="ar-SA"/>
        </w:rPr>
        <w:t>8.1 到货验收</w:t>
      </w:r>
      <w:bookmarkEnd w:id="48"/>
      <w:bookmarkEnd w:id="49"/>
      <w:bookmarkEnd w:id="50"/>
      <w:bookmarkEnd w:id="51"/>
      <w:bookmarkEnd w:id="52"/>
      <w:bookmarkEnd w:id="53"/>
      <w:bookmarkEnd w:id="54"/>
      <w:bookmarkEnd w:id="55"/>
      <w:bookmarkEnd w:id="56"/>
    </w:p>
    <w:bookmarkEnd w:id="57"/>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58" w:name="_Toc257812192"/>
      <w:bookmarkStart w:id="59" w:name="_Toc387612876"/>
      <w:bookmarkStart w:id="60"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1" w:name="_Toc9650"/>
      <w:bookmarkStart w:id="62" w:name="_Toc15384"/>
      <w:bookmarkStart w:id="63" w:name="_Toc17828"/>
      <w:bookmarkStart w:id="64" w:name="_Toc22068"/>
      <w:bookmarkStart w:id="65" w:name="_Toc5236"/>
      <w:bookmarkStart w:id="66" w:name="_Toc20024"/>
      <w:r>
        <w:rPr>
          <w:rFonts w:hint="default" w:ascii="Times New Roman" w:hAnsi="Times New Roman" w:eastAsia="宋体" w:cs="Times New Roman"/>
          <w:b/>
          <w:bCs/>
          <w:kern w:val="0"/>
          <w:sz w:val="28"/>
          <w:szCs w:val="28"/>
          <w:lang w:val="en-US" w:eastAsia="zh-CN" w:bidi="ar-SA"/>
        </w:rPr>
        <w:t>8.2 现场验收</w:t>
      </w:r>
      <w:bookmarkEnd w:id="58"/>
      <w:bookmarkEnd w:id="59"/>
      <w:bookmarkEnd w:id="60"/>
      <w:bookmarkEnd w:id="61"/>
      <w:bookmarkEnd w:id="62"/>
      <w:bookmarkEnd w:id="63"/>
      <w:bookmarkEnd w:id="64"/>
      <w:bookmarkEnd w:id="65"/>
      <w:bookmarkEnd w:id="66"/>
    </w:p>
    <w:p>
      <w:pPr>
        <w:tabs>
          <w:tab w:val="left" w:pos="3220"/>
        </w:tabs>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47"/>
      <w:r>
        <w:rPr>
          <w:rFonts w:hint="default" w:ascii="Times New Roman" w:hAnsi="Times New Roman" w:eastAsia="宋体" w:cs="Times New Roman"/>
          <w:sz w:val="28"/>
          <w:szCs w:val="28"/>
          <w:lang w:eastAsia="zh-CN"/>
        </w:rPr>
        <w:t>。</w:t>
      </w:r>
    </w:p>
    <w:p>
      <w:pPr>
        <w:spacing w:line="360" w:lineRule="auto"/>
        <w:rPr>
          <w:rFonts w:ascii="宋体" w:hAnsi="宋体"/>
          <w:szCs w:val="21"/>
        </w:rPr>
      </w:pP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变电专业变压器有载开关参数测试仪技术规范书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56E4A58"/>
    <w:rsid w:val="06C83369"/>
    <w:rsid w:val="06F74250"/>
    <w:rsid w:val="06FC1FE4"/>
    <w:rsid w:val="073440CA"/>
    <w:rsid w:val="083B22E9"/>
    <w:rsid w:val="0AA06A69"/>
    <w:rsid w:val="0B1D612C"/>
    <w:rsid w:val="0B9E7B3E"/>
    <w:rsid w:val="0BAC324C"/>
    <w:rsid w:val="0BBD0B5D"/>
    <w:rsid w:val="0D09760B"/>
    <w:rsid w:val="0DF84B27"/>
    <w:rsid w:val="0E4C7BE5"/>
    <w:rsid w:val="0ED04650"/>
    <w:rsid w:val="117656A1"/>
    <w:rsid w:val="11C76314"/>
    <w:rsid w:val="11F81621"/>
    <w:rsid w:val="121A5772"/>
    <w:rsid w:val="122703EF"/>
    <w:rsid w:val="129375E2"/>
    <w:rsid w:val="1364719A"/>
    <w:rsid w:val="13A0311A"/>
    <w:rsid w:val="14AE74C4"/>
    <w:rsid w:val="152A59B2"/>
    <w:rsid w:val="157E633F"/>
    <w:rsid w:val="17247B54"/>
    <w:rsid w:val="17E9578A"/>
    <w:rsid w:val="196A1CCC"/>
    <w:rsid w:val="1A050DE8"/>
    <w:rsid w:val="1B5F7121"/>
    <w:rsid w:val="1E476C31"/>
    <w:rsid w:val="206C32B1"/>
    <w:rsid w:val="20A85646"/>
    <w:rsid w:val="22783F62"/>
    <w:rsid w:val="22F56ECA"/>
    <w:rsid w:val="23846F1A"/>
    <w:rsid w:val="241A63F5"/>
    <w:rsid w:val="26301520"/>
    <w:rsid w:val="264B09E7"/>
    <w:rsid w:val="29253C5F"/>
    <w:rsid w:val="292B071C"/>
    <w:rsid w:val="2D5F3BEA"/>
    <w:rsid w:val="2DAD1295"/>
    <w:rsid w:val="2F82055E"/>
    <w:rsid w:val="3015100B"/>
    <w:rsid w:val="32B02F4F"/>
    <w:rsid w:val="32ED7EDB"/>
    <w:rsid w:val="33515420"/>
    <w:rsid w:val="3459654B"/>
    <w:rsid w:val="35E67CC2"/>
    <w:rsid w:val="35EA73E3"/>
    <w:rsid w:val="37130BEA"/>
    <w:rsid w:val="397E1DFD"/>
    <w:rsid w:val="398B33E3"/>
    <w:rsid w:val="3AF505AA"/>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52873053"/>
    <w:rsid w:val="53176A9C"/>
    <w:rsid w:val="53F40CBE"/>
    <w:rsid w:val="542A117B"/>
    <w:rsid w:val="546F3F6B"/>
    <w:rsid w:val="54F112A5"/>
    <w:rsid w:val="559336C4"/>
    <w:rsid w:val="56DD1F1C"/>
    <w:rsid w:val="585B5B7A"/>
    <w:rsid w:val="595744CF"/>
    <w:rsid w:val="5CDD10BF"/>
    <w:rsid w:val="5E052881"/>
    <w:rsid w:val="5F273CAC"/>
    <w:rsid w:val="5F5027A2"/>
    <w:rsid w:val="61877856"/>
    <w:rsid w:val="6249287A"/>
    <w:rsid w:val="631909EE"/>
    <w:rsid w:val="64C90076"/>
    <w:rsid w:val="65F60B40"/>
    <w:rsid w:val="66042581"/>
    <w:rsid w:val="677E43FB"/>
    <w:rsid w:val="6A0D0A67"/>
    <w:rsid w:val="6A163E39"/>
    <w:rsid w:val="6A2E5D2C"/>
    <w:rsid w:val="6C4B4ADF"/>
    <w:rsid w:val="6C63752A"/>
    <w:rsid w:val="6D1C6F88"/>
    <w:rsid w:val="6D4579BF"/>
    <w:rsid w:val="6D7935F9"/>
    <w:rsid w:val="6E06478D"/>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1877</Words>
  <Characters>2151</Characters>
  <Lines>16</Lines>
  <Paragraphs>4</Paragraphs>
  <TotalTime>0</TotalTime>
  <ScaleCrop>false</ScaleCrop>
  <LinksUpToDate>false</LinksUpToDate>
  <CharactersWithSpaces>2196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2025-07-19T08:56:22Z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