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ascii="宋体" w:hAnsi="宋体"/>
        </w:rPr>
      </w:pPr>
      <w:r>
        <w:rPr>
          <w:rFonts w:hint="eastAsia" w:ascii="宋体" w:hAnsi="宋体"/>
        </w:rPr>
        <w:drawing>
          <wp:anchor distT="0" distB="0" distL="114300" distR="114300" simplePos="0" relativeHeight="251660288" behindDoc="0" locked="0" layoutInCell="1" allowOverlap="1">
            <wp:simplePos x="0" y="0"/>
            <wp:positionH relativeFrom="column">
              <wp:posOffset>-1466850</wp:posOffset>
            </wp:positionH>
            <wp:positionV relativeFrom="paragraph">
              <wp:posOffset>-1080135</wp:posOffset>
            </wp:positionV>
            <wp:extent cx="8915400" cy="2736850"/>
            <wp:effectExtent l="19050" t="0" r="0" b="0"/>
            <wp:wrapNone/>
            <wp:docPr id="2" name="图片 2"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模板-3"/>
                    <pic:cNvPicPr>
                      <a:picLocks noChangeAspect="1" noChangeArrowheads="1"/>
                    </pic:cNvPicPr>
                  </pic:nvPicPr>
                  <pic:blipFill>
                    <a:blip r:embed="rId6"/>
                    <a:srcRect/>
                    <a:stretch>
                      <a:fillRect/>
                    </a:stretch>
                  </pic:blipFill>
                  <pic:spPr>
                    <a:xfrm>
                      <a:off x="0" y="0"/>
                      <a:ext cx="8915400" cy="2736850"/>
                    </a:xfrm>
                    <a:prstGeom prst="rect">
                      <a:avLst/>
                    </a:prstGeom>
                    <a:noFill/>
                    <a:ln w="9525" cmpd="sng">
                      <a:noFill/>
                      <a:miter lim="800000"/>
                      <a:headEnd/>
                      <a:tailEnd/>
                    </a:ln>
                  </pic:spPr>
                </pic:pic>
              </a:graphicData>
            </a:graphic>
          </wp:anchor>
        </w:drawing>
      </w: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spacing w:line="360" w:lineRule="auto"/>
        <w:jc w:val="center"/>
        <w:rPr>
          <w:rFonts w:hint="default" w:ascii="Times New Roman" w:hAnsi="Times New Roman" w:eastAsia="黑体" w:cs="Times New Roman"/>
          <w:b/>
          <w:bCs/>
          <w:sz w:val="56"/>
          <w:szCs w:val="56"/>
          <w:lang w:val="en-US" w:eastAsia="zh-CN"/>
        </w:rPr>
      </w:pPr>
      <w:r>
        <w:rPr>
          <w:rFonts w:hint="default" w:ascii="Times New Roman" w:hAnsi="Times New Roman" w:eastAsia="黑体" w:cs="Times New Roman"/>
          <w:b/>
          <w:bCs/>
          <w:sz w:val="56"/>
          <w:szCs w:val="56"/>
          <w:lang w:val="en-US" w:eastAsia="zh-CN"/>
        </w:rPr>
        <w:t>变电专业</w:t>
      </w:r>
      <w:r>
        <w:rPr>
          <w:rFonts w:hint="eastAsia" w:ascii="Times New Roman" w:hAnsi="Times New Roman" w:eastAsia="黑体" w:cs="Times New Roman"/>
          <w:b/>
          <w:bCs/>
          <w:sz w:val="56"/>
          <w:szCs w:val="56"/>
          <w:lang w:val="en-US" w:eastAsia="zh-CN"/>
        </w:rPr>
        <w:t>超声波清洗仪</w:t>
      </w:r>
    </w:p>
    <w:p>
      <w:pPr>
        <w:spacing w:line="360" w:lineRule="auto"/>
        <w:jc w:val="center"/>
        <w:rPr>
          <w:rFonts w:hint="eastAsia" w:ascii="Times New Roman" w:hAnsi="Times New Roman" w:eastAsia="黑体" w:cs="Times New Roman"/>
          <w:b/>
          <w:bCs/>
          <w:sz w:val="56"/>
          <w:szCs w:val="56"/>
          <w:lang w:val="en-US" w:eastAsia="zh-CN"/>
        </w:rPr>
      </w:pPr>
      <w:r>
        <w:rPr>
          <w:rFonts w:hint="default" w:ascii="Times New Roman" w:hAnsi="Times New Roman" w:eastAsia="黑体" w:cs="Times New Roman"/>
          <w:b/>
          <w:bCs/>
          <w:sz w:val="56"/>
          <w:szCs w:val="56"/>
          <w:lang w:val="en-US" w:eastAsia="zh-CN"/>
        </w:rPr>
        <w:t>技术规范书</w:t>
      </w: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pStyle w:val="2"/>
        <w:rPr>
          <w:rFonts w:ascii="华文宋体" w:hAnsi="华文宋体" w:eastAsia="华文宋体"/>
          <w:b/>
          <w:sz w:val="32"/>
          <w:szCs w:val="32"/>
        </w:rPr>
      </w:pPr>
    </w:p>
    <w:p>
      <w:pPr>
        <w:pStyle w:val="2"/>
        <w:rPr>
          <w:rFonts w:ascii="华文宋体" w:hAnsi="华文宋体" w:eastAsia="华文宋体"/>
          <w:b/>
          <w:sz w:val="32"/>
          <w:szCs w:val="32"/>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sz w:val="36"/>
          <w:szCs w:val="36"/>
        </w:rPr>
      </w:pPr>
      <w:r>
        <w:rPr>
          <w:rFonts w:hint="default" w:ascii="Times New Roman" w:hAnsi="Times New Roman" w:eastAsia="黑体" w:cs="Times New Roman"/>
          <w:sz w:val="32"/>
          <w:szCs w:val="32"/>
        </w:rPr>
        <w:t>海南电网有限责任公司</w:t>
      </w:r>
    </w:p>
    <w:p>
      <w:pPr>
        <w:spacing w:line="360" w:lineRule="auto"/>
        <w:jc w:val="center"/>
        <w:rPr>
          <w:rFonts w:ascii="微软雅黑" w:hAnsi="微软雅黑" w:eastAsia="微软雅黑"/>
          <w:b/>
          <w:sz w:val="32"/>
          <w:szCs w:val="32"/>
        </w:rPr>
      </w:pPr>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val="en-US" w:eastAsia="zh-CN"/>
        </w:rPr>
        <w:t>O二五</w:t>
      </w:r>
      <w:r>
        <w:rPr>
          <w:rFonts w:hint="default" w:ascii="Times New Roman" w:hAnsi="Times New Roman" w:eastAsia="黑体" w:cs="Times New Roman"/>
          <w:sz w:val="32"/>
          <w:szCs w:val="32"/>
        </w:rPr>
        <w:t>年</w:t>
      </w: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月</w:t>
      </w:r>
    </w:p>
    <w:p>
      <w:pPr>
        <w:spacing w:line="360" w:lineRule="auto"/>
        <w:jc w:val="center"/>
        <w:rPr>
          <w:rFonts w:hint="eastAsia" w:ascii="微软雅黑" w:hAnsi="微软雅黑" w:eastAsia="微软雅黑"/>
          <w:b/>
          <w:sz w:val="32"/>
          <w:szCs w:val="32"/>
        </w:rPr>
      </w:pPr>
    </w:p>
    <w:p>
      <w:pPr>
        <w:spacing w:before="0" w:beforeLines="0" w:after="0" w:afterLines="0" w:line="240" w:lineRule="auto"/>
        <w:ind w:left="0" w:leftChars="0" w:right="0" w:rightChars="0" w:firstLine="0" w:firstLineChars="0"/>
        <w:jc w:val="center"/>
        <w:rPr>
          <w:rFonts w:ascii="宋体" w:hAnsi="宋体" w:eastAsia="宋体" w:cs="Times New Roman"/>
          <w:kern w:val="2"/>
          <w:sz w:val="21"/>
          <w:lang w:val="en-US" w:eastAsia="zh-CN" w:bidi="ar-SA"/>
        </w:rPr>
        <w:sectPr>
          <w:headerReference r:id="rId3" w:type="default"/>
          <w:pgSz w:w="12240" w:h="15840"/>
          <w:pgMar w:top="1440" w:right="1797" w:bottom="1440" w:left="1797" w:header="720" w:footer="720" w:gutter="0"/>
          <w:cols w:space="720" w:num="1"/>
          <w:docGrid w:linePitch="286" w:charSpace="0"/>
        </w:sectPr>
      </w:pPr>
    </w:p>
    <w:sdt>
      <w:sdtPr>
        <w:rPr>
          <w:rFonts w:ascii="宋体" w:hAnsi="宋体" w:eastAsia="宋体" w:cs="Times New Roman"/>
          <w:kern w:val="2"/>
          <w:sz w:val="21"/>
          <w:lang w:val="en-US" w:eastAsia="zh-CN" w:bidi="ar-SA"/>
        </w:rPr>
        <w:id w:val="147469314"/>
        <w15:color w:val="DBDBDB"/>
        <w:docPartObj>
          <w:docPartGallery w:val="Table of Contents"/>
          <w:docPartUnique/>
        </w:docPartObj>
      </w:sdtPr>
      <w:sdtEndPr>
        <w:rPr>
          <w:rFonts w:hint="eastAsia" w:ascii="宋体" w:hAnsi="宋体" w:eastAsia="宋体" w:cs="宋体"/>
          <w:b/>
          <w:kern w:val="2"/>
          <w:sz w:val="21"/>
          <w:szCs w:val="30"/>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sz w:val="36"/>
              <w:szCs w:val="36"/>
            </w:rPr>
          </w:pPr>
          <w:r>
            <w:rPr>
              <w:rFonts w:ascii="宋体" w:hAnsi="宋体" w:eastAsia="宋体"/>
              <w:sz w:val="36"/>
              <w:szCs w:val="36"/>
            </w:rPr>
            <w:t>目</w:t>
          </w:r>
          <w:r>
            <w:rPr>
              <w:rFonts w:hint="eastAsia" w:ascii="宋体" w:hAnsi="宋体" w:eastAsia="宋体"/>
              <w:sz w:val="36"/>
              <w:szCs w:val="36"/>
              <w:lang w:val="en-US" w:eastAsia="zh-CN"/>
            </w:rPr>
            <w:t xml:space="preserve">   </w:t>
          </w:r>
          <w:r>
            <w:rPr>
              <w:rFonts w:ascii="宋体" w:hAnsi="宋体" w:eastAsia="宋体"/>
              <w:sz w:val="36"/>
              <w:szCs w:val="36"/>
            </w:rPr>
            <w:t>录</w:t>
          </w:r>
        </w:p>
        <w:p>
          <w:pPr>
            <w:pStyle w:val="2"/>
          </w:pP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TOC \o "1-2" \h \u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_Toc11981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 xml:space="preserve">1 </w:t>
          </w:r>
          <w:r>
            <w:rPr>
              <w:rFonts w:hint="eastAsia" w:ascii="宋体" w:hAnsi="宋体" w:eastAsia="宋体" w:cs="宋体"/>
              <w:b w:val="0"/>
              <w:bCs/>
              <w:sz w:val="28"/>
              <w:szCs w:val="28"/>
            </w:rPr>
            <w:t>总则</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_Toc11981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2</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_Toc3226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 xml:space="preserve">2 </w:t>
          </w:r>
          <w:r>
            <w:rPr>
              <w:rFonts w:hint="eastAsia" w:ascii="宋体" w:hAnsi="宋体" w:eastAsia="宋体" w:cs="宋体"/>
              <w:b w:val="0"/>
              <w:bCs/>
              <w:sz w:val="28"/>
              <w:szCs w:val="28"/>
            </w:rPr>
            <w:t>引用标准</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_Toc3226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2</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_Toc21782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3 工作使用条件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_Toc21782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_Toc9383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4 设备功能及技术要求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_Toc9383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_Toc3798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rPr>
            <w:t>4.1功能要求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_Toc3798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_Toc2511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rPr>
            <w:t>4.2 技术指标要求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_Toc2511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4</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_Toc24514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5 设备的供货范围要求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_Toc24514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_Toc28416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6 包装、运输和贮存</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_Toc28416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_Toc7409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7 售后服务和技术培训要求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_Toc7409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_Toc4941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7.1 售后服务</w:t>
          </w:r>
          <w:bookmarkStart w:id="74" w:name="_GoBack"/>
          <w:bookmarkEnd w:id="74"/>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_Toc4941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_Toc13854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7.2 技术培训</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_Toc13854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_Toc26800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8 验收要求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_Toc26800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_Toc14808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0"/>
              <w:sz w:val="28"/>
              <w:szCs w:val="28"/>
              <w:lang w:val="en-US" w:eastAsia="zh-CN" w:bidi="ar-SA"/>
            </w:rPr>
            <w:t>8.1 到货验收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_Toc14808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7</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_Toc7667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0"/>
              <w:sz w:val="28"/>
              <w:szCs w:val="28"/>
              <w:lang w:val="en-US" w:eastAsia="zh-CN" w:bidi="ar-SA"/>
            </w:rPr>
            <w:t>8.2 现场验收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_Toc7667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7</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numPr>
              <w:numId w:val="0"/>
            </w:numPr>
            <w:spacing w:line="360" w:lineRule="auto"/>
            <w:ind w:leftChars="0"/>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fldChar w:fldCharType="end"/>
          </w: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sz w:val="30"/>
              <w:szCs w:val="30"/>
              <w:lang w:val="en-US" w:eastAsia="zh-CN"/>
            </w:rPr>
          </w:pPr>
        </w:p>
      </w:sdtContent>
    </w:sdt>
    <w:p>
      <w:pPr>
        <w:numPr>
          <w:numId w:val="0"/>
        </w:numPr>
        <w:spacing w:line="360" w:lineRule="auto"/>
        <w:ind w:leftChars="0"/>
        <w:outlineLvl w:val="0"/>
        <w:rPr>
          <w:rFonts w:hint="eastAsia" w:ascii="宋体" w:hAnsi="宋体" w:eastAsia="宋体" w:cs="宋体"/>
          <w:b/>
          <w:sz w:val="30"/>
          <w:szCs w:val="30"/>
        </w:rPr>
      </w:pPr>
      <w:bookmarkStart w:id="0" w:name="_Toc11981"/>
      <w:r>
        <w:rPr>
          <w:rFonts w:hint="eastAsia" w:ascii="宋体" w:hAnsi="宋体" w:eastAsia="宋体" w:cs="宋体"/>
          <w:b/>
          <w:sz w:val="30"/>
          <w:szCs w:val="30"/>
          <w:lang w:val="en-US" w:eastAsia="zh-CN"/>
        </w:rPr>
        <w:t xml:space="preserve">1 </w:t>
      </w:r>
      <w:r>
        <w:rPr>
          <w:rFonts w:hint="eastAsia" w:ascii="宋体" w:hAnsi="宋体" w:eastAsia="宋体" w:cs="宋体"/>
          <w:b/>
          <w:sz w:val="30"/>
          <w:szCs w:val="30"/>
        </w:rPr>
        <w:t>总则</w:t>
      </w:r>
      <w:bookmarkEnd w:id="0"/>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1.1 </w:t>
      </w:r>
      <w:r>
        <w:rPr>
          <w:rFonts w:hint="eastAsia" w:ascii="宋体" w:hAnsi="宋体" w:eastAsia="宋体" w:cs="宋体"/>
          <w:sz w:val="28"/>
          <w:szCs w:val="28"/>
        </w:rPr>
        <w:t>本规范书适用于超声波清洗仪的招标，它提出设备的功能、结构、性能、安装和试验等方面的技术要求。</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1.2 </w:t>
      </w:r>
      <w:r>
        <w:rPr>
          <w:rFonts w:hint="eastAsia" w:ascii="宋体" w:hAnsi="宋体" w:eastAsia="宋体" w:cs="宋体"/>
          <w:sz w:val="28"/>
          <w:szCs w:val="28"/>
        </w:rPr>
        <w:t>招标方在本规范书中提出了设备所应满足的主要功能要求和基本性能指标，且为最低限度，并未罗列所有的技术要求和适用标准，投标方应提供一套既满足本规范书和所列标准要求、又符合相关国际和行业标准的高质量产品，并提供相应服务。对国家有关安全、环保等强制性标准，必须满足其要求。</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1.3 </w:t>
      </w:r>
      <w:r>
        <w:rPr>
          <w:rFonts w:hint="eastAsia" w:ascii="宋体" w:hAnsi="宋体" w:eastAsia="宋体" w:cs="宋体"/>
          <w:sz w:val="28"/>
          <w:szCs w:val="28"/>
        </w:rPr>
        <w:t>投标方必须对本招标文件的每一款作出明确答复，并写出具体技术数据和指标，否则视该条回答无效。如未对本规范书提出偏差，将认为投标方同意提供的设备符合规范书和标准的要求。偏差（无论多少）都必须清楚地表示在投标文件中的“偏差表”中。</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1.4 </w:t>
      </w:r>
      <w:r>
        <w:rPr>
          <w:rFonts w:hint="eastAsia" w:ascii="宋体" w:hAnsi="宋体" w:eastAsia="宋体" w:cs="宋体"/>
          <w:sz w:val="28"/>
          <w:szCs w:val="28"/>
        </w:rPr>
        <w:t>投标方须执行招标书技术部分所列标准，有矛盾时，按较高标准执行。</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1.5 </w:t>
      </w:r>
      <w:r>
        <w:rPr>
          <w:rFonts w:hint="eastAsia" w:ascii="宋体" w:hAnsi="宋体" w:eastAsia="宋体" w:cs="宋体"/>
          <w:sz w:val="28"/>
          <w:szCs w:val="28"/>
        </w:rPr>
        <w:t>投标人资格</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投标人必须具备相关产品的设计、制造经验，并有质检部门的认可文件或相关的检测报告、ISO-9001质量认证书或相当的认证文件。投标的设备必须提供在电力系统商业运行的良好记录，投标人提供的设备必须是在国内生产制造。</w:t>
      </w:r>
    </w:p>
    <w:p>
      <w:pPr>
        <w:numPr>
          <w:ilvl w:val="0"/>
          <w:numId w:val="0"/>
        </w:numPr>
        <w:spacing w:line="360" w:lineRule="auto"/>
        <w:outlineLvl w:val="0"/>
        <w:rPr>
          <w:rFonts w:hint="eastAsia" w:ascii="宋体" w:hAnsi="宋体" w:eastAsia="宋体" w:cs="宋体"/>
          <w:b/>
          <w:sz w:val="30"/>
          <w:szCs w:val="30"/>
        </w:rPr>
      </w:pPr>
      <w:bookmarkStart w:id="1" w:name="_Toc3226"/>
      <w:r>
        <w:rPr>
          <w:rFonts w:hint="eastAsia" w:ascii="宋体" w:hAnsi="宋体" w:eastAsia="宋体" w:cs="宋体"/>
          <w:b/>
          <w:sz w:val="30"/>
          <w:szCs w:val="30"/>
          <w:lang w:val="en-US" w:eastAsia="zh-CN"/>
        </w:rPr>
        <w:t xml:space="preserve">2 </w:t>
      </w:r>
      <w:r>
        <w:rPr>
          <w:rFonts w:hint="eastAsia" w:ascii="宋体" w:hAnsi="宋体" w:eastAsia="宋体" w:cs="宋体"/>
          <w:b/>
          <w:sz w:val="30"/>
          <w:szCs w:val="30"/>
        </w:rPr>
        <w:t>引用标准</w:t>
      </w:r>
      <w:bookmarkEnd w:id="1"/>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除本规范书特殊规定外，投标方所提供的设备均应按下列标准和规定进行设计、制造、检验和安装。所用的标准必须是最新版本的标准。如果这些标准内容矛盾时，应按最高标准的条款执行或按双方商定的标准执行。如果投标方选用标书规定以外的标准时，需提交与这种替换标准相当的或优于标书规定标准的证明。</w:t>
      </w:r>
      <w:r>
        <w:rPr>
          <w:rFonts w:hint="eastAsia" w:ascii="宋体" w:hAnsi="宋体" w:cs="宋体"/>
          <w:sz w:val="28"/>
          <w:szCs w:val="28"/>
          <w:lang w:val="en-US" w:eastAsia="zh-CN"/>
        </w:rPr>
        <w:t>主要引用</w:t>
      </w:r>
      <w:r>
        <w:rPr>
          <w:rFonts w:hint="eastAsia" w:ascii="宋体" w:hAnsi="宋体" w:eastAsia="宋体" w:cs="宋体"/>
          <w:sz w:val="28"/>
          <w:szCs w:val="28"/>
        </w:rPr>
        <w:t>标准</w:t>
      </w:r>
      <w:r>
        <w:rPr>
          <w:rFonts w:hint="eastAsia" w:ascii="宋体" w:hAnsi="宋体" w:cs="宋体"/>
          <w:sz w:val="28"/>
          <w:szCs w:val="28"/>
          <w:lang w:val="en-US" w:eastAsia="zh-CN"/>
        </w:rPr>
        <w:t>如下：</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GB/T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6592</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电子测量仪器 电源频率与电压试验</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HYPERLINK "https://www.so.com/link?m=wluYCRXGH4IppxFzOyiRAaGV1uOG8kfuRa4crBxzmOkeuRbn9hx5V+HmVAczhFe5DhlMQXw38wxll+laCpEX3zQkv4Rdx5RRtF5Ff68b+n1Ocb12ymaUeHEsQYt7Qblo95kaVbN9KF5K0rMa/yzwm4Q==" \t "https://www.so.com/_blank" </w:instrText>
      </w:r>
      <w:r>
        <w:rPr>
          <w:rFonts w:hint="eastAsia" w:ascii="宋体" w:hAnsi="宋体" w:eastAsia="宋体" w:cs="宋体"/>
          <w:sz w:val="28"/>
          <w:szCs w:val="28"/>
          <w:lang w:val="en-US" w:eastAsia="zh-CN"/>
        </w:rPr>
        <w:fldChar w:fldCharType="separate"/>
      </w:r>
      <w:r>
        <w:rPr>
          <w:rFonts w:hint="eastAsia" w:ascii="宋体" w:hAnsi="宋体" w:eastAsia="宋体" w:cs="宋体"/>
          <w:sz w:val="28"/>
          <w:szCs w:val="28"/>
        </w:rPr>
        <w:t>GB/T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6593</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电子测量仪器质量检验规则</w:t>
      </w:r>
      <w:r>
        <w:rPr>
          <w:rFonts w:hint="eastAsia" w:ascii="宋体" w:hAnsi="宋体" w:eastAsia="宋体" w:cs="宋体"/>
          <w:sz w:val="28"/>
          <w:szCs w:val="28"/>
          <w:lang w:val="en-US" w:eastAsia="zh-CN"/>
        </w:rPr>
        <w:fldChar w:fldCharType="end"/>
      </w:r>
    </w:p>
    <w:p>
      <w:pPr>
        <w:numPr>
          <w:ilvl w:val="0"/>
          <w:numId w:val="0"/>
        </w:numPr>
        <w:spacing w:line="360" w:lineRule="auto"/>
        <w:outlineLvl w:val="0"/>
        <w:rPr>
          <w:rFonts w:hint="eastAsia" w:ascii="宋体" w:hAnsi="宋体" w:eastAsia="宋体" w:cs="宋体"/>
          <w:b/>
          <w:sz w:val="30"/>
          <w:szCs w:val="30"/>
        </w:rPr>
      </w:pPr>
      <w:bookmarkStart w:id="2" w:name="_Toc21782"/>
      <w:r>
        <w:rPr>
          <w:rFonts w:hint="eastAsia" w:ascii="宋体" w:hAnsi="宋体" w:eastAsia="宋体" w:cs="宋体"/>
          <w:b/>
          <w:sz w:val="30"/>
          <w:szCs w:val="30"/>
          <w:lang w:val="en-US" w:eastAsia="zh-CN"/>
        </w:rPr>
        <w:t>3 工作使用条件</w:t>
      </w:r>
      <w:bookmarkEnd w:id="2"/>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环境温度</w:t>
      </w:r>
      <w:r>
        <w:rPr>
          <w:rFonts w:hint="eastAsia" w:ascii="宋体" w:hAnsi="宋体" w:eastAsia="宋体" w:cs="宋体"/>
          <w:sz w:val="28"/>
          <w:szCs w:val="28"/>
          <w:lang w:eastAsia="zh-CN"/>
        </w:rPr>
        <w:t>：</w:t>
      </w:r>
      <w:r>
        <w:rPr>
          <w:rFonts w:hint="eastAsia" w:ascii="宋体" w:hAnsi="宋体" w:eastAsia="宋体" w:cs="宋体"/>
          <w:sz w:val="28"/>
          <w:szCs w:val="28"/>
        </w:rPr>
        <w:sym w:font="Symbol" w:char="002D"/>
      </w:r>
      <w:r>
        <w:rPr>
          <w:rFonts w:hint="eastAsia" w:ascii="宋体" w:hAnsi="宋体" w:eastAsia="宋体" w:cs="宋体"/>
          <w:sz w:val="28"/>
          <w:szCs w:val="28"/>
        </w:rPr>
        <w:t>20℃～+70℃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环境湿度：20%-80%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使用地点：室内外</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海拔高度</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rPr>
        <w:t>000米以下</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最大日温差</w:t>
      </w:r>
      <w:r>
        <w:rPr>
          <w:rFonts w:hint="eastAsia" w:ascii="宋体" w:hAnsi="宋体" w:eastAsia="宋体" w:cs="宋体"/>
          <w:sz w:val="28"/>
          <w:szCs w:val="28"/>
          <w:lang w:eastAsia="zh-CN"/>
        </w:rPr>
        <w:t>：</w:t>
      </w:r>
      <w:r>
        <w:rPr>
          <w:rFonts w:hint="eastAsia" w:ascii="宋体" w:hAnsi="宋体" w:eastAsia="宋体" w:cs="宋体"/>
          <w:sz w:val="28"/>
          <w:szCs w:val="28"/>
        </w:rPr>
        <w:t>30℃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冷水水源：符合城市自来水的国家标准，水压1.0-5.0kg/cm2</w:t>
      </w:r>
      <w:r>
        <w:rPr>
          <w:rFonts w:hint="eastAsia" w:ascii="宋体" w:hAnsi="宋体" w:eastAsia="宋体" w:cs="宋体"/>
          <w:sz w:val="28"/>
          <w:szCs w:val="28"/>
          <w:lang w:eastAsia="zh-CN"/>
        </w:rPr>
        <w:t>，</w:t>
      </w:r>
      <w:r>
        <w:rPr>
          <w:rFonts w:hint="eastAsia" w:ascii="宋体" w:hAnsi="宋体" w:eastAsia="宋体" w:cs="宋体"/>
          <w:sz w:val="28"/>
          <w:szCs w:val="28"/>
        </w:rPr>
        <w:t>水温5-40℃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纯水水源：符合中国分析实验室用水规格 GB6682-2008的III/I级水标准</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热功率：总功率2KW-7KW</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工作电源：AC</w:t>
      </w:r>
      <w:r>
        <w:rPr>
          <w:rFonts w:hint="eastAsia" w:ascii="宋体" w:hAnsi="宋体" w:eastAsia="宋体" w:cs="宋体"/>
          <w:sz w:val="28"/>
          <w:szCs w:val="28"/>
          <w:lang w:val="en-US" w:eastAsia="zh-CN"/>
        </w:rPr>
        <w:t>22</w:t>
      </w:r>
      <w:r>
        <w:rPr>
          <w:rFonts w:hint="eastAsia" w:ascii="宋体" w:hAnsi="宋体" w:eastAsia="宋体" w:cs="宋体"/>
          <w:sz w:val="28"/>
          <w:szCs w:val="28"/>
        </w:rPr>
        <w:t>0V±10%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电源频率：(50±1)Hz</w:t>
      </w:r>
    </w:p>
    <w:p>
      <w:pPr>
        <w:numPr>
          <w:ilvl w:val="0"/>
          <w:numId w:val="0"/>
        </w:numPr>
        <w:spacing w:line="360" w:lineRule="auto"/>
        <w:outlineLvl w:val="0"/>
        <w:rPr>
          <w:rFonts w:hint="eastAsia" w:ascii="宋体" w:hAnsi="宋体" w:eastAsia="宋体" w:cs="宋体"/>
          <w:b/>
          <w:sz w:val="30"/>
          <w:szCs w:val="30"/>
          <w:lang w:val="en-US" w:eastAsia="zh-CN"/>
        </w:rPr>
      </w:pPr>
      <w:bookmarkStart w:id="3" w:name="_Toc9383"/>
      <w:r>
        <w:rPr>
          <w:rFonts w:hint="eastAsia" w:ascii="宋体" w:hAnsi="宋体" w:eastAsia="宋体" w:cs="宋体"/>
          <w:b/>
          <w:sz w:val="30"/>
          <w:szCs w:val="30"/>
          <w:lang w:val="en-US" w:eastAsia="zh-CN"/>
        </w:rPr>
        <w:t>4 设备功能及技术要求</w:t>
      </w:r>
      <w:bookmarkEnd w:id="3"/>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以下规定了本次所需采购的技术要求。投标方所提出的任何替代指标应不低于本技术规范书的要求。</w:t>
      </w:r>
    </w:p>
    <w:p>
      <w:pPr>
        <w:tabs>
          <w:tab w:val="left" w:pos="1125"/>
          <w:tab w:val="left" w:pos="3960"/>
        </w:tabs>
        <w:spacing w:line="360" w:lineRule="auto"/>
        <w:outlineLvl w:val="1"/>
        <w:rPr>
          <w:rFonts w:hint="eastAsia" w:ascii="宋体" w:hAnsi="宋体" w:eastAsia="宋体" w:cs="宋体"/>
          <w:b/>
          <w:sz w:val="28"/>
          <w:szCs w:val="28"/>
        </w:rPr>
      </w:pPr>
      <w:bookmarkStart w:id="4" w:name="_Toc3798"/>
      <w:r>
        <w:rPr>
          <w:rFonts w:hint="eastAsia" w:ascii="宋体" w:hAnsi="宋体" w:eastAsia="宋体" w:cs="宋体"/>
          <w:b/>
          <w:sz w:val="28"/>
          <w:szCs w:val="28"/>
        </w:rPr>
        <w:t>4.1功能要求</w:t>
      </w:r>
      <w:bookmarkEnd w:id="4"/>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bookmarkStart w:id="5" w:name="_Toc200511818"/>
      <w:bookmarkStart w:id="6" w:name="_Toc167008908"/>
      <w:bookmarkStart w:id="7" w:name="_Toc4556"/>
      <w:r>
        <w:rPr>
          <w:rFonts w:hint="eastAsia" w:ascii="宋体" w:hAnsi="宋体" w:eastAsia="宋体" w:cs="宋体"/>
          <w:sz w:val="28"/>
          <w:szCs w:val="28"/>
          <w:lang w:val="en-US" w:eastAsia="zh-CN"/>
        </w:rPr>
        <w:t>（1）可用于</w:t>
      </w:r>
      <w:r>
        <w:rPr>
          <w:rFonts w:hint="eastAsia" w:ascii="宋体" w:hAnsi="宋体" w:eastAsia="宋体" w:cs="宋体"/>
          <w:sz w:val="28"/>
          <w:szCs w:val="28"/>
        </w:rPr>
        <w:t>清洗容量瓶、进样瓶、烧杯、试管、移液管、离心管、蓝盖瓶、培养皿、三角瓶等</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采用</w:t>
      </w:r>
      <w:r>
        <w:rPr>
          <w:rFonts w:hint="eastAsia" w:ascii="宋体" w:hAnsi="宋体" w:eastAsia="宋体" w:cs="宋体"/>
          <w:sz w:val="28"/>
          <w:szCs w:val="28"/>
        </w:rPr>
        <w:t>液晶触摸显示屏，5个标准清洗程序，根据需要可设置多个自定义清洗程序</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w:t>
      </w:r>
      <w:r>
        <w:rPr>
          <w:rFonts w:hint="eastAsia" w:ascii="宋体" w:hAnsi="宋体" w:eastAsia="宋体" w:cs="宋体"/>
          <w:sz w:val="28"/>
          <w:szCs w:val="28"/>
        </w:rPr>
        <w:t>联锁装置：电子门锁</w:t>
      </w:r>
      <w:r>
        <w:rPr>
          <w:rFonts w:hint="eastAsia" w:ascii="宋体" w:hAnsi="宋体" w:eastAsia="宋体" w:cs="宋体"/>
          <w:sz w:val="28"/>
          <w:szCs w:val="28"/>
          <w:lang w:val="en-US" w:eastAsia="zh-CN"/>
        </w:rPr>
        <w:t>自动</w:t>
      </w:r>
      <w:r>
        <w:rPr>
          <w:rFonts w:hint="eastAsia" w:ascii="宋体" w:hAnsi="宋体" w:eastAsia="宋体" w:cs="宋体"/>
          <w:sz w:val="28"/>
          <w:szCs w:val="28"/>
        </w:rPr>
        <w:t>关门，确保运行安全，可以通过按键、程序和手动三种方式</w:t>
      </w:r>
      <w:r>
        <w:rPr>
          <w:rFonts w:hint="eastAsia" w:ascii="宋体" w:hAnsi="宋体" w:eastAsia="宋体" w:cs="宋体"/>
          <w:sz w:val="28"/>
          <w:szCs w:val="28"/>
          <w:lang w:val="en-US" w:eastAsia="zh-CN"/>
        </w:rPr>
        <w:t>开门。</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w:t>
      </w:r>
      <w:r>
        <w:rPr>
          <w:rFonts w:hint="eastAsia" w:ascii="宋体" w:hAnsi="宋体" w:eastAsia="宋体" w:cs="宋体"/>
          <w:sz w:val="28"/>
          <w:szCs w:val="28"/>
        </w:rPr>
        <w:t>操作权限：操作员、管理员、系统工程师；每个等级拥有相应的可设置权限，用于设置和修改系统参数</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5</w:t>
      </w:r>
      <w:r>
        <w:rPr>
          <w:rFonts w:hint="eastAsia" w:ascii="宋体" w:hAnsi="宋体" w:eastAsia="宋体" w:cs="宋体"/>
          <w:sz w:val="28"/>
          <w:szCs w:val="28"/>
          <w:lang w:eastAsia="zh-CN"/>
        </w:rPr>
        <w:t>）</w:t>
      </w:r>
      <w:r>
        <w:rPr>
          <w:rFonts w:hint="eastAsia" w:ascii="宋体" w:hAnsi="宋体" w:eastAsia="宋体" w:cs="宋体"/>
          <w:sz w:val="28"/>
          <w:szCs w:val="28"/>
        </w:rPr>
        <w:t>报警装置：控制系统应对设备的异常和偏离情况进行报警，能够实现自动声音报警，在显示屏显示报警信息</w:t>
      </w:r>
      <w:r>
        <w:rPr>
          <w:rFonts w:hint="eastAsia" w:ascii="宋体" w:hAnsi="宋体" w:eastAsia="宋体" w:cs="宋体"/>
          <w:sz w:val="28"/>
          <w:szCs w:val="28"/>
          <w:lang w:eastAsia="zh-CN"/>
        </w:rPr>
        <w:t>，</w:t>
      </w:r>
      <w:r>
        <w:rPr>
          <w:rFonts w:hint="eastAsia" w:ascii="宋体" w:hAnsi="宋体" w:eastAsia="宋体" w:cs="宋体"/>
          <w:sz w:val="28"/>
          <w:szCs w:val="28"/>
        </w:rPr>
        <w:t>并</w:t>
      </w:r>
      <w:r>
        <w:rPr>
          <w:rFonts w:hint="eastAsia" w:ascii="宋体" w:hAnsi="宋体" w:eastAsia="宋体" w:cs="宋体"/>
          <w:sz w:val="28"/>
          <w:szCs w:val="28"/>
          <w:lang w:val="en-US" w:eastAsia="zh-CN"/>
        </w:rPr>
        <w:t>能</w:t>
      </w:r>
      <w:r>
        <w:rPr>
          <w:rFonts w:hint="eastAsia" w:ascii="宋体" w:hAnsi="宋体" w:eastAsia="宋体" w:cs="宋体"/>
          <w:sz w:val="28"/>
          <w:szCs w:val="28"/>
        </w:rPr>
        <w:t>自动打印</w:t>
      </w:r>
      <w:r>
        <w:rPr>
          <w:rFonts w:hint="eastAsia" w:ascii="宋体" w:hAnsi="宋体" w:eastAsia="宋体" w:cs="宋体"/>
          <w:sz w:val="28"/>
          <w:szCs w:val="28"/>
          <w:lang w:val="en-US" w:eastAsia="zh-CN"/>
        </w:rPr>
        <w:t>清洗</w:t>
      </w:r>
      <w:r>
        <w:rPr>
          <w:rFonts w:hint="eastAsia" w:ascii="宋体" w:hAnsi="宋体" w:eastAsia="宋体" w:cs="宋体"/>
          <w:sz w:val="28"/>
          <w:szCs w:val="28"/>
        </w:rPr>
        <w:t>记录，操作界面上可以显示警报信息</w:t>
      </w:r>
      <w:r>
        <w:rPr>
          <w:rFonts w:hint="eastAsia" w:ascii="宋体" w:hAnsi="宋体" w:eastAsia="宋体" w:cs="宋体"/>
          <w:sz w:val="28"/>
          <w:szCs w:val="28"/>
          <w:lang w:eastAsia="zh-CN"/>
        </w:rPr>
        <w:t>。</w:t>
      </w:r>
    </w:p>
    <w:p>
      <w:pPr>
        <w:pStyle w:val="5"/>
        <w:tabs>
          <w:tab w:val="clear" w:pos="3276"/>
        </w:tabs>
        <w:spacing w:beforeLines="50" w:afterLines="50" w:line="360" w:lineRule="auto"/>
        <w:ind w:left="0" w:firstLine="0"/>
        <w:rPr>
          <w:rFonts w:hint="eastAsia" w:ascii="宋体" w:hAnsi="宋体" w:eastAsia="宋体" w:cs="宋体"/>
          <w:sz w:val="28"/>
          <w:szCs w:val="28"/>
        </w:rPr>
      </w:pPr>
      <w:bookmarkStart w:id="8" w:name="_Toc2511"/>
      <w:r>
        <w:rPr>
          <w:rFonts w:hint="eastAsia" w:ascii="宋体" w:hAnsi="宋体" w:eastAsia="宋体" w:cs="宋体"/>
          <w:sz w:val="28"/>
          <w:szCs w:val="28"/>
        </w:rPr>
        <w:t>4.2 技术指标要求</w:t>
      </w:r>
      <w:bookmarkEnd w:id="5"/>
      <w:bookmarkEnd w:id="6"/>
      <w:bookmarkEnd w:id="7"/>
      <w:bookmarkEnd w:id="8"/>
    </w:p>
    <w:tbl>
      <w:tblPr>
        <w:tblStyle w:val="13"/>
        <w:tblW w:w="8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1"/>
        <w:gridCol w:w="6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spacing w:line="240" w:lineRule="auto"/>
              <w:jc w:val="center"/>
              <w:rPr>
                <w:rFonts w:hint="eastAsia" w:ascii="宋体" w:hAnsi="宋体" w:eastAsia="宋体" w:cs="宋体"/>
                <w:b/>
                <w:sz w:val="28"/>
                <w:szCs w:val="28"/>
              </w:rPr>
            </w:pPr>
            <w:r>
              <w:rPr>
                <w:rFonts w:hint="eastAsia" w:ascii="宋体" w:hAnsi="宋体" w:eastAsia="宋体" w:cs="宋体"/>
                <w:b/>
                <w:sz w:val="28"/>
                <w:szCs w:val="28"/>
                <w:lang w:eastAsia="zh-CN"/>
              </w:rPr>
              <w:t>名称</w:t>
            </w:r>
          </w:p>
        </w:tc>
        <w:tc>
          <w:tcPr>
            <w:tcW w:w="6842" w:type="dxa"/>
            <w:vAlign w:val="center"/>
          </w:tcPr>
          <w:p>
            <w:pPr>
              <w:spacing w:line="240" w:lineRule="auto"/>
              <w:jc w:val="center"/>
              <w:rPr>
                <w:rFonts w:hint="eastAsia" w:ascii="宋体" w:hAnsi="宋体" w:eastAsia="宋体" w:cs="宋体"/>
                <w:b/>
                <w:kern w:val="0"/>
                <w:sz w:val="28"/>
                <w:szCs w:val="28"/>
              </w:rPr>
            </w:pPr>
            <w:r>
              <w:rPr>
                <w:rFonts w:hint="eastAsia" w:ascii="宋体" w:hAnsi="宋体" w:eastAsia="宋体" w:cs="宋体"/>
                <w:b/>
                <w:sz w:val="28"/>
                <w:szCs w:val="28"/>
                <w:lang w:eastAsia="zh-CN"/>
              </w:rPr>
              <w:t>标准参数值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清洗</w:t>
            </w:r>
            <w:r>
              <w:rPr>
                <w:rFonts w:hint="eastAsia" w:ascii="宋体" w:hAnsi="宋体" w:eastAsia="宋体" w:cs="宋体"/>
                <w:sz w:val="28"/>
                <w:szCs w:val="28"/>
              </w:rPr>
              <w:t>泵最大循环能力</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w:t>
            </w:r>
            <w:r>
              <w:rPr>
                <w:rFonts w:hint="eastAsia" w:ascii="宋体" w:hAnsi="宋体" w:eastAsia="宋体" w:cs="宋体"/>
                <w:sz w:val="28"/>
                <w:szCs w:val="28"/>
              </w:rPr>
              <w:t>00L/min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结构</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清洗腔体采用316L不锈钢圆角设计R≥35mm，腔顶部、侧部及底部无直角拼接，无任何加热装置防止干烧。门板操作台为不锈钢一体压膜成型，不接受焊接拼接的方式，防止钢管拼接达不到密封引起残留水排放不彻底影响清洗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喷淋系统</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标配上中下旋转喷淋臂，喷淋臂需为“一字大嘴”并且两头可拆设计，如堵塞标签纸等杂物，清洁人员无需工具能在1分钟内完成拆卸及清理工作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过滤系统</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具有一整块一体成型过滤网，孔径≤0.8mm，面积≥0.06㎡，并且垃圾收集杯，孔直径≤0.4mm，深≥160mm，如堵塞标签纸等杂物，清洁人员无需工具能在1分钟内完成拆卸及清理工作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装载篮架</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可放置两层清洗篮架可更换清洗1000ml广口瓶和100ml针筒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无水</w:t>
            </w:r>
            <w:r>
              <w:rPr>
                <w:rFonts w:hint="eastAsia" w:ascii="宋体" w:hAnsi="宋体" w:eastAsia="宋体" w:cs="宋体"/>
                <w:sz w:val="28"/>
                <w:szCs w:val="28"/>
              </w:rPr>
              <w:t>冷凝器</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采用</w:t>
            </w:r>
            <w:r>
              <w:rPr>
                <w:rFonts w:hint="eastAsia" w:ascii="宋体" w:hAnsi="宋体" w:eastAsia="宋体" w:cs="宋体"/>
                <w:sz w:val="28"/>
                <w:szCs w:val="28"/>
                <w:lang w:val="en-US" w:eastAsia="zh-CN"/>
              </w:rPr>
              <w:t>无水</w:t>
            </w:r>
            <w:r>
              <w:rPr>
                <w:rFonts w:hint="eastAsia" w:ascii="宋体" w:hAnsi="宋体" w:eastAsia="宋体" w:cs="宋体"/>
                <w:sz w:val="28"/>
                <w:szCs w:val="28"/>
              </w:rPr>
              <w:t>冷凝</w:t>
            </w:r>
            <w:r>
              <w:rPr>
                <w:rFonts w:hint="eastAsia" w:ascii="宋体" w:hAnsi="宋体" w:eastAsia="宋体" w:cs="宋体"/>
                <w:sz w:val="28"/>
                <w:szCs w:val="28"/>
                <w:lang w:val="en-US" w:eastAsia="zh-CN"/>
              </w:rPr>
              <w:t>系统</w:t>
            </w:r>
            <w:r>
              <w:rPr>
                <w:rFonts w:hint="eastAsia" w:ascii="宋体" w:hAnsi="宋体" w:eastAsia="宋体" w:cs="宋体"/>
                <w:sz w:val="28"/>
                <w:szCs w:val="28"/>
              </w:rPr>
              <w:t>将干燥过程中水蒸气转换为液体排放掉，避免增加房间的湿度，同时保护电子器元件不受损坏。</w:t>
            </w:r>
            <w:r>
              <w:rPr>
                <w:rFonts w:hint="eastAsia" w:ascii="宋体" w:hAnsi="宋体" w:eastAsia="宋体" w:cs="宋体"/>
                <w:sz w:val="28"/>
                <w:szCs w:val="28"/>
                <w:lang w:val="en-US" w:eastAsia="zh-CN"/>
              </w:rPr>
              <w:t>全部器皿烘干不超过40分钟，耗水量为0L/次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外形尺寸</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L*D*H ≤700*800*1400mm</w:t>
            </w:r>
          </w:p>
        </w:tc>
      </w:tr>
    </w:tbl>
    <w:p>
      <w:pPr>
        <w:numPr>
          <w:ilvl w:val="0"/>
          <w:numId w:val="0"/>
        </w:numPr>
        <w:spacing w:line="360" w:lineRule="auto"/>
        <w:rPr>
          <w:rFonts w:hint="eastAsia" w:ascii="宋体" w:hAnsi="宋体" w:eastAsia="宋体" w:cs="宋体"/>
          <w:b/>
          <w:sz w:val="30"/>
          <w:szCs w:val="30"/>
          <w:lang w:val="en-US" w:eastAsia="zh-CN"/>
        </w:rPr>
      </w:pPr>
    </w:p>
    <w:p>
      <w:pPr>
        <w:numPr>
          <w:ilvl w:val="0"/>
          <w:numId w:val="0"/>
        </w:numPr>
        <w:spacing w:line="360" w:lineRule="auto"/>
        <w:outlineLvl w:val="0"/>
        <w:rPr>
          <w:rFonts w:hint="eastAsia" w:ascii="宋体" w:hAnsi="宋体" w:eastAsia="宋体" w:cs="宋体"/>
          <w:b/>
          <w:sz w:val="30"/>
          <w:szCs w:val="30"/>
          <w:lang w:val="en-US" w:eastAsia="zh-CN"/>
        </w:rPr>
      </w:pPr>
      <w:bookmarkStart w:id="9" w:name="_Toc24514"/>
      <w:r>
        <w:rPr>
          <w:rFonts w:hint="eastAsia" w:ascii="宋体" w:hAnsi="宋体" w:eastAsia="宋体" w:cs="宋体"/>
          <w:b/>
          <w:sz w:val="30"/>
          <w:szCs w:val="30"/>
          <w:lang w:val="en-US" w:eastAsia="zh-CN"/>
        </w:rPr>
        <w:t>5 设备的供货范围要求</w:t>
      </w:r>
      <w:bookmarkEnd w:id="9"/>
    </w:p>
    <w:p>
      <w:pPr>
        <w:tabs>
          <w:tab w:val="left" w:pos="900"/>
        </w:tabs>
        <w:spacing w:line="360" w:lineRule="auto"/>
        <w:ind w:firstLine="560" w:firstLineChars="200"/>
        <w:rPr>
          <w:rFonts w:hint="eastAsia" w:ascii="宋体" w:hAnsi="宋体" w:eastAsia="宋体" w:cs="宋体"/>
          <w:snapToGrid w:val="0"/>
          <w:sz w:val="28"/>
          <w:szCs w:val="28"/>
          <w:lang w:val="en-US" w:eastAsia="zh-CN"/>
        </w:rPr>
      </w:pPr>
      <w:r>
        <w:rPr>
          <w:rFonts w:hint="eastAsia" w:ascii="宋体" w:hAnsi="宋体" w:eastAsia="宋体" w:cs="宋体"/>
          <w:snapToGrid w:val="0"/>
          <w:sz w:val="28"/>
          <w:szCs w:val="28"/>
        </w:rPr>
        <w:t>单套供货清单</w:t>
      </w:r>
      <w:r>
        <w:rPr>
          <w:rFonts w:hint="eastAsia" w:ascii="宋体" w:hAnsi="宋体" w:eastAsia="宋体" w:cs="宋体"/>
          <w:snapToGrid w:val="0"/>
          <w:sz w:val="28"/>
          <w:szCs w:val="28"/>
          <w:lang w:val="en-US" w:eastAsia="zh-CN"/>
        </w:rPr>
        <w:t>如下：</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3595"/>
        <w:gridCol w:w="1853"/>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序号</w:t>
            </w:r>
          </w:p>
        </w:tc>
        <w:tc>
          <w:tcPr>
            <w:tcW w:w="3595" w:type="dxa"/>
            <w:vAlign w:val="center"/>
          </w:tcPr>
          <w:p>
            <w:pPr>
              <w:pStyle w:val="22"/>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供货设备</w:t>
            </w:r>
          </w:p>
        </w:tc>
        <w:tc>
          <w:tcPr>
            <w:tcW w:w="1853" w:type="dxa"/>
            <w:vAlign w:val="center"/>
          </w:tcPr>
          <w:p>
            <w:pPr>
              <w:pStyle w:val="22"/>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型号</w:t>
            </w:r>
          </w:p>
        </w:tc>
        <w:tc>
          <w:tcPr>
            <w:tcW w:w="2214" w:type="dxa"/>
            <w:vAlign w:val="center"/>
          </w:tcPr>
          <w:p>
            <w:pPr>
              <w:pStyle w:val="22"/>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rPr>
            </w:pPr>
            <w:r>
              <w:rPr>
                <w:rFonts w:hint="eastAsia" w:ascii="宋体" w:hAnsi="宋体" w:eastAsia="宋体" w:cs="宋体"/>
                <w:sz w:val="28"/>
                <w:szCs w:val="28"/>
              </w:rPr>
              <w:t>1</w:t>
            </w:r>
          </w:p>
        </w:tc>
        <w:tc>
          <w:tcPr>
            <w:tcW w:w="3595" w:type="dxa"/>
            <w:vAlign w:val="center"/>
          </w:tcPr>
          <w:p>
            <w:pPr>
              <w:shd w:val="clear" w:color="auto" w:fill="auto"/>
              <w:topLinePunct/>
              <w:snapToGrid w:val="0"/>
              <w:spacing w:line="240" w:lineRule="auto"/>
              <w:jc w:val="center"/>
              <w:outlineLvl w:val="9"/>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超声波清洗仪</w:t>
            </w:r>
          </w:p>
        </w:tc>
        <w:tc>
          <w:tcPr>
            <w:tcW w:w="1853" w:type="dxa"/>
            <w:vAlign w:val="center"/>
          </w:tcPr>
          <w:p>
            <w:pPr>
              <w:pStyle w:val="22"/>
              <w:widowControl w:val="0"/>
              <w:suppressAutoHyphens/>
              <w:spacing w:line="24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pStyle w:val="22"/>
              <w:widowControl w:val="0"/>
              <w:suppressAutoHyphens/>
              <w:spacing w:line="240" w:lineRule="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2</w:t>
            </w:r>
          </w:p>
        </w:tc>
        <w:tc>
          <w:tcPr>
            <w:tcW w:w="3595" w:type="dxa"/>
            <w:vAlign w:val="center"/>
          </w:tcPr>
          <w:p>
            <w:pPr>
              <w:pStyle w:val="32"/>
              <w:shd w:val="clear" w:color="auto" w:fill="auto"/>
              <w:spacing w:line="240" w:lineRule="auto"/>
              <w:jc w:val="center"/>
              <w:outlineLvl w:val="9"/>
              <w:rPr>
                <w:rFonts w:hint="eastAsia" w:ascii="宋体" w:hAnsi="宋体" w:eastAsia="宋体" w:cs="宋体"/>
                <w:kern w:val="2"/>
                <w:sz w:val="28"/>
                <w:szCs w:val="28"/>
                <w:highlight w:val="none"/>
                <w:lang w:val="en-US" w:eastAsia="zh-CN" w:bidi="ar-SA"/>
              </w:rPr>
            </w:pPr>
            <w:r>
              <w:rPr>
                <w:rFonts w:hint="eastAsia" w:ascii="宋体" w:hAnsi="宋体" w:eastAsia="宋体" w:cs="宋体"/>
                <w:color w:val="000000"/>
                <w:sz w:val="28"/>
                <w:szCs w:val="28"/>
              </w:rPr>
              <w:t>专用工具</w:t>
            </w:r>
          </w:p>
        </w:tc>
        <w:tc>
          <w:tcPr>
            <w:tcW w:w="1853" w:type="dxa"/>
            <w:vAlign w:val="center"/>
          </w:tcPr>
          <w:p>
            <w:pPr>
              <w:pStyle w:val="22"/>
              <w:widowControl w:val="0"/>
              <w:suppressAutoHyphens/>
              <w:spacing w:line="24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pStyle w:val="22"/>
              <w:widowControl w:val="0"/>
              <w:suppressAutoHyphens/>
              <w:spacing w:line="240" w:lineRule="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w:t>
            </w:r>
          </w:p>
        </w:tc>
        <w:tc>
          <w:tcPr>
            <w:tcW w:w="3595" w:type="dxa"/>
            <w:vAlign w:val="center"/>
          </w:tcPr>
          <w:p>
            <w:pPr>
              <w:pStyle w:val="32"/>
              <w:shd w:val="clear" w:color="auto" w:fill="auto"/>
              <w:spacing w:line="240" w:lineRule="auto"/>
              <w:jc w:val="center"/>
              <w:outlineLvl w:val="9"/>
              <w:rPr>
                <w:rFonts w:hint="eastAsia" w:ascii="宋体" w:hAnsi="宋体" w:eastAsia="宋体" w:cs="宋体"/>
                <w:kern w:val="2"/>
                <w:sz w:val="28"/>
                <w:szCs w:val="28"/>
                <w:highlight w:val="none"/>
                <w:lang w:val="en-US" w:eastAsia="zh-CN" w:bidi="ar-SA"/>
              </w:rPr>
            </w:pPr>
            <w:r>
              <w:rPr>
                <w:rFonts w:hint="eastAsia" w:ascii="宋体" w:hAnsi="宋体" w:eastAsia="宋体" w:cs="宋体"/>
                <w:color w:val="000000"/>
                <w:sz w:val="28"/>
                <w:szCs w:val="28"/>
              </w:rPr>
              <w:t>仪器专用耗材</w:t>
            </w:r>
          </w:p>
        </w:tc>
        <w:tc>
          <w:tcPr>
            <w:tcW w:w="1853" w:type="dxa"/>
            <w:vAlign w:val="center"/>
          </w:tcPr>
          <w:p>
            <w:pPr>
              <w:pStyle w:val="22"/>
              <w:widowControl w:val="0"/>
              <w:suppressAutoHyphens/>
              <w:spacing w:line="24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pStyle w:val="22"/>
              <w:widowControl w:val="0"/>
              <w:suppressAutoHyphens/>
              <w:spacing w:line="240" w:lineRule="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w:t>
            </w:r>
          </w:p>
        </w:tc>
        <w:tc>
          <w:tcPr>
            <w:tcW w:w="3595" w:type="dxa"/>
            <w:vAlign w:val="center"/>
          </w:tcPr>
          <w:p>
            <w:pPr>
              <w:pStyle w:val="32"/>
              <w:shd w:val="clear" w:color="auto" w:fill="auto"/>
              <w:spacing w:line="240" w:lineRule="auto"/>
              <w:jc w:val="center"/>
              <w:outlineLvl w:val="9"/>
              <w:rPr>
                <w:rFonts w:hint="eastAsia" w:ascii="宋体" w:hAnsi="宋体" w:eastAsia="宋体" w:cs="宋体"/>
                <w:kern w:val="2"/>
                <w:sz w:val="28"/>
                <w:szCs w:val="28"/>
                <w:highlight w:val="none"/>
                <w:lang w:val="en-US" w:eastAsia="zh-CN" w:bidi="ar-SA"/>
              </w:rPr>
            </w:pPr>
            <w:r>
              <w:rPr>
                <w:rFonts w:hint="eastAsia" w:ascii="宋体" w:hAnsi="宋体" w:eastAsia="宋体" w:cs="宋体"/>
                <w:color w:val="000000"/>
                <w:sz w:val="28"/>
                <w:szCs w:val="28"/>
              </w:rPr>
              <w:t>洗涤剂</w:t>
            </w:r>
          </w:p>
        </w:tc>
        <w:tc>
          <w:tcPr>
            <w:tcW w:w="1853" w:type="dxa"/>
            <w:vAlign w:val="center"/>
          </w:tcPr>
          <w:p>
            <w:pPr>
              <w:pStyle w:val="22"/>
              <w:widowControl w:val="0"/>
              <w:suppressAutoHyphens/>
              <w:spacing w:line="24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pStyle w:val="22"/>
              <w:widowControl w:val="0"/>
              <w:suppressAutoHyphens/>
              <w:spacing w:line="240" w:lineRule="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w:t>
            </w:r>
          </w:p>
        </w:tc>
        <w:tc>
          <w:tcPr>
            <w:tcW w:w="3595" w:type="dxa"/>
            <w:vAlign w:val="center"/>
          </w:tcPr>
          <w:p>
            <w:pPr>
              <w:shd w:val="clear" w:color="auto" w:fill="auto"/>
              <w:topLinePunct/>
              <w:snapToGrid w:val="0"/>
              <w:spacing w:line="240" w:lineRule="auto"/>
              <w:jc w:val="center"/>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合格证</w:t>
            </w:r>
          </w:p>
        </w:tc>
        <w:tc>
          <w:tcPr>
            <w:tcW w:w="1853" w:type="dxa"/>
            <w:vAlign w:val="center"/>
          </w:tcPr>
          <w:p>
            <w:pPr>
              <w:pStyle w:val="22"/>
              <w:widowControl w:val="0"/>
              <w:suppressAutoHyphens/>
              <w:spacing w:line="24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pStyle w:val="22"/>
              <w:widowControl w:val="0"/>
              <w:suppressAutoHyphens/>
              <w:spacing w:line="240" w:lineRule="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w:t>
            </w:r>
          </w:p>
        </w:tc>
        <w:tc>
          <w:tcPr>
            <w:tcW w:w="3595" w:type="dxa"/>
            <w:vAlign w:val="center"/>
          </w:tcPr>
          <w:p>
            <w:pPr>
              <w:shd w:val="clear" w:color="auto" w:fill="auto"/>
              <w:topLinePunct/>
              <w:snapToGrid w:val="0"/>
              <w:spacing w:line="240" w:lineRule="auto"/>
              <w:jc w:val="center"/>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说明书</w:t>
            </w:r>
          </w:p>
        </w:tc>
        <w:tc>
          <w:tcPr>
            <w:tcW w:w="1853" w:type="dxa"/>
            <w:vAlign w:val="center"/>
          </w:tcPr>
          <w:p>
            <w:pPr>
              <w:pStyle w:val="22"/>
              <w:widowControl w:val="0"/>
              <w:suppressAutoHyphens/>
              <w:spacing w:line="24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pStyle w:val="22"/>
              <w:widowControl w:val="0"/>
              <w:suppressAutoHyphens/>
              <w:spacing w:line="240" w:lineRule="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1份</w:t>
            </w:r>
          </w:p>
        </w:tc>
      </w:tr>
    </w:tbl>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以上为供货验收清单，若不满足做退货并取消合同处理。</w:t>
      </w:r>
    </w:p>
    <w:p>
      <w:pPr>
        <w:pageBreakBefore w:val="0"/>
        <w:kinsoku/>
        <w:wordWrap/>
        <w:overflowPunct/>
        <w:topLinePunct w:val="0"/>
        <w:autoSpaceDE/>
        <w:autoSpaceDN/>
        <w:bidi w:val="0"/>
        <w:adjustRightInd/>
        <w:snapToGrid/>
        <w:spacing w:line="360" w:lineRule="auto"/>
        <w:textAlignment w:val="auto"/>
        <w:outlineLvl w:val="0"/>
        <w:rPr>
          <w:rFonts w:hint="default" w:ascii="Times New Roman" w:hAnsi="Times New Roman" w:eastAsia="宋体" w:cs="Times New Roman"/>
          <w:b/>
          <w:kern w:val="2"/>
          <w:sz w:val="30"/>
          <w:szCs w:val="30"/>
          <w:lang w:val="en-US" w:eastAsia="zh-CN" w:bidi="ar-SA"/>
        </w:rPr>
      </w:pPr>
      <w:bookmarkStart w:id="10" w:name="_Toc6348"/>
      <w:bookmarkStart w:id="11" w:name="_Toc10357"/>
      <w:bookmarkStart w:id="12" w:name="_Toc12038"/>
      <w:bookmarkStart w:id="13" w:name="_Toc28845"/>
      <w:bookmarkStart w:id="14" w:name="_Toc22926"/>
      <w:bookmarkStart w:id="15" w:name="_Toc28416"/>
      <w:r>
        <w:rPr>
          <w:rFonts w:hint="default" w:ascii="Times New Roman" w:hAnsi="Times New Roman" w:eastAsia="宋体" w:cs="Times New Roman"/>
          <w:b/>
          <w:kern w:val="2"/>
          <w:sz w:val="30"/>
          <w:szCs w:val="30"/>
          <w:lang w:val="en-US" w:eastAsia="zh-CN" w:bidi="ar-SA"/>
        </w:rPr>
        <w:t>6 包装、运输和贮存</w:t>
      </w:r>
      <w:bookmarkEnd w:id="10"/>
      <w:bookmarkEnd w:id="11"/>
      <w:bookmarkEnd w:id="12"/>
      <w:bookmarkEnd w:id="13"/>
      <w:bookmarkEnd w:id="14"/>
      <w:bookmarkEnd w:id="15"/>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1</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设备制造完成并通过试验后应及时包装</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应得到切实的保护</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确保其不受污损。</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lang w:eastAsia="zh-CN"/>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所有部件经妥善包装或装箱后</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在运输过程中应采取其它防护措施</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以免散失损坏或被盗</w:t>
      </w:r>
      <w:r>
        <w:rPr>
          <w:rFonts w:hint="default" w:ascii="Times New Roman" w:hAnsi="Times New Roman" w:eastAsia="宋体" w:cs="Times New Roman"/>
          <w:sz w:val="28"/>
          <w:szCs w:val="28"/>
          <w:lang w:eastAsia="zh-CN"/>
        </w:rPr>
        <w:t>。</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3</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在包装箱外应标明需方的订货号、发货号。</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4</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各种包装应能确保各零部件在运输过程中不致遭到损坏、丢失、变形、受潮和腐蚀。</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5</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包装箱上应有明显的包装储运图示标志(按GB191)。</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6</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整体产品或分别运输的部件都要适合运输和装载的要求。</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7</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随产品提供的技术资料应完整无缺</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提供份额符合GB11032的要求。</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16" w:name="_Toc31053"/>
      <w:bookmarkStart w:id="17" w:name="_Toc19111"/>
      <w:bookmarkStart w:id="18" w:name="_Toc11534"/>
      <w:bookmarkStart w:id="19" w:name="_Toc23336"/>
      <w:bookmarkStart w:id="20" w:name="_Toc18597"/>
      <w:bookmarkStart w:id="21" w:name="_Toc16264"/>
      <w:bookmarkStart w:id="22" w:name="_Toc7409"/>
      <w:r>
        <w:rPr>
          <w:rFonts w:hint="default" w:ascii="Times New Roman" w:hAnsi="Times New Roman" w:eastAsia="宋体" w:cs="Times New Roman"/>
          <w:b/>
          <w:bCs w:val="0"/>
          <w:kern w:val="2"/>
          <w:sz w:val="30"/>
          <w:szCs w:val="30"/>
          <w:lang w:val="en-US" w:eastAsia="zh-CN" w:bidi="ar-SA"/>
        </w:rPr>
        <w:t>7 售后服务和技术培训</w:t>
      </w:r>
      <w:bookmarkStart w:id="23" w:name="_Toc390088690"/>
      <w:r>
        <w:rPr>
          <w:rFonts w:hint="default" w:ascii="Times New Roman" w:hAnsi="Times New Roman" w:eastAsia="宋体" w:cs="Times New Roman"/>
          <w:b/>
          <w:bCs w:val="0"/>
          <w:kern w:val="2"/>
          <w:sz w:val="30"/>
          <w:szCs w:val="30"/>
          <w:lang w:val="en-US" w:eastAsia="zh-CN" w:bidi="ar-SA"/>
        </w:rPr>
        <w:t>要求</w:t>
      </w:r>
      <w:bookmarkEnd w:id="16"/>
      <w:bookmarkEnd w:id="17"/>
      <w:bookmarkEnd w:id="18"/>
      <w:bookmarkEnd w:id="19"/>
      <w:bookmarkEnd w:id="20"/>
      <w:bookmarkEnd w:id="21"/>
      <w:bookmarkEnd w:id="22"/>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24" w:name="_Toc3099"/>
      <w:bookmarkStart w:id="25" w:name="_Toc16249"/>
      <w:bookmarkStart w:id="26" w:name="_Toc18435"/>
      <w:bookmarkStart w:id="27" w:name="_Toc18060"/>
      <w:bookmarkStart w:id="28" w:name="_Toc31014"/>
      <w:bookmarkStart w:id="29" w:name="_Toc29029"/>
      <w:bookmarkStart w:id="30" w:name="_Toc4941"/>
      <w:r>
        <w:rPr>
          <w:rFonts w:hint="default" w:ascii="Times New Roman" w:hAnsi="Times New Roman" w:eastAsia="宋体" w:cs="Times New Roman"/>
          <w:b/>
          <w:bCs/>
          <w:sz w:val="28"/>
          <w:szCs w:val="28"/>
          <w:lang w:val="en-US" w:eastAsia="zh-CN"/>
        </w:rPr>
        <w:t>7.1 售后服务</w:t>
      </w:r>
      <w:bookmarkEnd w:id="23"/>
      <w:bookmarkEnd w:id="24"/>
      <w:bookmarkEnd w:id="25"/>
      <w:bookmarkEnd w:id="26"/>
      <w:bookmarkEnd w:id="27"/>
      <w:bookmarkEnd w:id="28"/>
      <w:bookmarkEnd w:id="29"/>
      <w:bookmarkEnd w:id="30"/>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（1）</w:t>
      </w:r>
      <w:bookmarkStart w:id="31" w:name="OLE_LINK17"/>
      <w:r>
        <w:rPr>
          <w:rFonts w:hint="default" w:ascii="Times New Roman" w:hAnsi="Times New Roman" w:cs="Times New Roman"/>
          <w:sz w:val="28"/>
          <w:szCs w:val="28"/>
        </w:rPr>
        <w:t>投标方应保证系统投运之日起提供</w:t>
      </w:r>
      <w:bookmarkEnd w:id="31"/>
      <w:r>
        <w:rPr>
          <w:rFonts w:hint="default" w:ascii="Times New Roman" w:hAnsi="Times New Roman" w:cs="Times New Roman"/>
          <w:sz w:val="28"/>
          <w:szCs w:val="28"/>
        </w:rPr>
        <w:t>终身免费软件服务：免费技术支持、免费给予版本升级（不限次数）；</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（2）投标方应保证系统投运之日起提供：</w:t>
      </w:r>
      <w:r>
        <w:rPr>
          <w:rFonts w:hint="eastAsia" w:cs="Times New Roman"/>
          <w:sz w:val="28"/>
          <w:szCs w:val="28"/>
          <w:lang w:val="en-US" w:eastAsia="zh-CN"/>
        </w:rPr>
        <w:t>三</w:t>
      </w:r>
      <w:r>
        <w:rPr>
          <w:rFonts w:hint="default" w:ascii="Times New Roman" w:hAnsi="Times New Roman" w:cs="Times New Roman"/>
          <w:sz w:val="28"/>
          <w:szCs w:val="28"/>
        </w:rPr>
        <w:t>年保修（含人工费用），终身维护；</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（3）</w:t>
      </w:r>
      <w:bookmarkStart w:id="32" w:name="_Toc390088691"/>
      <w:r>
        <w:rPr>
          <w:rFonts w:hint="default" w:ascii="Times New Roman" w:hAnsi="Times New Roman" w:cs="Times New Roman"/>
          <w:sz w:val="28"/>
          <w:szCs w:val="28"/>
        </w:rPr>
        <w:t>投标方对软件提供7×24小时技术支持服务；</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（4）系统运行过程中，如出现软件故障，投标方须在接到用户报告提出维护要求4小时内作出响应，24小时内提交故障分析报告和解决方案。</w:t>
      </w:r>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33" w:name="_Toc430"/>
      <w:bookmarkStart w:id="34" w:name="_Toc17905"/>
      <w:bookmarkStart w:id="35" w:name="_Toc4614"/>
      <w:bookmarkStart w:id="36" w:name="_Toc12501"/>
      <w:bookmarkStart w:id="37" w:name="_Toc6783"/>
      <w:bookmarkStart w:id="38" w:name="_Toc5683"/>
      <w:bookmarkStart w:id="39" w:name="_Toc13854"/>
      <w:bookmarkStart w:id="40" w:name="OLE_LINK22"/>
      <w:r>
        <w:rPr>
          <w:rFonts w:hint="default" w:ascii="Times New Roman" w:hAnsi="Times New Roman" w:eastAsia="宋体" w:cs="Times New Roman"/>
          <w:b/>
          <w:bCs/>
          <w:sz w:val="28"/>
          <w:szCs w:val="28"/>
          <w:lang w:val="en-US" w:eastAsia="zh-CN"/>
        </w:rPr>
        <w:t>7.2 技术培训</w:t>
      </w:r>
      <w:bookmarkEnd w:id="32"/>
      <w:bookmarkEnd w:id="33"/>
      <w:bookmarkEnd w:id="34"/>
      <w:bookmarkEnd w:id="35"/>
      <w:bookmarkEnd w:id="36"/>
      <w:bookmarkEnd w:id="37"/>
      <w:bookmarkEnd w:id="38"/>
      <w:bookmarkEnd w:id="39"/>
    </w:p>
    <w:bookmarkEnd w:id="40"/>
    <w:p>
      <w:pPr>
        <w:pStyle w:val="33"/>
        <w:spacing w:line="360" w:lineRule="auto"/>
        <w:rPr>
          <w:rFonts w:hint="default" w:ascii="Times New Roman" w:hAnsi="Times New Roman" w:eastAsia="宋体" w:cs="Times New Roman"/>
          <w:b/>
          <w:bCs/>
          <w:sz w:val="28"/>
          <w:szCs w:val="28"/>
        </w:rPr>
      </w:pPr>
      <w:r>
        <w:rPr>
          <w:rFonts w:hint="default" w:ascii="Times New Roman" w:hAnsi="Times New Roman" w:eastAsia="宋体" w:cs="Times New Roman"/>
          <w:b/>
          <w:bCs/>
          <w:sz w:val="28"/>
          <w:szCs w:val="28"/>
          <w:lang w:val="en-US" w:eastAsia="zh-CN"/>
        </w:rPr>
        <w:t>7</w:t>
      </w:r>
      <w:r>
        <w:rPr>
          <w:rFonts w:hint="default" w:ascii="Times New Roman" w:hAnsi="Times New Roman" w:eastAsia="宋体" w:cs="Times New Roman"/>
          <w:b/>
          <w:bCs/>
          <w:sz w:val="28"/>
          <w:szCs w:val="28"/>
        </w:rPr>
        <w:t>.2.1</w:t>
      </w:r>
      <w:r>
        <w:rPr>
          <w:rFonts w:hint="default" w:ascii="Times New Roman" w:hAnsi="Times New Roman" w:eastAsia="宋体" w:cs="Times New Roman"/>
          <w:b/>
          <w:bCs/>
          <w:sz w:val="28"/>
          <w:szCs w:val="28"/>
          <w:lang w:val="en-US" w:eastAsia="zh-CN"/>
        </w:rPr>
        <w:t xml:space="preserve"> </w:t>
      </w:r>
      <w:r>
        <w:rPr>
          <w:rFonts w:hint="default" w:ascii="Times New Roman" w:hAnsi="Times New Roman" w:eastAsia="宋体" w:cs="Times New Roman"/>
          <w:b/>
          <w:bCs/>
          <w:sz w:val="28"/>
          <w:szCs w:val="28"/>
        </w:rPr>
        <w:t>培训要求</w:t>
      </w:r>
    </w:p>
    <w:p>
      <w:pPr>
        <w:pStyle w:val="33"/>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（1）投标方须免费提供现场的集中培训，时间</w:t>
      </w:r>
      <w:bookmarkStart w:id="41" w:name="OLE_LINK16"/>
      <w:r>
        <w:rPr>
          <w:rFonts w:hint="default" w:ascii="Times New Roman" w:hAnsi="Times New Roman" w:eastAsia="宋体" w:cs="Times New Roman"/>
          <w:sz w:val="28"/>
          <w:szCs w:val="28"/>
        </w:rPr>
        <w:t>不少于</w:t>
      </w:r>
      <w:bookmarkEnd w:id="41"/>
      <w:r>
        <w:rPr>
          <w:rFonts w:hint="default" w:ascii="Times New Roman" w:hAnsi="Times New Roman" w:eastAsia="宋体" w:cs="Times New Roman"/>
          <w:sz w:val="28"/>
          <w:szCs w:val="28"/>
        </w:rPr>
        <w:t>3天。其中，理论培训1天；实操不少于2天。</w:t>
      </w:r>
    </w:p>
    <w:p>
      <w:pPr>
        <w:pStyle w:val="33"/>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（2）招标方的技术人员在理论和操作方面得到培训，熟悉和掌握仪器的使用和检测结果的评定。</w:t>
      </w:r>
    </w:p>
    <w:p>
      <w:pPr>
        <w:pStyle w:val="33"/>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（3）投标方须向受训人员提供相关操作手册等技术资料。</w:t>
      </w:r>
    </w:p>
    <w:p>
      <w:pPr>
        <w:autoSpaceDE w:val="0"/>
        <w:autoSpaceDN w:val="0"/>
        <w:adjustRightInd w:val="0"/>
        <w:snapToGrid w:val="0"/>
        <w:spacing w:line="360" w:lineRule="auto"/>
        <w:rPr>
          <w:rFonts w:hint="default" w:ascii="Times New Roman" w:hAnsi="Times New Roman" w:cs="Times New Roman"/>
          <w:kern w:val="0"/>
          <w:sz w:val="28"/>
          <w:szCs w:val="28"/>
        </w:rPr>
      </w:pPr>
      <w:bookmarkStart w:id="42" w:name="_Toc341535610"/>
      <w:r>
        <w:rPr>
          <w:rFonts w:hint="default" w:ascii="Times New Roman" w:hAnsi="Times New Roman" w:cs="Times New Roman"/>
          <w:b/>
          <w:bCs/>
          <w:kern w:val="0"/>
          <w:sz w:val="28"/>
          <w:szCs w:val="28"/>
          <w:lang w:val="en-US" w:eastAsia="zh-CN"/>
        </w:rPr>
        <w:t>7</w:t>
      </w:r>
      <w:r>
        <w:rPr>
          <w:rFonts w:hint="default" w:ascii="Times New Roman" w:hAnsi="Times New Roman" w:cs="Times New Roman"/>
          <w:b/>
          <w:bCs/>
          <w:kern w:val="0"/>
          <w:sz w:val="28"/>
          <w:szCs w:val="28"/>
        </w:rPr>
        <w:t>.2.2</w:t>
      </w:r>
      <w:r>
        <w:rPr>
          <w:rFonts w:hint="default" w:ascii="Times New Roman" w:hAnsi="Times New Roman" w:cs="Times New Roman"/>
          <w:b/>
          <w:bCs/>
          <w:kern w:val="0"/>
          <w:sz w:val="28"/>
          <w:szCs w:val="28"/>
          <w:lang w:val="en-US" w:eastAsia="zh-CN"/>
        </w:rPr>
        <w:t xml:space="preserve"> </w:t>
      </w:r>
      <w:r>
        <w:rPr>
          <w:rFonts w:hint="default" w:ascii="Times New Roman" w:hAnsi="Times New Roman" w:cs="Times New Roman"/>
          <w:b/>
          <w:bCs/>
          <w:kern w:val="0"/>
          <w:sz w:val="28"/>
          <w:szCs w:val="28"/>
        </w:rPr>
        <w:t>培训内容</w:t>
      </w:r>
      <w:bookmarkEnd w:id="42"/>
    </w:p>
    <w:p>
      <w:pPr>
        <w:pStyle w:val="33"/>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（1）理论培训：技术原理</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设备使用方法</w:t>
      </w:r>
      <w:r>
        <w:rPr>
          <w:rFonts w:hint="default" w:ascii="Times New Roman" w:hAnsi="Times New Roman" w:eastAsia="宋体" w:cs="Times New Roman"/>
          <w:sz w:val="28"/>
          <w:szCs w:val="28"/>
        </w:rPr>
        <w:t>等；</w:t>
      </w:r>
    </w:p>
    <w:p>
      <w:pPr>
        <w:pStyle w:val="33"/>
        <w:spacing w:line="360" w:lineRule="auto"/>
        <w:ind w:firstLine="560" w:firstLineChars="200"/>
        <w:rPr>
          <w:rFonts w:hint="default" w:ascii="Times New Roman" w:hAnsi="Times New Roman" w:eastAsia="宋体" w:cs="Times New Roman"/>
          <w:b/>
          <w:kern w:val="2"/>
          <w:sz w:val="30"/>
          <w:szCs w:val="30"/>
          <w:lang w:val="en-US" w:eastAsia="zh-CN" w:bidi="ar-SA"/>
        </w:rPr>
      </w:pP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实操</w:t>
      </w:r>
      <w:r>
        <w:rPr>
          <w:rFonts w:hint="default" w:ascii="Times New Roman" w:hAnsi="Times New Roman" w:eastAsia="宋体" w:cs="Times New Roman"/>
          <w:sz w:val="28"/>
          <w:szCs w:val="28"/>
        </w:rPr>
        <w:t>培训：根据需方的安排，开展一座变电站相关设备等一次检测。</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43" w:name="_Toc26867"/>
      <w:bookmarkStart w:id="44" w:name="_Toc3624"/>
      <w:bookmarkStart w:id="45" w:name="_Toc2928"/>
      <w:bookmarkStart w:id="46" w:name="_Toc25839"/>
      <w:bookmarkStart w:id="47" w:name="_Toc7428"/>
      <w:bookmarkStart w:id="48" w:name="_Toc10568"/>
      <w:bookmarkStart w:id="49" w:name="_Toc26800"/>
      <w:r>
        <w:rPr>
          <w:rFonts w:hint="default" w:ascii="Times New Roman" w:hAnsi="Times New Roman" w:eastAsia="宋体" w:cs="Times New Roman"/>
          <w:b/>
          <w:bCs w:val="0"/>
          <w:kern w:val="2"/>
          <w:sz w:val="30"/>
          <w:szCs w:val="30"/>
          <w:lang w:val="en-US" w:eastAsia="zh-CN" w:bidi="ar-SA"/>
        </w:rPr>
        <w:t>8 验收</w:t>
      </w:r>
      <w:bookmarkStart w:id="50" w:name="_Toc387612874"/>
      <w:bookmarkStart w:id="51" w:name="_Toc390088694"/>
      <w:bookmarkStart w:id="52" w:name="_Toc291690060"/>
      <w:r>
        <w:rPr>
          <w:rFonts w:hint="default" w:ascii="Times New Roman" w:hAnsi="Times New Roman" w:eastAsia="宋体" w:cs="Times New Roman"/>
          <w:b/>
          <w:bCs w:val="0"/>
          <w:kern w:val="2"/>
          <w:sz w:val="30"/>
          <w:szCs w:val="30"/>
          <w:lang w:val="en-US" w:eastAsia="zh-CN" w:bidi="ar-SA"/>
        </w:rPr>
        <w:t>要求</w:t>
      </w:r>
      <w:bookmarkEnd w:id="43"/>
      <w:bookmarkEnd w:id="44"/>
      <w:bookmarkEnd w:id="45"/>
      <w:bookmarkEnd w:id="46"/>
      <w:bookmarkEnd w:id="47"/>
      <w:bookmarkEnd w:id="48"/>
      <w:bookmarkEnd w:id="49"/>
    </w:p>
    <w:bookmarkEnd w:id="50"/>
    <w:bookmarkEnd w:id="51"/>
    <w:p>
      <w:pPr>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系统测试验收划分为二个阶段，即到货验收、现场验收。</w:t>
      </w:r>
      <w:bookmarkStart w:id="53" w:name="_Toc341535612"/>
      <w:bookmarkStart w:id="54" w:name="_Toc257812191"/>
      <w:bookmarkStart w:id="55" w:name="_Toc387612875"/>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56" w:name="_Toc7867"/>
      <w:bookmarkStart w:id="57" w:name="_Toc19273"/>
      <w:bookmarkStart w:id="58" w:name="_Toc16533"/>
      <w:bookmarkStart w:id="59" w:name="_Toc22741"/>
      <w:bookmarkStart w:id="60" w:name="_Toc27907"/>
      <w:bookmarkStart w:id="61" w:name="_Toc23903"/>
      <w:bookmarkStart w:id="62" w:name="_Toc14808"/>
      <w:bookmarkStart w:id="63" w:name="OLE_LINK21"/>
      <w:r>
        <w:rPr>
          <w:rFonts w:hint="default" w:ascii="Times New Roman" w:hAnsi="Times New Roman" w:eastAsia="宋体" w:cs="Times New Roman"/>
          <w:b/>
          <w:bCs/>
          <w:kern w:val="0"/>
          <w:sz w:val="28"/>
          <w:szCs w:val="28"/>
          <w:lang w:val="en-US" w:eastAsia="zh-CN" w:bidi="ar-SA"/>
        </w:rPr>
        <w:t>8.1 到货验收</w:t>
      </w:r>
      <w:bookmarkEnd w:id="53"/>
      <w:bookmarkEnd w:id="54"/>
      <w:bookmarkEnd w:id="55"/>
      <w:bookmarkEnd w:id="56"/>
      <w:bookmarkEnd w:id="57"/>
      <w:bookmarkEnd w:id="58"/>
      <w:bookmarkEnd w:id="59"/>
      <w:bookmarkEnd w:id="60"/>
      <w:bookmarkEnd w:id="61"/>
      <w:bookmarkEnd w:id="62"/>
    </w:p>
    <w:bookmarkEnd w:id="63"/>
    <w:p>
      <w:pPr>
        <w:pStyle w:val="33"/>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到货验收包括对硬件的型号、数量以及详细参数进行验收，检查软件是否已安装进系统。</w:t>
      </w:r>
      <w:bookmarkStart w:id="64" w:name="_Toc257812192"/>
      <w:bookmarkStart w:id="65" w:name="_Toc341535616"/>
      <w:bookmarkStart w:id="66" w:name="_Toc387612876"/>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67" w:name="_Toc22068"/>
      <w:bookmarkStart w:id="68" w:name="_Toc1461"/>
      <w:bookmarkStart w:id="69" w:name="_Toc15384"/>
      <w:bookmarkStart w:id="70" w:name="_Toc17828"/>
      <w:bookmarkStart w:id="71" w:name="_Toc5236"/>
      <w:bookmarkStart w:id="72" w:name="_Toc9650"/>
      <w:bookmarkStart w:id="73" w:name="_Toc7667"/>
      <w:r>
        <w:rPr>
          <w:rFonts w:hint="default" w:ascii="Times New Roman" w:hAnsi="Times New Roman" w:eastAsia="宋体" w:cs="Times New Roman"/>
          <w:b/>
          <w:bCs/>
          <w:kern w:val="0"/>
          <w:sz w:val="28"/>
          <w:szCs w:val="28"/>
          <w:lang w:val="en-US" w:eastAsia="zh-CN" w:bidi="ar-SA"/>
        </w:rPr>
        <w:t>8.2 现场验收</w:t>
      </w:r>
      <w:bookmarkEnd w:id="64"/>
      <w:bookmarkEnd w:id="65"/>
      <w:bookmarkEnd w:id="66"/>
      <w:bookmarkEnd w:id="67"/>
      <w:bookmarkEnd w:id="68"/>
      <w:bookmarkEnd w:id="69"/>
      <w:bookmarkEnd w:id="70"/>
      <w:bookmarkEnd w:id="71"/>
      <w:bookmarkEnd w:id="72"/>
      <w:bookmarkEnd w:id="73"/>
    </w:p>
    <w:p>
      <w:pPr>
        <w:spacing w:line="360" w:lineRule="auto"/>
        <w:ind w:firstLine="560" w:firstLineChars="200"/>
        <w:rPr>
          <w:rFonts w:hint="eastAsia" w:ascii="宋体" w:hAnsi="宋体" w:eastAsia="宋体" w:cs="宋体"/>
          <w:sz w:val="28"/>
          <w:szCs w:val="28"/>
        </w:rPr>
      </w:pPr>
      <w:r>
        <w:rPr>
          <w:rFonts w:hint="default" w:ascii="Times New Roman" w:hAnsi="Times New Roman" w:eastAsia="宋体" w:cs="Times New Roman"/>
          <w:sz w:val="28"/>
          <w:szCs w:val="28"/>
        </w:rPr>
        <w:t>以投标方协助需方完成培训内容为标准进行验收</w:t>
      </w:r>
      <w:bookmarkEnd w:id="52"/>
      <w:r>
        <w:rPr>
          <w:rFonts w:hint="default" w:ascii="Times New Roman" w:hAnsi="Times New Roman" w:eastAsia="宋体" w:cs="Times New Roman"/>
          <w:sz w:val="28"/>
          <w:szCs w:val="28"/>
          <w:lang w:eastAsia="zh-CN"/>
        </w:rPr>
        <w:t>。</w:t>
      </w:r>
    </w:p>
    <w:sectPr>
      <w:footerReference r:id="rId4" w:type="default"/>
      <w:pgSz w:w="12240" w:h="15840"/>
      <w:pgMar w:top="1440" w:right="1797" w:bottom="1440" w:left="1797" w:header="720" w:footer="720" w:gutter="0"/>
      <w:pgNumType w:fmt="decimal" w:start="1"/>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auto"/>
    <w:pitch w:val="default"/>
    <w:sig w:usb0="00000000" w:usb1="00000000" w:usb2="00000000" w:usb3="00000000" w:csb0="00040000" w:csb1="00000000"/>
  </w:font>
  <w:font w:name="EU-F1">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华文宋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2880" w:firstLineChars="1600"/>
      <w:jc w:val="both"/>
      <w:rPr>
        <w:rFonts w:hint="default" w:ascii="宋体" w:hAnsi="宋体" w:eastAsia="宋体"/>
        <w:lang w:val="en-US" w:eastAsia="zh-CN"/>
      </w:rPr>
    </w:pPr>
    <w:r>
      <w:rPr>
        <w:rFonts w:hint="eastAsia" w:ascii="宋体" w:hAnsi="宋体"/>
      </w:rPr>
      <w:t xml:space="preserve">                             </w:t>
    </w:r>
    <w:r>
      <w:rPr>
        <w:rFonts w:hint="eastAsia" w:ascii="宋体" w:hAnsi="宋体"/>
        <w:lang w:val="en-US" w:eastAsia="zh-CN"/>
      </w:rPr>
      <w:t xml:space="preserve">     变电专业超声波清洗仪技术规范书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796E71"/>
    <w:multiLevelType w:val="singleLevel"/>
    <w:tmpl w:val="3E796E71"/>
    <w:lvl w:ilvl="0" w:tentative="0">
      <w:start w:val="1"/>
      <w:numFmt w:val="decimal"/>
      <w:lvlText w:val="%1、"/>
      <w:lvlJc w:val="left"/>
      <w:pPr>
        <w:tabs>
          <w:tab w:val="left" w:pos="570"/>
        </w:tabs>
        <w:ind w:left="570" w:hanging="3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gutterAtTop/>
  <w:documentProtection w:enforcement="0"/>
  <w:defaultTabStop w:val="420"/>
  <w:drawingGridHorizontalSpacing w:val="105"/>
  <w:drawingGridVerticalSpacing w:val="143"/>
  <w:displayHorizontalDrawingGridEvery w:val="1"/>
  <w:displayVerticalDrawingGridEvery w:val="1"/>
  <w:doNotShadeFormData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172A27"/>
    <w:rsid w:val="000035E1"/>
    <w:rsid w:val="00022BDE"/>
    <w:rsid w:val="000242F6"/>
    <w:rsid w:val="00027BF9"/>
    <w:rsid w:val="0005282D"/>
    <w:rsid w:val="00054B15"/>
    <w:rsid w:val="0007361B"/>
    <w:rsid w:val="00083FF4"/>
    <w:rsid w:val="000929A6"/>
    <w:rsid w:val="0009426D"/>
    <w:rsid w:val="000B212F"/>
    <w:rsid w:val="000D060D"/>
    <w:rsid w:val="000E0B6B"/>
    <w:rsid w:val="000E3A0F"/>
    <w:rsid w:val="00133AF7"/>
    <w:rsid w:val="00142319"/>
    <w:rsid w:val="00172A27"/>
    <w:rsid w:val="00184856"/>
    <w:rsid w:val="00187370"/>
    <w:rsid w:val="001E0CF1"/>
    <w:rsid w:val="00212B1F"/>
    <w:rsid w:val="00214840"/>
    <w:rsid w:val="002550D5"/>
    <w:rsid w:val="00274732"/>
    <w:rsid w:val="0027656D"/>
    <w:rsid w:val="00286C41"/>
    <w:rsid w:val="00291B33"/>
    <w:rsid w:val="002A1D5D"/>
    <w:rsid w:val="002A593A"/>
    <w:rsid w:val="002A7143"/>
    <w:rsid w:val="002B1D6E"/>
    <w:rsid w:val="002B5F07"/>
    <w:rsid w:val="002B78D0"/>
    <w:rsid w:val="002C018F"/>
    <w:rsid w:val="002F0F8B"/>
    <w:rsid w:val="002F625C"/>
    <w:rsid w:val="00302818"/>
    <w:rsid w:val="00312008"/>
    <w:rsid w:val="00334ED3"/>
    <w:rsid w:val="0036262E"/>
    <w:rsid w:val="00372DF9"/>
    <w:rsid w:val="00374B10"/>
    <w:rsid w:val="00397BEF"/>
    <w:rsid w:val="003C63C7"/>
    <w:rsid w:val="003F1B09"/>
    <w:rsid w:val="00404BFF"/>
    <w:rsid w:val="004054C8"/>
    <w:rsid w:val="00411A58"/>
    <w:rsid w:val="00421AF0"/>
    <w:rsid w:val="0044464B"/>
    <w:rsid w:val="00453089"/>
    <w:rsid w:val="0045545B"/>
    <w:rsid w:val="00475D99"/>
    <w:rsid w:val="00476D30"/>
    <w:rsid w:val="004861F1"/>
    <w:rsid w:val="00490D38"/>
    <w:rsid w:val="004A5264"/>
    <w:rsid w:val="004F0BBD"/>
    <w:rsid w:val="00515503"/>
    <w:rsid w:val="00530101"/>
    <w:rsid w:val="00545565"/>
    <w:rsid w:val="005516AD"/>
    <w:rsid w:val="005673D2"/>
    <w:rsid w:val="005718DB"/>
    <w:rsid w:val="00572083"/>
    <w:rsid w:val="00575854"/>
    <w:rsid w:val="005B3C3E"/>
    <w:rsid w:val="005C06BF"/>
    <w:rsid w:val="005C5FD4"/>
    <w:rsid w:val="005D7D51"/>
    <w:rsid w:val="0060183B"/>
    <w:rsid w:val="006109C8"/>
    <w:rsid w:val="00614DD7"/>
    <w:rsid w:val="00620FA0"/>
    <w:rsid w:val="00653640"/>
    <w:rsid w:val="00660130"/>
    <w:rsid w:val="00662556"/>
    <w:rsid w:val="006671D4"/>
    <w:rsid w:val="006A5858"/>
    <w:rsid w:val="006C13B5"/>
    <w:rsid w:val="006D0825"/>
    <w:rsid w:val="006E4A3B"/>
    <w:rsid w:val="006F15E7"/>
    <w:rsid w:val="006F356C"/>
    <w:rsid w:val="006F5FD0"/>
    <w:rsid w:val="006F615E"/>
    <w:rsid w:val="00715F97"/>
    <w:rsid w:val="00720314"/>
    <w:rsid w:val="0072357D"/>
    <w:rsid w:val="00723D38"/>
    <w:rsid w:val="00744B2E"/>
    <w:rsid w:val="00757DDB"/>
    <w:rsid w:val="00766FCC"/>
    <w:rsid w:val="00767DC9"/>
    <w:rsid w:val="0077422F"/>
    <w:rsid w:val="007903FA"/>
    <w:rsid w:val="007A6AF8"/>
    <w:rsid w:val="007E150A"/>
    <w:rsid w:val="00811D27"/>
    <w:rsid w:val="0083606F"/>
    <w:rsid w:val="00853ACF"/>
    <w:rsid w:val="00861E03"/>
    <w:rsid w:val="00873B6F"/>
    <w:rsid w:val="00885066"/>
    <w:rsid w:val="00897E2F"/>
    <w:rsid w:val="008A13EB"/>
    <w:rsid w:val="008B3ED1"/>
    <w:rsid w:val="008B7D17"/>
    <w:rsid w:val="008C550E"/>
    <w:rsid w:val="00903147"/>
    <w:rsid w:val="0091574D"/>
    <w:rsid w:val="00926765"/>
    <w:rsid w:val="00932C8D"/>
    <w:rsid w:val="00962C65"/>
    <w:rsid w:val="0098104B"/>
    <w:rsid w:val="00A03D85"/>
    <w:rsid w:val="00A205B9"/>
    <w:rsid w:val="00A257B6"/>
    <w:rsid w:val="00A46A9F"/>
    <w:rsid w:val="00A51B42"/>
    <w:rsid w:val="00A528D2"/>
    <w:rsid w:val="00A545C9"/>
    <w:rsid w:val="00AC41D5"/>
    <w:rsid w:val="00AD26D5"/>
    <w:rsid w:val="00AE2150"/>
    <w:rsid w:val="00AE64D2"/>
    <w:rsid w:val="00B61CFA"/>
    <w:rsid w:val="00B87E6E"/>
    <w:rsid w:val="00B96D3D"/>
    <w:rsid w:val="00BB09DA"/>
    <w:rsid w:val="00BB5AA6"/>
    <w:rsid w:val="00BE0618"/>
    <w:rsid w:val="00BE3D18"/>
    <w:rsid w:val="00C153E3"/>
    <w:rsid w:val="00C55880"/>
    <w:rsid w:val="00C7290C"/>
    <w:rsid w:val="00C92FF8"/>
    <w:rsid w:val="00CA36A1"/>
    <w:rsid w:val="00CA4ED3"/>
    <w:rsid w:val="00CB23DB"/>
    <w:rsid w:val="00CB4B8C"/>
    <w:rsid w:val="00CC2321"/>
    <w:rsid w:val="00CC597B"/>
    <w:rsid w:val="00CE048D"/>
    <w:rsid w:val="00CE4DFB"/>
    <w:rsid w:val="00CE4E80"/>
    <w:rsid w:val="00CF4840"/>
    <w:rsid w:val="00CF72D4"/>
    <w:rsid w:val="00D30360"/>
    <w:rsid w:val="00D350E2"/>
    <w:rsid w:val="00D976F8"/>
    <w:rsid w:val="00DC730E"/>
    <w:rsid w:val="00DD1D78"/>
    <w:rsid w:val="00DE7114"/>
    <w:rsid w:val="00DF482B"/>
    <w:rsid w:val="00E34AF7"/>
    <w:rsid w:val="00E64616"/>
    <w:rsid w:val="00E92E57"/>
    <w:rsid w:val="00EA3EEA"/>
    <w:rsid w:val="00EA6DC9"/>
    <w:rsid w:val="00EC1566"/>
    <w:rsid w:val="00EE47FC"/>
    <w:rsid w:val="00F00BE3"/>
    <w:rsid w:val="00F00F8D"/>
    <w:rsid w:val="00F22B91"/>
    <w:rsid w:val="00F24602"/>
    <w:rsid w:val="00F5425B"/>
    <w:rsid w:val="00F57B66"/>
    <w:rsid w:val="00F749C6"/>
    <w:rsid w:val="00F8005A"/>
    <w:rsid w:val="00FA2B19"/>
    <w:rsid w:val="00FB3D25"/>
    <w:rsid w:val="00FD37FD"/>
    <w:rsid w:val="00FF0701"/>
    <w:rsid w:val="00FF31C9"/>
    <w:rsid w:val="01216BCF"/>
    <w:rsid w:val="021D332E"/>
    <w:rsid w:val="039970F0"/>
    <w:rsid w:val="0441390A"/>
    <w:rsid w:val="04B85A8C"/>
    <w:rsid w:val="06C83369"/>
    <w:rsid w:val="06F74250"/>
    <w:rsid w:val="06FC1FE4"/>
    <w:rsid w:val="073440CA"/>
    <w:rsid w:val="08074D96"/>
    <w:rsid w:val="083B22E9"/>
    <w:rsid w:val="0AA06A69"/>
    <w:rsid w:val="0B1D612C"/>
    <w:rsid w:val="0B9E7B3E"/>
    <w:rsid w:val="0BAC324C"/>
    <w:rsid w:val="0BBD0B5D"/>
    <w:rsid w:val="0D09760B"/>
    <w:rsid w:val="0DF84B27"/>
    <w:rsid w:val="0E4C7BE5"/>
    <w:rsid w:val="0ED04650"/>
    <w:rsid w:val="117656A1"/>
    <w:rsid w:val="11C76314"/>
    <w:rsid w:val="11F81621"/>
    <w:rsid w:val="121A5772"/>
    <w:rsid w:val="122703EF"/>
    <w:rsid w:val="129375E2"/>
    <w:rsid w:val="1364719A"/>
    <w:rsid w:val="13A0311A"/>
    <w:rsid w:val="14AE74C4"/>
    <w:rsid w:val="150103B5"/>
    <w:rsid w:val="152A59B2"/>
    <w:rsid w:val="157E633F"/>
    <w:rsid w:val="15C75E4B"/>
    <w:rsid w:val="17247B54"/>
    <w:rsid w:val="17E9578A"/>
    <w:rsid w:val="196A1CCC"/>
    <w:rsid w:val="19F05946"/>
    <w:rsid w:val="1A050DE8"/>
    <w:rsid w:val="1B5F7121"/>
    <w:rsid w:val="1D3D4708"/>
    <w:rsid w:val="1E476C31"/>
    <w:rsid w:val="206C32B1"/>
    <w:rsid w:val="20A85646"/>
    <w:rsid w:val="22783F62"/>
    <w:rsid w:val="22F56ECA"/>
    <w:rsid w:val="23846F1A"/>
    <w:rsid w:val="26301520"/>
    <w:rsid w:val="264B09E7"/>
    <w:rsid w:val="29253C5F"/>
    <w:rsid w:val="292B071C"/>
    <w:rsid w:val="2A423861"/>
    <w:rsid w:val="2D5F3BEA"/>
    <w:rsid w:val="2DAD1295"/>
    <w:rsid w:val="2F82055E"/>
    <w:rsid w:val="3015100B"/>
    <w:rsid w:val="319E29CA"/>
    <w:rsid w:val="32B02F4F"/>
    <w:rsid w:val="32ED7EDB"/>
    <w:rsid w:val="33515420"/>
    <w:rsid w:val="3459654B"/>
    <w:rsid w:val="35724440"/>
    <w:rsid w:val="359314F5"/>
    <w:rsid w:val="35E67CC2"/>
    <w:rsid w:val="35EA73E3"/>
    <w:rsid w:val="37130BEA"/>
    <w:rsid w:val="397E1DFD"/>
    <w:rsid w:val="398B33E3"/>
    <w:rsid w:val="3AF505AA"/>
    <w:rsid w:val="3B007723"/>
    <w:rsid w:val="3B3E176C"/>
    <w:rsid w:val="3C0C3393"/>
    <w:rsid w:val="3D205459"/>
    <w:rsid w:val="3D420603"/>
    <w:rsid w:val="3EB65EA7"/>
    <w:rsid w:val="3F306184"/>
    <w:rsid w:val="407946F1"/>
    <w:rsid w:val="4592285F"/>
    <w:rsid w:val="45FA704D"/>
    <w:rsid w:val="461061B1"/>
    <w:rsid w:val="46122A69"/>
    <w:rsid w:val="48935017"/>
    <w:rsid w:val="49A73E15"/>
    <w:rsid w:val="4C2C0CD0"/>
    <w:rsid w:val="4C6B6707"/>
    <w:rsid w:val="4CC534FF"/>
    <w:rsid w:val="4CF47715"/>
    <w:rsid w:val="4D442103"/>
    <w:rsid w:val="4D605863"/>
    <w:rsid w:val="4DE24485"/>
    <w:rsid w:val="4E2C444D"/>
    <w:rsid w:val="52873053"/>
    <w:rsid w:val="53176A9C"/>
    <w:rsid w:val="53F40CBE"/>
    <w:rsid w:val="542A117B"/>
    <w:rsid w:val="546F3F6B"/>
    <w:rsid w:val="54F112A5"/>
    <w:rsid w:val="559336C4"/>
    <w:rsid w:val="55FB249F"/>
    <w:rsid w:val="56842169"/>
    <w:rsid w:val="56DD1F1C"/>
    <w:rsid w:val="585B5B7A"/>
    <w:rsid w:val="595744CF"/>
    <w:rsid w:val="5CDD10BF"/>
    <w:rsid w:val="5E052881"/>
    <w:rsid w:val="5F163CE0"/>
    <w:rsid w:val="5F273CAC"/>
    <w:rsid w:val="5F5027A2"/>
    <w:rsid w:val="61877856"/>
    <w:rsid w:val="6249287A"/>
    <w:rsid w:val="64C90076"/>
    <w:rsid w:val="65F60B40"/>
    <w:rsid w:val="66042581"/>
    <w:rsid w:val="677E43FB"/>
    <w:rsid w:val="6A0D0A67"/>
    <w:rsid w:val="6A163E39"/>
    <w:rsid w:val="6A2E5D2C"/>
    <w:rsid w:val="6C4B4ADF"/>
    <w:rsid w:val="6C63752A"/>
    <w:rsid w:val="6D4579BF"/>
    <w:rsid w:val="6D7935F9"/>
    <w:rsid w:val="6E06478D"/>
    <w:rsid w:val="6E322ED1"/>
    <w:rsid w:val="6FDC2C9B"/>
    <w:rsid w:val="6FE2671E"/>
    <w:rsid w:val="7015325F"/>
    <w:rsid w:val="71E21A2C"/>
    <w:rsid w:val="7251779C"/>
    <w:rsid w:val="738D6525"/>
    <w:rsid w:val="755358DC"/>
    <w:rsid w:val="75A504A5"/>
    <w:rsid w:val="76C635C6"/>
    <w:rsid w:val="77790D29"/>
    <w:rsid w:val="792225EC"/>
    <w:rsid w:val="79C60827"/>
    <w:rsid w:val="7A0343B8"/>
    <w:rsid w:val="7A292D70"/>
    <w:rsid w:val="7B235383"/>
    <w:rsid w:val="7BF917C8"/>
    <w:rsid w:val="7E4548B9"/>
    <w:rsid w:val="7F984CE1"/>
    <w:rsid w:val="7FE21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tabs>
        <w:tab w:val="left" w:pos="576"/>
        <w:tab w:val="left" w:pos="3276"/>
      </w:tabs>
      <w:spacing w:before="260" w:after="260" w:line="415" w:lineRule="auto"/>
      <w:ind w:left="3276" w:hanging="576"/>
      <w:outlineLvl w:val="1"/>
    </w:pPr>
    <w:rPr>
      <w:b/>
      <w:sz w:val="32"/>
    </w:rPr>
  </w:style>
  <w:style w:type="paragraph" w:styleId="6">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qFormat/>
    <w:uiPriority w:val="0"/>
    <w:pPr>
      <w:spacing w:line="360" w:lineRule="exact"/>
    </w:pPr>
    <w:rPr>
      <w:rFonts w:ascii="黑体" w:eastAsia="黑体"/>
      <w:sz w:val="28"/>
      <w:szCs w:val="20"/>
    </w:rPr>
  </w:style>
  <w:style w:type="paragraph" w:styleId="7">
    <w:name w:val="Document Map"/>
    <w:basedOn w:val="1"/>
    <w:semiHidden/>
    <w:qFormat/>
    <w:uiPriority w:val="0"/>
    <w:pPr>
      <w:shd w:val="clear" w:color="auto" w:fill="000080"/>
    </w:pPr>
  </w:style>
  <w:style w:type="paragraph" w:styleId="8">
    <w:name w:val="Body Text Indent"/>
    <w:basedOn w:val="1"/>
    <w:qFormat/>
    <w:uiPriority w:val="0"/>
    <w:pPr>
      <w:spacing w:line="360" w:lineRule="auto"/>
      <w:ind w:firstLine="480" w:firstLineChars="200"/>
    </w:pPr>
    <w:rPr>
      <w:sz w:val="24"/>
    </w:rPr>
  </w:style>
  <w:style w:type="paragraph" w:styleId="9">
    <w:name w:val="Date"/>
    <w:basedOn w:val="1"/>
    <w:next w:val="1"/>
    <w:link w:val="20"/>
    <w:qFormat/>
    <w:uiPriority w:val="0"/>
    <w:pPr>
      <w:ind w:left="100" w:leftChars="25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rPr>
  </w:style>
  <w:style w:type="paragraph" w:styleId="12">
    <w:name w:val="Normal (Web)"/>
    <w:basedOn w:val="1"/>
    <w:qFormat/>
    <w:uiPriority w:val="0"/>
    <w:pPr>
      <w:spacing w:before="100" w:beforeAutospacing="1" w:after="100" w:afterAutospacing="1"/>
      <w:jc w:val="left"/>
    </w:pPr>
    <w:rPr>
      <w:kern w:val="0"/>
      <w:sz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basedOn w:val="15"/>
    <w:qFormat/>
    <w:uiPriority w:val="0"/>
    <w:rPr>
      <w:b/>
    </w:rPr>
  </w:style>
  <w:style w:type="character" w:styleId="17">
    <w:name w:val="page number"/>
    <w:basedOn w:val="15"/>
    <w:qFormat/>
    <w:uiPriority w:val="0"/>
  </w:style>
  <w:style w:type="character" w:styleId="18">
    <w:name w:val="Emphasis"/>
    <w:qFormat/>
    <w:uiPriority w:val="20"/>
    <w:rPr>
      <w:i/>
      <w:iCs/>
    </w:rPr>
  </w:style>
  <w:style w:type="character" w:styleId="19">
    <w:name w:val="Hyperlink"/>
    <w:basedOn w:val="15"/>
    <w:qFormat/>
    <w:uiPriority w:val="0"/>
    <w:rPr>
      <w:color w:val="0000FF"/>
      <w:u w:val="single"/>
    </w:rPr>
  </w:style>
  <w:style w:type="character" w:customStyle="1" w:styleId="20">
    <w:name w:val="日期 Char"/>
    <w:link w:val="9"/>
    <w:qFormat/>
    <w:uiPriority w:val="0"/>
    <w:rPr>
      <w:kern w:val="2"/>
      <w:sz w:val="21"/>
    </w:rPr>
  </w:style>
  <w:style w:type="character" w:customStyle="1" w:styleId="21">
    <w:name w:val="mark"/>
    <w:basedOn w:val="15"/>
    <w:qFormat/>
    <w:uiPriority w:val="0"/>
  </w:style>
  <w:style w:type="paragraph" w:customStyle="1" w:styleId="22">
    <w:name w:val="表"/>
    <w:qFormat/>
    <w:uiPriority w:val="0"/>
    <w:pPr>
      <w:snapToGrid w:val="0"/>
      <w:spacing w:line="440" w:lineRule="exact"/>
      <w:jc w:val="center"/>
    </w:pPr>
    <w:rPr>
      <w:rFonts w:ascii="Times New Roman" w:hAnsi="Times New Roman" w:eastAsia="宋体" w:cs="Times New Roman"/>
      <w:kern w:val="1"/>
      <w:sz w:val="24"/>
      <w:szCs w:val="24"/>
      <w:lang w:val="en-US" w:eastAsia="ar-SA" w:bidi="ar-SA"/>
    </w:rPr>
  </w:style>
  <w:style w:type="paragraph" w:customStyle="1" w:styleId="23">
    <w:name w:val="Char Char Char Char"/>
    <w:basedOn w:val="1"/>
    <w:qFormat/>
    <w:uiPriority w:val="0"/>
  </w:style>
  <w:style w:type="paragraph" w:customStyle="1" w:styleId="24">
    <w:name w:val="Char Char Char Char Char Char"/>
    <w:basedOn w:val="7"/>
    <w:qFormat/>
    <w:uiPriority w:val="0"/>
    <w:rPr>
      <w:rFonts w:ascii="Tahoma" w:hAnsi="Tahoma"/>
      <w:sz w:val="24"/>
      <w:szCs w:val="24"/>
    </w:rPr>
  </w:style>
  <w:style w:type="paragraph" w:styleId="25">
    <w:name w:val="No Spacing"/>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26">
    <w:name w:val="msolistparagraph"/>
    <w:basedOn w:val="1"/>
    <w:qFormat/>
    <w:uiPriority w:val="0"/>
    <w:pPr>
      <w:spacing w:line="360" w:lineRule="auto"/>
      <w:ind w:firstLine="420" w:firstLineChars="200"/>
    </w:pPr>
    <w:rPr>
      <w:rFonts w:ascii="Calibri" w:hAnsi="Calibri" w:cs="Calibri"/>
      <w:szCs w:val="21"/>
    </w:rPr>
  </w:style>
  <w:style w:type="paragraph" w:customStyle="1" w:styleId="2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8">
    <w:name w:val="样式 标题 2"/>
    <w:basedOn w:val="5"/>
    <w:qFormat/>
    <w:uiPriority w:val="0"/>
    <w:rPr>
      <w:b w:val="0"/>
    </w:rPr>
  </w:style>
  <w:style w:type="paragraph" w:customStyle="1" w:styleId="29">
    <w:name w:val="样式1"/>
    <w:basedOn w:val="1"/>
    <w:qFormat/>
    <w:uiPriority w:val="0"/>
    <w:pPr>
      <w:numPr>
        <w:ilvl w:val="2"/>
        <w:numId w:val="1"/>
      </w:numPr>
      <w:tabs>
        <w:tab w:val="left" w:pos="570"/>
      </w:tabs>
      <w:spacing w:line="360" w:lineRule="auto"/>
    </w:pPr>
    <w:rPr>
      <w:rFonts w:ascii="宋体"/>
      <w:sz w:val="24"/>
    </w:rPr>
  </w:style>
  <w:style w:type="paragraph" w:customStyle="1" w:styleId="30">
    <w:name w:val="正文1"/>
    <w:basedOn w:val="1"/>
    <w:qFormat/>
    <w:uiPriority w:val="0"/>
    <w:pPr>
      <w:autoSpaceDE w:val="0"/>
      <w:spacing w:line="276" w:lineRule="auto"/>
      <w:ind w:firstLine="480" w:firstLineChars="200"/>
    </w:pPr>
    <w:rPr>
      <w:kern w:val="0"/>
      <w:sz w:val="24"/>
      <w:szCs w:val="20"/>
    </w:rPr>
  </w:style>
  <w:style w:type="paragraph" w:customStyle="1" w:styleId="31">
    <w:name w:val="Char"/>
    <w:basedOn w:val="1"/>
    <w:qFormat/>
    <w:uiPriority w:val="0"/>
    <w:pPr>
      <w:widowControl/>
      <w:spacing w:line="348" w:lineRule="auto"/>
      <w:ind w:firstLine="560" w:firstLineChars="200"/>
    </w:pPr>
    <w:rPr>
      <w:rFonts w:eastAsia="仿宋_GB2312"/>
      <w:sz w:val="28"/>
    </w:rPr>
  </w:style>
  <w:style w:type="paragraph" w:customStyle="1" w:styleId="32">
    <w:name w:val="D1"/>
    <w:basedOn w:val="1"/>
    <w:qFormat/>
    <w:uiPriority w:val="0"/>
    <w:pPr>
      <w:spacing w:line="480" w:lineRule="auto"/>
    </w:pPr>
    <w:rPr>
      <w:rFonts w:ascii="EU-F1" w:eastAsia="黑体"/>
      <w:szCs w:val="21"/>
    </w:rPr>
  </w:style>
  <w:style w:type="paragraph" w:customStyle="1" w:styleId="33">
    <w:name w:val="p0"/>
    <w:basedOn w:val="1"/>
    <w:qFormat/>
    <w:uiPriority w:val="0"/>
    <w:pPr>
      <w:widowControl/>
      <w:jc w:val="left"/>
    </w:pPr>
    <w:rPr>
      <w:rFonts w:ascii="Calibri" w:hAnsi="Calibri" w:eastAsia="Arial Unicode MS"/>
      <w:kern w:val="0"/>
      <w:szCs w:val="20"/>
    </w:rPr>
  </w:style>
  <w:style w:type="paragraph" w:customStyle="1" w:styleId="34">
    <w:name w:val="WPSOffice手动目录 1"/>
    <w:uiPriority w:val="0"/>
    <w:pPr>
      <w:ind w:leftChars="0"/>
    </w:pPr>
    <w:rPr>
      <w:sz w:val="20"/>
      <w:szCs w:val="20"/>
    </w:rPr>
  </w:style>
  <w:style w:type="paragraph" w:customStyle="1" w:styleId="35">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gold</Company>
  <Pages>5</Pages>
  <Words>2178</Words>
  <Characters>2418</Characters>
  <Lines>16</Lines>
  <Paragraphs>4</Paragraphs>
  <TotalTime>0</TotalTime>
  <ScaleCrop>false</ScaleCrop>
  <LinksUpToDate>false</LinksUpToDate>
  <CharactersWithSpaces>2445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2023-08-28T01:24:00Z</dcterms:created>
  <dc:creator>zmc</dc:creator>
  <cp:lastModifiedBy>hncsg</cp:lastModifiedBy>
  <dcterms:modified xsi:type="dcterms:W3CDTF">2025-07-22T15:25:05Z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BB8AACC7C288468990F0ADBDA38A0836</vt:lpwstr>
  </property>
  <property fmtid="{D5CDD505-2E9C-101B-9397-08002B2CF9AE}" pid="4" name="KSOTemplateDocerSaveRecord">
    <vt:lpwstr>eyJoZGlkIjoiOTBlYjA3MDdlMDk3ZGI0NzBiYjVmM2FlZjkyNzAwNmEiLCJ1c2VySWQiOiIyNDcxNDIxMjAifQ==</vt:lpwstr>
  </property>
</Properties>
</file>