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59264"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default"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绝缘油微水测试仪</w:t>
      </w: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76140"/>
        <w15:color w:val="DBDBDB"/>
        <w:docPartObj>
          <w:docPartGallery w:val="Table of Contents"/>
          <w:docPartUnique/>
        </w:docPartObj>
      </w:sdtPr>
      <w:sdtEndPr>
        <w:rPr>
          <w:rFonts w:hint="eastAsia" w:ascii="宋体" w:hAnsi="宋体" w:eastAsia="宋体" w:cs="宋体"/>
          <w:b w:val="0"/>
          <w:bCs/>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_Toc22835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_Toc22835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_Toc15690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2 </w:t>
          </w:r>
          <w:r>
            <w:rPr>
              <w:rFonts w:hint="eastAsia" w:ascii="宋体" w:hAnsi="宋体" w:eastAsia="宋体" w:cs="宋体"/>
              <w:b w:val="0"/>
              <w:bCs/>
              <w:sz w:val="28"/>
              <w:szCs w:val="28"/>
            </w:rPr>
            <w:t>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_Toc15690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_Toc16556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工作使用条件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_Toc16556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_Toc255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_Toc255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_Toc5195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_Toc5195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_Toc651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_Toc651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_Toc4244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_Toc4244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_Toc10382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_Toc10382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_Toc29965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_Toc29965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_Toc573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_Toc573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_Toc13010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_Toc13010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4"/>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_Toc18453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_Toc18453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_Toc17658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_Toc17658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35"/>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_Toc17201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_Toc17201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kern w:val="2"/>
              <w:sz w:val="28"/>
              <w:szCs w:val="28"/>
              <w:lang w:val="en-US" w:eastAsia="zh-CN" w:bidi="ar-SA"/>
            </w:rPr>
          </w:pPr>
          <w:r>
            <w:rPr>
              <w:rFonts w:hint="eastAsia" w:ascii="宋体" w:hAnsi="宋体" w:eastAsia="宋体" w:cs="宋体"/>
              <w:b w:val="0"/>
              <w:bCs/>
              <w:sz w:val="28"/>
              <w:szCs w:val="28"/>
              <w:lang w:val="en-US" w:eastAsia="zh-CN"/>
            </w:rPr>
            <w:fldChar w:fldCharType="end"/>
          </w:r>
        </w:p>
      </w:sdtContent>
    </w:sdt>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pStyle w:val="2"/>
        <w:rPr>
          <w:rFonts w:hint="eastAsia" w:ascii="宋体" w:hAnsi="宋体" w:eastAsia="宋体" w:cs="宋体"/>
          <w:b w:val="0"/>
          <w:bCs/>
          <w:kern w:val="2"/>
          <w:sz w:val="28"/>
          <w:szCs w:val="28"/>
          <w:lang w:val="en-US" w:eastAsia="zh-CN" w:bidi="ar-SA"/>
        </w:rPr>
      </w:pPr>
    </w:p>
    <w:p>
      <w:pPr>
        <w:numPr>
          <w:numId w:val="0"/>
        </w:numPr>
        <w:spacing w:line="360" w:lineRule="auto"/>
        <w:ind w:leftChars="0"/>
        <w:outlineLvl w:val="0"/>
        <w:rPr>
          <w:rFonts w:hint="eastAsia" w:ascii="宋体" w:hAnsi="宋体" w:eastAsia="宋体" w:cs="宋体"/>
          <w:b/>
          <w:sz w:val="30"/>
          <w:szCs w:val="30"/>
        </w:rPr>
      </w:pPr>
      <w:bookmarkStart w:id="0" w:name="_Toc22835"/>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w:t>
      </w:r>
      <w:r>
        <w:rPr>
          <w:rFonts w:hint="eastAsia" w:ascii="宋体" w:hAnsi="宋体" w:eastAsia="宋体" w:cs="宋体"/>
          <w:sz w:val="28"/>
          <w:szCs w:val="28"/>
          <w:lang w:val="en-US" w:eastAsia="zh-CN"/>
        </w:rPr>
        <w:t>于</w:t>
      </w:r>
      <w:r>
        <w:rPr>
          <w:rFonts w:hint="eastAsia" w:ascii="宋体" w:hAnsi="宋体" w:eastAsia="宋体" w:cs="宋体"/>
          <w:sz w:val="28"/>
          <w:szCs w:val="28"/>
        </w:rPr>
        <w:t>绝缘油微水测试仪的招标，它提出设备的功能、结构、性能、安装和试验等方面的技术要求。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rPr>
      </w:pPr>
      <w:bookmarkStart w:id="1" w:name="_Toc15690"/>
      <w:r>
        <w:rPr>
          <w:rFonts w:hint="eastAsia" w:ascii="宋体" w:hAnsi="宋体" w:eastAsia="宋体" w:cs="宋体"/>
          <w:b/>
          <w:sz w:val="30"/>
          <w:szCs w:val="30"/>
          <w:lang w:val="en-US" w:eastAsia="zh-CN"/>
        </w:rPr>
        <w:t xml:space="preserve">2 </w:t>
      </w:r>
      <w:r>
        <w:rPr>
          <w:rFonts w:hint="eastAsia" w:ascii="宋体" w:hAnsi="宋体" w:eastAsia="宋体" w:cs="宋体"/>
          <w:b/>
          <w:sz w:val="30"/>
          <w:szCs w:val="30"/>
        </w:rPr>
        <w:t>引用标准</w:t>
      </w:r>
      <w:bookmarkEnd w:id="1"/>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7595   运行中变压器油质量</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7600   运行中变压器油和汽轮机油水分含量测定法（库仑法）</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Q/CSG 1206007   电力设备检修试验规程</w:t>
      </w:r>
    </w:p>
    <w:p>
      <w:pPr>
        <w:numPr>
          <w:ilvl w:val="0"/>
          <w:numId w:val="0"/>
        </w:numPr>
        <w:spacing w:line="360" w:lineRule="auto"/>
        <w:ind w:leftChars="0"/>
        <w:outlineLvl w:val="0"/>
        <w:rPr>
          <w:rFonts w:hint="eastAsia" w:ascii="宋体" w:hAnsi="宋体" w:eastAsia="宋体" w:cs="宋体"/>
          <w:b/>
          <w:sz w:val="30"/>
          <w:szCs w:val="30"/>
        </w:rPr>
      </w:pPr>
      <w:bookmarkStart w:id="2" w:name="_Toc16556"/>
      <w:r>
        <w:rPr>
          <w:rFonts w:hint="eastAsia" w:ascii="宋体" w:hAnsi="宋体" w:eastAsia="宋体" w:cs="宋体"/>
          <w:b/>
          <w:sz w:val="30"/>
          <w:szCs w:val="30"/>
          <w:lang w:val="en-US" w:eastAsia="zh-CN"/>
        </w:rPr>
        <w:t>3 工作使用条件</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-10℃～50℃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环境湿度：&lt;</w:t>
      </w:r>
      <w:r>
        <w:rPr>
          <w:rFonts w:hint="eastAsia" w:ascii="宋体" w:hAnsi="宋体" w:eastAsia="宋体" w:cs="宋体"/>
          <w:sz w:val="28"/>
          <w:szCs w:val="28"/>
          <w:lang w:val="en-US" w:eastAsia="zh-CN"/>
        </w:rPr>
        <w:t>8</w:t>
      </w:r>
      <w:r>
        <w:rPr>
          <w:rFonts w:hint="eastAsia" w:ascii="宋体" w:hAnsi="宋体" w:eastAsia="宋体" w:cs="宋体"/>
          <w:sz w:val="28"/>
          <w:szCs w:val="28"/>
        </w:rPr>
        <w:t>0%</w:t>
      </w:r>
      <w:r>
        <w:rPr>
          <w:rFonts w:hint="eastAsia" w:ascii="宋体" w:hAnsi="宋体" w:eastAsia="宋体" w:cs="宋体"/>
          <w:sz w:val="28"/>
          <w:szCs w:val="28"/>
          <w:lang w:eastAsia="zh-CN"/>
        </w:rPr>
        <w:t>，</w:t>
      </w:r>
      <w:r>
        <w:rPr>
          <w:rFonts w:hint="eastAsia" w:ascii="宋体" w:hAnsi="宋体" w:eastAsia="宋体" w:cs="宋体"/>
          <w:sz w:val="28"/>
          <w:szCs w:val="28"/>
        </w:rPr>
        <w:t>无结露</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使用地点：室内</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3" w:name="_Toc255"/>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sz w:val="28"/>
          <w:szCs w:val="28"/>
        </w:rPr>
      </w:pPr>
      <w:bookmarkStart w:id="4" w:name="_Toc5195"/>
      <w:r>
        <w:rPr>
          <w:rFonts w:hint="eastAsia" w:ascii="宋体" w:hAnsi="宋体" w:eastAsia="宋体" w:cs="宋体"/>
          <w:b/>
          <w:sz w:val="28"/>
          <w:szCs w:val="28"/>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167008908"/>
      <w:bookmarkStart w:id="6" w:name="_Toc4556"/>
      <w:bookmarkStart w:id="7" w:name="_Toc200511818"/>
      <w:r>
        <w:rPr>
          <w:rFonts w:hint="eastAsia" w:ascii="宋体" w:hAnsi="宋体" w:eastAsia="宋体" w:cs="宋体"/>
          <w:sz w:val="28"/>
          <w:szCs w:val="28"/>
          <w:lang w:val="en-US" w:eastAsia="zh-CN"/>
        </w:rPr>
        <w:t>（1）可用于变压器油中含水量，整套系统由主机和搅拌池组成，各模块间有专用接口可直接连通，更换操作简单，可以自动抽废油排废液，无需人工抽废油排废液。</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仪器</w:t>
      </w:r>
      <w:r>
        <w:rPr>
          <w:rFonts w:hint="eastAsia" w:ascii="宋体" w:hAnsi="宋体" w:eastAsia="宋体" w:cs="宋体"/>
          <w:sz w:val="28"/>
          <w:szCs w:val="28"/>
          <w:lang w:val="en-US" w:eastAsia="zh-CN"/>
        </w:rPr>
        <w:t>能预定时间-自动开机，减少等待时间。</w:t>
      </w:r>
    </w:p>
    <w:p>
      <w:pPr>
        <w:tabs>
          <w:tab w:val="left" w:pos="1125"/>
          <w:tab w:val="left" w:pos="3960"/>
        </w:tabs>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仪器</w:t>
      </w:r>
      <w:r>
        <w:rPr>
          <w:rFonts w:hint="eastAsia" w:ascii="宋体" w:hAnsi="宋体" w:eastAsia="宋体" w:cs="宋体"/>
          <w:sz w:val="28"/>
          <w:szCs w:val="28"/>
          <w:lang w:val="en-US" w:eastAsia="zh-CN"/>
        </w:rPr>
        <w:t>采用</w:t>
      </w:r>
      <w:r>
        <w:rPr>
          <w:rFonts w:hint="eastAsia" w:ascii="宋体" w:hAnsi="宋体" w:eastAsia="宋体" w:cs="宋体"/>
          <w:sz w:val="28"/>
          <w:szCs w:val="28"/>
        </w:rPr>
        <w:t>卡尔费休库仑滴定法</w:t>
      </w:r>
      <w:r>
        <w:rPr>
          <w:rFonts w:hint="eastAsia" w:ascii="宋体" w:hAnsi="宋体" w:eastAsia="宋体" w:cs="宋体"/>
          <w:sz w:val="28"/>
          <w:szCs w:val="28"/>
          <w:lang w:val="en-US" w:eastAsia="zh-CN"/>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651"/>
      <w:r>
        <w:rPr>
          <w:rFonts w:hint="eastAsia" w:ascii="宋体" w:hAnsi="宋体" w:eastAsia="宋体" w:cs="宋体"/>
          <w:sz w:val="28"/>
          <w:szCs w:val="28"/>
        </w:rPr>
        <w:t>4.2 技术指标要求</w:t>
      </w:r>
      <w:bookmarkEnd w:id="5"/>
      <w:bookmarkEnd w:id="6"/>
      <w:bookmarkEnd w:id="7"/>
      <w:bookmarkEnd w:id="8"/>
    </w:p>
    <w:tbl>
      <w:tblPr>
        <w:tblStyle w:val="13"/>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测定方法</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rPr>
              <w:t>卡尔费休库仑滴定法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终点检测方式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连续电流极化电位差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电解电流</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400mA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滴定速度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平均2mg H2O/min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本底值选定</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自动纠正，连续显示，测试时显示选定的本底值。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水分测定范围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5μg </w:t>
            </w:r>
            <w:r>
              <w:rPr>
                <w:rFonts w:hint="eastAsia" w:ascii="宋体" w:hAnsi="宋体" w:eastAsia="宋体" w:cs="宋体"/>
                <w:sz w:val="28"/>
                <w:szCs w:val="28"/>
              </w:rPr>
              <w:t>～</w:t>
            </w:r>
            <w:r>
              <w:rPr>
                <w:rFonts w:hint="eastAsia" w:ascii="宋体" w:hAnsi="宋体" w:eastAsia="宋体" w:cs="宋体"/>
                <w:sz w:val="28"/>
                <w:szCs w:val="28"/>
                <w:lang w:val="en-US" w:eastAsia="zh-CN"/>
              </w:rPr>
              <w:t>10mg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灵敏度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0.1μg H2O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精密度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3μg（水分10μg </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100μg) ，± 5μg（水分100μg </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1000μg)， 相对标准偏差&lt; 0.5%(水分大于1mg)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搅拌方法</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磁力搅拌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计算功能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水分含量计算、数据统计、重新计算、滴定曲线再分析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打印机</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可选装热敏式打印机或击打式打印机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重量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主机+搅拌池不超过5kg</w:t>
            </w:r>
          </w:p>
        </w:tc>
      </w:tr>
    </w:tbl>
    <w:p>
      <w:pPr>
        <w:numPr>
          <w:ilvl w:val="0"/>
          <w:numId w:val="0"/>
        </w:numPr>
        <w:spacing w:line="360" w:lineRule="auto"/>
        <w:ind w:leftChars="0"/>
        <w:rPr>
          <w:rFonts w:hint="eastAsia" w:ascii="宋体" w:hAnsi="宋体" w:eastAsia="宋体" w:cs="宋体"/>
          <w:b/>
          <w:sz w:val="30"/>
          <w:szCs w:val="30"/>
          <w:lang w:val="en-US" w:eastAsia="zh-CN"/>
        </w:rPr>
      </w:pP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9" w:name="_Toc4244"/>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22"/>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widowControl/>
              <w:spacing w:before="120" w:after="120"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绝缘油微水测试仪</w:t>
            </w:r>
            <w:r>
              <w:rPr>
                <w:rFonts w:hint="eastAsia" w:ascii="宋体" w:hAnsi="宋体" w:eastAsia="宋体" w:cs="宋体"/>
                <w:kern w:val="1"/>
                <w:sz w:val="28"/>
                <w:szCs w:val="28"/>
                <w:lang w:val="en-US" w:eastAsia="zh-CN" w:bidi="ar-SA"/>
              </w:rPr>
              <w:t>（配套配件）</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卡尔费休试剂</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进样注射器</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3支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使用说明书</w:t>
            </w:r>
          </w:p>
        </w:tc>
        <w:tc>
          <w:tcPr>
            <w:tcW w:w="1853" w:type="dxa"/>
            <w:vAlign w:val="center"/>
          </w:tcPr>
          <w:p>
            <w:pPr>
              <w:pStyle w:val="22"/>
              <w:widowControl w:val="0"/>
              <w:suppressAutoHyphens/>
              <w:spacing w:line="240" w:lineRule="auto"/>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pStyle w:val="22"/>
              <w:widowControl w:val="0"/>
              <w:suppressAutoHyphens/>
              <w:spacing w:line="240" w:lineRule="auto"/>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自动抽排液</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ar-SA" w:bidi="ar-SA"/>
              </w:rPr>
              <w:t>具有CNAS资质第三方检测/校准报告</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kern w:val="1"/>
                <w:sz w:val="28"/>
                <w:szCs w:val="28"/>
                <w:lang w:val="en-US" w:eastAsia="ar-SA" w:bidi="ar-SA"/>
              </w:rPr>
              <w:t>出厂合格证</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22"/>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w:t>
            </w:r>
          </w:p>
        </w:tc>
        <w:tc>
          <w:tcPr>
            <w:tcW w:w="3595" w:type="dxa"/>
            <w:vAlign w:val="center"/>
          </w:tcPr>
          <w:p>
            <w:pPr>
              <w:spacing w:line="240" w:lineRule="auto"/>
              <w:jc w:val="center"/>
              <w:rPr>
                <w:rFonts w:hint="eastAsia" w:ascii="宋体" w:hAnsi="宋体" w:eastAsia="宋体" w:cs="宋体"/>
                <w:kern w:val="1"/>
                <w:sz w:val="28"/>
                <w:szCs w:val="28"/>
                <w:lang w:val="en-US" w:eastAsia="ar-SA" w:bidi="ar-SA"/>
              </w:rPr>
            </w:pPr>
            <w:r>
              <w:rPr>
                <w:rFonts w:hint="eastAsia" w:ascii="宋体" w:hAnsi="宋体" w:eastAsia="宋体" w:cs="宋体"/>
                <w:kern w:val="1"/>
                <w:sz w:val="28"/>
                <w:szCs w:val="28"/>
                <w:lang w:val="en-US" w:eastAsia="zh-CN" w:bidi="ar-SA"/>
              </w:rPr>
              <w:t>打印纸</w:t>
            </w:r>
          </w:p>
        </w:tc>
        <w:tc>
          <w:tcPr>
            <w:tcW w:w="1853" w:type="dxa"/>
            <w:vAlign w:val="center"/>
          </w:tcPr>
          <w:p>
            <w:pPr>
              <w:shd w:val="clear" w:color="auto" w:fill="auto"/>
              <w:topLinePunct/>
              <w:snapToGrid w:val="0"/>
              <w:spacing w:line="240" w:lineRule="auto"/>
              <w:jc w:val="center"/>
              <w:outlineLvl w:val="9"/>
              <w:rPr>
                <w:rFonts w:hint="default"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w:t>
            </w:r>
          </w:p>
        </w:tc>
        <w:tc>
          <w:tcPr>
            <w:tcW w:w="2214" w:type="dxa"/>
            <w:vAlign w:val="center"/>
          </w:tcPr>
          <w:p>
            <w:pPr>
              <w:shd w:val="clear" w:color="auto" w:fill="auto"/>
              <w:topLinePunct/>
              <w:snapToGrid w:val="0"/>
              <w:spacing w:line="240" w:lineRule="auto"/>
              <w:jc w:val="center"/>
              <w:outlineLvl w:val="9"/>
              <w:rPr>
                <w:rFonts w:hint="eastAsia" w:ascii="宋体" w:hAnsi="宋体" w:eastAsia="宋体" w:cs="宋体"/>
                <w:kern w:val="1"/>
                <w:sz w:val="28"/>
                <w:szCs w:val="28"/>
                <w:lang w:val="en-US" w:eastAsia="zh-CN" w:bidi="ar-SA"/>
              </w:rPr>
            </w:pPr>
            <w:r>
              <w:rPr>
                <w:rFonts w:hint="eastAsia" w:ascii="宋体" w:hAnsi="宋体" w:eastAsia="宋体" w:cs="宋体"/>
                <w:kern w:val="1"/>
                <w:sz w:val="28"/>
                <w:szCs w:val="28"/>
                <w:lang w:val="en-US" w:eastAsia="zh-CN" w:bidi="ar-SA"/>
              </w:rPr>
              <w:t>5个</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6348"/>
      <w:bookmarkStart w:id="11" w:name="_Toc10357"/>
      <w:bookmarkStart w:id="12" w:name="_Toc28845"/>
      <w:bookmarkStart w:id="13" w:name="_Toc12038"/>
      <w:bookmarkStart w:id="14" w:name="_Toc22926"/>
      <w:bookmarkStart w:id="15" w:name="_Toc10382"/>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31053"/>
      <w:bookmarkStart w:id="17" w:name="_Toc23336"/>
      <w:bookmarkStart w:id="18" w:name="_Toc19111"/>
      <w:bookmarkStart w:id="19" w:name="_Toc11534"/>
      <w:bookmarkStart w:id="20" w:name="_Toc16264"/>
      <w:bookmarkStart w:id="21" w:name="_Toc18597"/>
      <w:bookmarkStart w:id="22" w:name="_Toc29965"/>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29029"/>
      <w:bookmarkStart w:id="25" w:name="_Toc18435"/>
      <w:bookmarkStart w:id="26" w:name="_Toc16249"/>
      <w:bookmarkStart w:id="27" w:name="_Toc3099"/>
      <w:bookmarkStart w:id="28" w:name="_Toc31014"/>
      <w:bookmarkStart w:id="29" w:name="_Toc18060"/>
      <w:bookmarkStart w:id="30" w:name="_Toc573"/>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4614"/>
      <w:bookmarkStart w:id="34" w:name="_Toc430"/>
      <w:bookmarkStart w:id="35" w:name="_Toc5683"/>
      <w:bookmarkStart w:id="36" w:name="_Toc12501"/>
      <w:bookmarkStart w:id="37" w:name="_Toc17905"/>
      <w:bookmarkStart w:id="38" w:name="_Toc6783"/>
      <w:bookmarkStart w:id="39" w:name="_Toc13010"/>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33"/>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33"/>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33"/>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26867"/>
      <w:bookmarkStart w:id="44" w:name="_Toc10568"/>
      <w:bookmarkStart w:id="45" w:name="_Toc3624"/>
      <w:bookmarkStart w:id="46" w:name="_Toc2928"/>
      <w:bookmarkStart w:id="47" w:name="_Toc7428"/>
      <w:bookmarkStart w:id="48" w:name="_Toc25839"/>
      <w:bookmarkStart w:id="49" w:name="_Toc18453"/>
      <w:r>
        <w:rPr>
          <w:rFonts w:hint="default" w:ascii="Times New Roman" w:hAnsi="Times New Roman" w:eastAsia="宋体" w:cs="Times New Roman"/>
          <w:b/>
          <w:bCs w:val="0"/>
          <w:kern w:val="2"/>
          <w:sz w:val="30"/>
          <w:szCs w:val="30"/>
          <w:lang w:val="en-US" w:eastAsia="zh-CN" w:bidi="ar-SA"/>
        </w:rPr>
        <w:t>8 验收</w:t>
      </w:r>
      <w:bookmarkStart w:id="50" w:name="_Toc387612874"/>
      <w:bookmarkStart w:id="51" w:name="_Toc39008869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387612875"/>
      <w:bookmarkStart w:id="54" w:name="_Toc341535612"/>
      <w:bookmarkStart w:id="55" w:name="_Toc257812191"/>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16533"/>
      <w:bookmarkStart w:id="57" w:name="_Toc7867"/>
      <w:bookmarkStart w:id="58" w:name="_Toc27907"/>
      <w:bookmarkStart w:id="59" w:name="_Toc19273"/>
      <w:bookmarkStart w:id="60" w:name="_Toc23903"/>
      <w:bookmarkStart w:id="61" w:name="_Toc22741"/>
      <w:bookmarkStart w:id="62" w:name="_Toc17658"/>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33"/>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257812192"/>
      <w:bookmarkStart w:id="65" w:name="_Toc341535616"/>
      <w:bookmarkStart w:id="66" w:name="_Toc387612876"/>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5236"/>
      <w:bookmarkStart w:id="68" w:name="_Toc22068"/>
      <w:bookmarkStart w:id="69" w:name="_Toc1461"/>
      <w:bookmarkStart w:id="70" w:name="_Toc17828"/>
      <w:bookmarkStart w:id="71" w:name="_Toc9650"/>
      <w:bookmarkStart w:id="72" w:name="_Toc15384"/>
      <w:bookmarkStart w:id="73" w:name="_Toc17201"/>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EU-F1">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2880" w:firstLineChars="1600"/>
      <w:jc w:val="both"/>
      <w:rPr>
        <w:rFonts w:hint="eastAsia" w:ascii="宋体" w:hAnsi="宋体"/>
      </w:rPr>
    </w:pPr>
    <w:r>
      <w:rPr>
        <w:rFonts w:hint="eastAsia" w:ascii="宋体" w:hAnsi="宋体"/>
      </w:rPr>
      <w:t xml:space="preserve">                           </w:t>
    </w:r>
    <w:r>
      <w:rPr>
        <w:rFonts w:hint="eastAsia" w:ascii="宋体" w:hAnsi="宋体"/>
        <w:lang w:val="en-US" w:eastAsia="zh-CN"/>
      </w:rPr>
      <w:t xml:space="preserve">   </w:t>
    </w:r>
    <w:r>
      <w:rPr>
        <w:rFonts w:hint="eastAsia" w:ascii="宋体" w:hAnsi="宋体"/>
      </w:rPr>
      <w:t>变电专业绝缘油微水测试仪技术规范书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796E71"/>
    <w:multiLevelType w:val="singleLevel"/>
    <w:tmpl w:val="3E796E71"/>
    <w:lvl w:ilvl="0" w:tentative="0">
      <w:start w:val="1"/>
      <w:numFmt w:val="decimal"/>
      <w:lvlText w:val="%1、"/>
      <w:lvlJc w:val="left"/>
      <w:pPr>
        <w:tabs>
          <w:tab w:val="left" w:pos="570"/>
        </w:tabs>
        <w:ind w:left="57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cumentProtection w:enforcement="0"/>
  <w:defaultTabStop w:val="420"/>
  <w:drawingGridHorizontalSpacing w:val="105"/>
  <w:drawingGridVerticalSpacing w:val="143"/>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2A97FD3"/>
    <w:rsid w:val="039970F0"/>
    <w:rsid w:val="04B85A8C"/>
    <w:rsid w:val="05146BBE"/>
    <w:rsid w:val="05B7374B"/>
    <w:rsid w:val="06C83369"/>
    <w:rsid w:val="06F74250"/>
    <w:rsid w:val="06FC1FE4"/>
    <w:rsid w:val="073440CA"/>
    <w:rsid w:val="083B22E9"/>
    <w:rsid w:val="09DA6CE5"/>
    <w:rsid w:val="0AA06A69"/>
    <w:rsid w:val="0B1D612C"/>
    <w:rsid w:val="0B9E7B3E"/>
    <w:rsid w:val="0BAC324C"/>
    <w:rsid w:val="0BBD0B5D"/>
    <w:rsid w:val="0BD92CA9"/>
    <w:rsid w:val="0D09760B"/>
    <w:rsid w:val="0D0A5F71"/>
    <w:rsid w:val="0DF84B27"/>
    <w:rsid w:val="0E4C7BE5"/>
    <w:rsid w:val="0ED04650"/>
    <w:rsid w:val="117656A1"/>
    <w:rsid w:val="11C76314"/>
    <w:rsid w:val="11F81621"/>
    <w:rsid w:val="121A5772"/>
    <w:rsid w:val="122703EF"/>
    <w:rsid w:val="129375E2"/>
    <w:rsid w:val="1364719A"/>
    <w:rsid w:val="13A0311A"/>
    <w:rsid w:val="14AE74C4"/>
    <w:rsid w:val="152A59B2"/>
    <w:rsid w:val="157E633F"/>
    <w:rsid w:val="17247B54"/>
    <w:rsid w:val="17E9578A"/>
    <w:rsid w:val="196A1CCC"/>
    <w:rsid w:val="19D2065E"/>
    <w:rsid w:val="19F05946"/>
    <w:rsid w:val="1A050DE8"/>
    <w:rsid w:val="1B5F7121"/>
    <w:rsid w:val="1E476C31"/>
    <w:rsid w:val="206C32B1"/>
    <w:rsid w:val="20A85646"/>
    <w:rsid w:val="22783F62"/>
    <w:rsid w:val="22F56ECA"/>
    <w:rsid w:val="23846F1A"/>
    <w:rsid w:val="26301520"/>
    <w:rsid w:val="264B09E7"/>
    <w:rsid w:val="29253C5F"/>
    <w:rsid w:val="292B071C"/>
    <w:rsid w:val="2A9F08C1"/>
    <w:rsid w:val="2D5F3BEA"/>
    <w:rsid w:val="2D8017AD"/>
    <w:rsid w:val="2DAD1295"/>
    <w:rsid w:val="2E2C79CF"/>
    <w:rsid w:val="2F82055E"/>
    <w:rsid w:val="3015100B"/>
    <w:rsid w:val="313D7D42"/>
    <w:rsid w:val="32B02F4F"/>
    <w:rsid w:val="32ED7EDB"/>
    <w:rsid w:val="33515420"/>
    <w:rsid w:val="3459654B"/>
    <w:rsid w:val="35724440"/>
    <w:rsid w:val="35E67CC2"/>
    <w:rsid w:val="35EA73E3"/>
    <w:rsid w:val="37130BEA"/>
    <w:rsid w:val="397E1DFD"/>
    <w:rsid w:val="398B33E3"/>
    <w:rsid w:val="3AF505AA"/>
    <w:rsid w:val="3B007723"/>
    <w:rsid w:val="3B3E176C"/>
    <w:rsid w:val="3EB65EA7"/>
    <w:rsid w:val="3F306184"/>
    <w:rsid w:val="404B1F88"/>
    <w:rsid w:val="40707CB9"/>
    <w:rsid w:val="407946F1"/>
    <w:rsid w:val="4592285F"/>
    <w:rsid w:val="45FA704D"/>
    <w:rsid w:val="461061B1"/>
    <w:rsid w:val="46122A69"/>
    <w:rsid w:val="47C14A44"/>
    <w:rsid w:val="48935017"/>
    <w:rsid w:val="48FD0081"/>
    <w:rsid w:val="49520D56"/>
    <w:rsid w:val="49A73E15"/>
    <w:rsid w:val="4C2C0CD0"/>
    <w:rsid w:val="4C6B6707"/>
    <w:rsid w:val="4CC534FF"/>
    <w:rsid w:val="4CD8739E"/>
    <w:rsid w:val="4CF47715"/>
    <w:rsid w:val="4D442103"/>
    <w:rsid w:val="4D605863"/>
    <w:rsid w:val="4DE24485"/>
    <w:rsid w:val="4DF86C87"/>
    <w:rsid w:val="4F6D5E17"/>
    <w:rsid w:val="52873053"/>
    <w:rsid w:val="53176A9C"/>
    <w:rsid w:val="53F40CBE"/>
    <w:rsid w:val="542A117B"/>
    <w:rsid w:val="546F3F6B"/>
    <w:rsid w:val="54F112A5"/>
    <w:rsid w:val="559336C4"/>
    <w:rsid w:val="56DD1F1C"/>
    <w:rsid w:val="585B5B7A"/>
    <w:rsid w:val="595744CF"/>
    <w:rsid w:val="5C4A0F7A"/>
    <w:rsid w:val="5CDD10BF"/>
    <w:rsid w:val="5D3F5BD6"/>
    <w:rsid w:val="5E052881"/>
    <w:rsid w:val="5F273CAC"/>
    <w:rsid w:val="5F5027A2"/>
    <w:rsid w:val="61877856"/>
    <w:rsid w:val="6249287A"/>
    <w:rsid w:val="62D17DD9"/>
    <w:rsid w:val="63AC768A"/>
    <w:rsid w:val="64C90076"/>
    <w:rsid w:val="65F60B40"/>
    <w:rsid w:val="66042581"/>
    <w:rsid w:val="66C37AA5"/>
    <w:rsid w:val="677E43FB"/>
    <w:rsid w:val="6A0D0A67"/>
    <w:rsid w:val="6A163E39"/>
    <w:rsid w:val="6A2E5D2C"/>
    <w:rsid w:val="6C4B4ADF"/>
    <w:rsid w:val="6C63752A"/>
    <w:rsid w:val="6D4579BF"/>
    <w:rsid w:val="6D7935F9"/>
    <w:rsid w:val="6E06478D"/>
    <w:rsid w:val="6E322ED1"/>
    <w:rsid w:val="6EC13E24"/>
    <w:rsid w:val="6FDC2C9B"/>
    <w:rsid w:val="7015325F"/>
    <w:rsid w:val="71E21A2C"/>
    <w:rsid w:val="738D6525"/>
    <w:rsid w:val="755358DC"/>
    <w:rsid w:val="75A504A5"/>
    <w:rsid w:val="76C635C6"/>
    <w:rsid w:val="77790D29"/>
    <w:rsid w:val="785E3A65"/>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7">
    <w:name w:val="Document Map"/>
    <w:basedOn w:val="1"/>
    <w:semiHidden/>
    <w:qFormat/>
    <w:uiPriority w:val="0"/>
    <w:pPr>
      <w:shd w:val="clear" w:color="auto" w:fill="000080"/>
    </w:pPr>
  </w:style>
  <w:style w:type="paragraph" w:styleId="8">
    <w:name w:val="Body Text Indent"/>
    <w:basedOn w:val="1"/>
    <w:qFormat/>
    <w:uiPriority w:val="0"/>
    <w:pPr>
      <w:spacing w:line="360" w:lineRule="auto"/>
      <w:ind w:firstLine="480" w:firstLineChars="200"/>
    </w:pPr>
    <w:rPr>
      <w:sz w:val="24"/>
    </w:rPr>
  </w:style>
  <w:style w:type="paragraph" w:styleId="9">
    <w:name w:val="Date"/>
    <w:basedOn w:val="1"/>
    <w:next w:val="1"/>
    <w:link w:val="20"/>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rPr>
  </w:style>
  <w:style w:type="paragraph" w:styleId="12">
    <w:name w:val="Normal (Web)"/>
    <w:basedOn w:val="1"/>
    <w:qFormat/>
    <w:uiPriority w:val="0"/>
    <w:pPr>
      <w:spacing w:before="100" w:beforeAutospacing="1" w:after="100" w:afterAutospacing="1"/>
      <w:jc w:val="left"/>
    </w:pPr>
    <w:rPr>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page number"/>
    <w:basedOn w:val="15"/>
    <w:qFormat/>
    <w:uiPriority w:val="0"/>
  </w:style>
  <w:style w:type="character" w:styleId="18">
    <w:name w:val="Emphasis"/>
    <w:qFormat/>
    <w:uiPriority w:val="20"/>
    <w:rPr>
      <w:i/>
      <w:iCs/>
    </w:rPr>
  </w:style>
  <w:style w:type="character" w:styleId="19">
    <w:name w:val="Hyperlink"/>
    <w:basedOn w:val="15"/>
    <w:qFormat/>
    <w:uiPriority w:val="0"/>
    <w:rPr>
      <w:color w:val="0000FF"/>
      <w:u w:val="single"/>
    </w:rPr>
  </w:style>
  <w:style w:type="character" w:customStyle="1" w:styleId="20">
    <w:name w:val="日期 Char"/>
    <w:link w:val="9"/>
    <w:qFormat/>
    <w:uiPriority w:val="0"/>
    <w:rPr>
      <w:kern w:val="2"/>
      <w:sz w:val="21"/>
    </w:rPr>
  </w:style>
  <w:style w:type="character" w:customStyle="1" w:styleId="21">
    <w:name w:val="mark"/>
    <w:basedOn w:val="15"/>
    <w:qFormat/>
    <w:uiPriority w:val="0"/>
  </w:style>
  <w:style w:type="paragraph" w:customStyle="1" w:styleId="22">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3">
    <w:name w:val="Char Char Char Char"/>
    <w:basedOn w:val="1"/>
    <w:qFormat/>
    <w:uiPriority w:val="0"/>
  </w:style>
  <w:style w:type="paragraph" w:customStyle="1" w:styleId="24">
    <w:name w:val="Char Char Char Char Char Char"/>
    <w:basedOn w:val="7"/>
    <w:qFormat/>
    <w:uiPriority w:val="0"/>
    <w:rPr>
      <w:rFonts w:ascii="Tahoma" w:hAnsi="Tahoma"/>
      <w:sz w:val="24"/>
      <w:szCs w:val="24"/>
    </w:rPr>
  </w:style>
  <w:style w:type="paragraph" w:styleId="25">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6">
    <w:name w:val="msolistparagraph"/>
    <w:basedOn w:val="1"/>
    <w:qFormat/>
    <w:uiPriority w:val="0"/>
    <w:pPr>
      <w:spacing w:line="360" w:lineRule="auto"/>
      <w:ind w:firstLine="420" w:firstLineChars="200"/>
    </w:pPr>
    <w:rPr>
      <w:rFonts w:ascii="Calibri" w:hAnsi="Calibri" w:cs="Calibri"/>
      <w:szCs w:val="21"/>
    </w:rPr>
  </w:style>
  <w:style w:type="paragraph" w:customStyle="1" w:styleId="2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样式 标题 2"/>
    <w:basedOn w:val="5"/>
    <w:qFormat/>
    <w:uiPriority w:val="0"/>
    <w:rPr>
      <w:b w:val="0"/>
    </w:rPr>
  </w:style>
  <w:style w:type="paragraph" w:customStyle="1" w:styleId="29">
    <w:name w:val="样式1"/>
    <w:basedOn w:val="1"/>
    <w:qFormat/>
    <w:uiPriority w:val="0"/>
    <w:pPr>
      <w:numPr>
        <w:ilvl w:val="2"/>
        <w:numId w:val="1"/>
      </w:numPr>
      <w:tabs>
        <w:tab w:val="left" w:pos="570"/>
      </w:tabs>
      <w:spacing w:line="360" w:lineRule="auto"/>
    </w:pPr>
    <w:rPr>
      <w:rFonts w:ascii="宋体"/>
      <w:sz w:val="24"/>
    </w:rPr>
  </w:style>
  <w:style w:type="paragraph" w:customStyle="1" w:styleId="30">
    <w:name w:val="正文1"/>
    <w:basedOn w:val="1"/>
    <w:qFormat/>
    <w:uiPriority w:val="0"/>
    <w:pPr>
      <w:autoSpaceDE w:val="0"/>
      <w:spacing w:line="276" w:lineRule="auto"/>
      <w:ind w:firstLine="480" w:firstLineChars="200"/>
    </w:pPr>
    <w:rPr>
      <w:kern w:val="0"/>
      <w:sz w:val="24"/>
      <w:szCs w:val="20"/>
    </w:rPr>
  </w:style>
  <w:style w:type="paragraph" w:customStyle="1" w:styleId="31">
    <w:name w:val="Char"/>
    <w:basedOn w:val="1"/>
    <w:qFormat/>
    <w:uiPriority w:val="0"/>
    <w:pPr>
      <w:widowControl/>
      <w:spacing w:line="348" w:lineRule="auto"/>
      <w:ind w:firstLine="560" w:firstLineChars="200"/>
    </w:pPr>
    <w:rPr>
      <w:rFonts w:eastAsia="仿宋_GB2312"/>
      <w:sz w:val="28"/>
    </w:rPr>
  </w:style>
  <w:style w:type="paragraph" w:customStyle="1" w:styleId="32">
    <w:name w:val="D1"/>
    <w:basedOn w:val="1"/>
    <w:qFormat/>
    <w:uiPriority w:val="0"/>
    <w:pPr>
      <w:spacing w:line="480" w:lineRule="auto"/>
    </w:pPr>
    <w:rPr>
      <w:rFonts w:ascii="EU-F1" w:eastAsia="黑体"/>
      <w:szCs w:val="21"/>
    </w:rPr>
  </w:style>
  <w:style w:type="paragraph" w:customStyle="1" w:styleId="33">
    <w:name w:val="p0"/>
    <w:basedOn w:val="1"/>
    <w:qFormat/>
    <w:uiPriority w:val="0"/>
    <w:pPr>
      <w:widowControl/>
      <w:jc w:val="left"/>
    </w:pPr>
    <w:rPr>
      <w:rFonts w:ascii="Calibri" w:hAnsi="Calibri" w:eastAsia="Arial Unicode MS"/>
      <w:kern w:val="0"/>
      <w:szCs w:val="20"/>
    </w:rPr>
  </w:style>
  <w:style w:type="paragraph" w:customStyle="1" w:styleId="34">
    <w:name w:val="WPSOffice手动目录 1"/>
    <w:uiPriority w:val="0"/>
    <w:pPr>
      <w:ind w:leftChars="0"/>
    </w:pPr>
    <w:rPr>
      <w:sz w:val="20"/>
      <w:szCs w:val="20"/>
    </w:rPr>
  </w:style>
  <w:style w:type="paragraph" w:customStyle="1" w:styleId="35">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4</Pages>
  <Words>839</Words>
  <Characters>930</Characters>
  <Lines>16</Lines>
  <Paragraphs>4</Paragraphs>
  <TotalTime>0</TotalTime>
  <ScaleCrop>false</ScaleCrop>
  <LinksUpToDate>false</LinksUpToDate>
  <CharactersWithSpaces>949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2025-07-23T01:58:59Z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eyJoZGlkIjoiMmNkMTBiNDUyMmI4YzMwMzk2ZTExNTQyOTQ2ZjQ0ZjciLCJ1c2VySWQiOiIzNDI4MjcyNzIifQ==</vt:lpwstr>
  </property>
</Properties>
</file>