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击穿电压测试仪</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1157"/>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rPr>
              <w:rFonts w:hint="eastAsia"/>
              <w:lang w:eastAsia="zh-CN"/>
            </w:rPr>
          </w:pP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_Toc22858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_Toc22858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_Toc17515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_Toc17515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_Toc14887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_Toc14887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_Toc14533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_Toc14533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_Toc19942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_Toc19942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_Toc2624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_Toc2624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_Toc5615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_Toc5615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_Toc21728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_Toc21728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_Toc17793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_Toc17793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_Toc12526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_Toc12526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_Toc9642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_Toc9642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_Toc5532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_Toc5532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_Toc16834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_Toc16834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_Toc22032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_Toc22032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22858"/>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击穿电压测试仪的招标，它提出设备的功能、结构、性能、安装和试验等方面的技术要求。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w:t>
      </w:r>
      <w:r>
        <w:rPr>
          <w:rFonts w:hint="eastAsia" w:ascii="宋体" w:hAnsi="宋体" w:eastAsia="宋体" w:cs="宋体"/>
          <w:sz w:val="28"/>
          <w:szCs w:val="28"/>
        </w:rPr>
        <w:t>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17515"/>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 7595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运行中变压器油质量</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kern w:val="0"/>
          <w:sz w:val="28"/>
          <w:szCs w:val="28"/>
        </w:rPr>
        <w:t>GB/T</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507</w:t>
      </w:r>
      <w:r>
        <w:rPr>
          <w:rFonts w:hint="eastAsia" w:ascii="宋体" w:hAnsi="宋体" w:eastAsia="宋体" w:cs="宋体"/>
          <w:sz w:val="28"/>
          <w:szCs w:val="28"/>
          <w:lang w:val="en-US" w:eastAsia="zh-CN"/>
        </w:rPr>
        <w:t xml:space="preserve">   </w:t>
      </w:r>
      <w:r>
        <w:rPr>
          <w:rFonts w:hint="eastAsia" w:ascii="宋体" w:hAnsi="宋体" w:eastAsia="宋体" w:cs="宋体"/>
          <w:kern w:val="0"/>
          <w:sz w:val="28"/>
          <w:szCs w:val="28"/>
        </w:rPr>
        <w:t>绝缘油击穿电压测定法</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kern w:val="0"/>
          <w:sz w:val="28"/>
          <w:szCs w:val="28"/>
        </w:rPr>
        <w:t>DLT 429.9</w:t>
      </w:r>
      <w:r>
        <w:rPr>
          <w:rFonts w:hint="eastAsia" w:ascii="宋体" w:hAnsi="宋体" w:eastAsia="宋体" w:cs="宋体"/>
          <w:kern w:val="0"/>
          <w:sz w:val="28"/>
          <w:szCs w:val="28"/>
          <w:lang w:val="en-US" w:eastAsia="zh-CN"/>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kern w:val="0"/>
          <w:sz w:val="28"/>
          <w:szCs w:val="28"/>
        </w:rPr>
        <w:t>电力系统油质试验方法－绝缘油介电强度测定法</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rPr>
        <w:t>IEC 60156</w:t>
      </w:r>
      <w:r>
        <w:rPr>
          <w:rFonts w:hint="eastAsia" w:ascii="宋体" w:hAnsi="宋体" w:eastAsia="宋体" w:cs="宋体"/>
          <w:sz w:val="28"/>
          <w:szCs w:val="28"/>
          <w:lang w:val="en-US" w:eastAsia="zh-CN"/>
        </w:rPr>
        <w:t xml:space="preserve">  </w:t>
      </w:r>
      <w:r>
        <w:rPr>
          <w:rFonts w:hint="eastAsia" w:ascii="宋体" w:hAnsi="宋体" w:eastAsia="宋体" w:cs="宋体"/>
          <w:color w:val="000000"/>
          <w:sz w:val="28"/>
          <w:szCs w:val="28"/>
        </w:rPr>
        <w:t>绝缘液体.电源频率击穿电压的测定</w:t>
      </w:r>
    </w:p>
    <w:p>
      <w:pPr>
        <w:numPr>
          <w:ilvl w:val="0"/>
          <w:numId w:val="0"/>
        </w:numPr>
        <w:spacing w:line="360" w:lineRule="auto"/>
        <w:ind w:leftChars="0"/>
        <w:outlineLvl w:val="0"/>
        <w:rPr>
          <w:rFonts w:hint="eastAsia" w:ascii="宋体" w:hAnsi="宋体" w:eastAsia="宋体" w:cs="宋体"/>
          <w:b/>
          <w:sz w:val="30"/>
          <w:szCs w:val="30"/>
        </w:rPr>
      </w:pPr>
      <w:bookmarkStart w:id="2" w:name="_Toc14887"/>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 w:val="28"/>
          <w:szCs w:val="28"/>
          <w:lang w:val="en-US" w:eastAsia="zh-CN"/>
        </w:rPr>
        <w:t>45</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环境湿度：&lt;</w:t>
      </w:r>
      <w:r>
        <w:rPr>
          <w:rFonts w:hint="eastAsia" w:ascii="宋体" w:hAnsi="宋体" w:eastAsia="宋体" w:cs="宋体"/>
          <w:sz w:val="28"/>
          <w:szCs w:val="28"/>
          <w:lang w:val="en-US" w:eastAsia="zh-CN"/>
        </w:rPr>
        <w:t>9</w:t>
      </w:r>
      <w:r>
        <w:rPr>
          <w:rFonts w:hint="eastAsia" w:ascii="宋体" w:hAnsi="宋体" w:eastAsia="宋体" w:cs="宋体"/>
          <w:sz w:val="28"/>
          <w:szCs w:val="28"/>
        </w:rPr>
        <w:t>0%无结露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14533"/>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19942"/>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200511818"/>
      <w:bookmarkStart w:id="6" w:name="_Toc167008908"/>
      <w:bookmarkStart w:id="7" w:name="_Toc4556"/>
      <w:r>
        <w:rPr>
          <w:rFonts w:hint="eastAsia" w:ascii="宋体" w:hAnsi="宋体" w:eastAsia="宋体" w:cs="宋体"/>
          <w:sz w:val="28"/>
          <w:szCs w:val="28"/>
          <w:lang w:val="en-US" w:eastAsia="zh-CN"/>
        </w:rPr>
        <w:t>（1）可用于变压器油</w:t>
      </w:r>
      <w:r>
        <w:rPr>
          <w:rFonts w:hint="eastAsia" w:ascii="宋体" w:hAnsi="宋体" w:eastAsia="宋体" w:cs="宋体"/>
          <w:sz w:val="28"/>
          <w:szCs w:val="28"/>
        </w:rPr>
        <w:t>包括矿物油、硅油和脂内油在内的油介质进行重复击穿测量</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2</w:t>
      </w:r>
      <w:r>
        <w:rPr>
          <w:rFonts w:hint="eastAsia" w:ascii="宋体" w:hAnsi="宋体" w:eastAsia="宋体" w:cs="宋体"/>
          <w:bCs/>
          <w:sz w:val="28"/>
          <w:szCs w:val="28"/>
          <w:lang w:eastAsia="zh-CN"/>
        </w:rPr>
        <w:t>）</w:t>
      </w:r>
      <w:r>
        <w:rPr>
          <w:rFonts w:hint="eastAsia" w:ascii="宋体" w:hAnsi="宋体" w:eastAsia="宋体" w:cs="宋体"/>
          <w:bCs/>
          <w:sz w:val="28"/>
          <w:szCs w:val="28"/>
        </w:rPr>
        <w:t>通过即时崩溃监控技术和高精度的测量原理在高压部分进行击穿识别</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可直接测量输出电压,检测击穿电压</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自动测量。全自动执行符合各种国际和国内标准的检测流程</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集成式传感器, 开机时高压输出电压进行自检</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测量数据自动显示并可即时打印，并可通过连接软件自动读取和管理</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7</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保护罩内置联锁开关、接触外壳时高压切断功能；确保仪器和操作人员安全</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8</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采用金属屏蔽保护盖、EMC 屏蔽功能，可防止对附近的电子仪器造成干扰</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操作按钮、控制键盘具有</w:t>
      </w:r>
      <w:r>
        <w:rPr>
          <w:rFonts w:hint="eastAsia" w:ascii="宋体" w:hAnsi="宋体" w:eastAsia="宋体" w:cs="宋体"/>
          <w:bCs/>
          <w:sz w:val="28"/>
          <w:szCs w:val="28"/>
        </w:rPr>
        <w:t>防油功能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10</w:t>
      </w:r>
      <w:r>
        <w:rPr>
          <w:rFonts w:hint="eastAsia" w:ascii="宋体" w:hAnsi="宋体" w:eastAsia="宋体" w:cs="宋体"/>
          <w:bCs/>
          <w:sz w:val="28"/>
          <w:szCs w:val="28"/>
          <w:lang w:eastAsia="zh-CN"/>
        </w:rPr>
        <w:t>）</w:t>
      </w:r>
      <w:r>
        <w:rPr>
          <w:rFonts w:hint="eastAsia" w:ascii="宋体" w:hAnsi="宋体" w:eastAsia="宋体" w:cs="宋体"/>
          <w:bCs/>
          <w:sz w:val="28"/>
          <w:szCs w:val="28"/>
        </w:rPr>
        <w:t>测量油杯</w:t>
      </w:r>
      <w:r>
        <w:rPr>
          <w:rFonts w:hint="eastAsia" w:ascii="宋体" w:hAnsi="宋体" w:eastAsia="宋体" w:cs="宋体"/>
          <w:bCs/>
          <w:sz w:val="28"/>
          <w:szCs w:val="28"/>
          <w:lang w:val="en-US" w:eastAsia="zh-CN"/>
        </w:rPr>
        <w:t>应</w:t>
      </w:r>
      <w:r>
        <w:rPr>
          <w:rFonts w:hint="eastAsia" w:ascii="宋体" w:hAnsi="宋体" w:eastAsia="宋体" w:cs="宋体"/>
          <w:bCs/>
          <w:sz w:val="28"/>
          <w:szCs w:val="28"/>
        </w:rPr>
        <w:t>符合IEC 60156标准要求</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11</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应</w:t>
      </w:r>
      <w:r>
        <w:rPr>
          <w:rFonts w:hint="eastAsia" w:ascii="宋体" w:hAnsi="宋体" w:eastAsia="宋体" w:cs="宋体"/>
          <w:color w:val="000000"/>
          <w:sz w:val="28"/>
          <w:szCs w:val="28"/>
        </w:rPr>
        <w:t>配置</w:t>
      </w:r>
      <w:r>
        <w:rPr>
          <w:rFonts w:hint="eastAsia" w:ascii="宋体" w:hAnsi="宋体" w:eastAsia="宋体" w:cs="宋体"/>
          <w:bCs/>
          <w:sz w:val="28"/>
          <w:szCs w:val="28"/>
        </w:rPr>
        <w:t>游标卡尺间距调节和塞规、USB接口，调节过程警报提醒功能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12</w:t>
      </w:r>
      <w:r>
        <w:rPr>
          <w:rFonts w:hint="eastAsia" w:ascii="宋体" w:hAnsi="宋体" w:eastAsia="宋体" w:cs="宋体"/>
          <w:bCs/>
          <w:sz w:val="28"/>
          <w:szCs w:val="28"/>
          <w:lang w:eastAsia="zh-CN"/>
        </w:rPr>
        <w:t>）</w:t>
      </w:r>
      <w:r>
        <w:rPr>
          <w:rFonts w:hint="eastAsia" w:ascii="宋体" w:hAnsi="宋体" w:eastAsia="宋体" w:cs="宋体"/>
          <w:bCs/>
          <w:sz w:val="28"/>
          <w:szCs w:val="28"/>
        </w:rPr>
        <w:t>彩色LED显示，</w:t>
      </w:r>
      <w:r>
        <w:rPr>
          <w:rFonts w:hint="eastAsia" w:ascii="宋体" w:hAnsi="宋体" w:eastAsia="宋体" w:cs="宋体"/>
          <w:color w:val="000000"/>
          <w:sz w:val="28"/>
          <w:szCs w:val="28"/>
        </w:rPr>
        <w:t>至少</w:t>
      </w: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种语言可选择，包含：简体中文、英语等</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13</w:t>
      </w: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应具备</w:t>
      </w:r>
      <w:r>
        <w:rPr>
          <w:rFonts w:hint="eastAsia" w:ascii="宋体" w:hAnsi="宋体" w:eastAsia="宋体" w:cs="宋体"/>
          <w:bCs/>
          <w:sz w:val="28"/>
          <w:szCs w:val="28"/>
        </w:rPr>
        <w:t>设备故障代码提醒功能，有准确的代码故障类型说明</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2624"/>
      <w:r>
        <w:rPr>
          <w:rFonts w:hint="eastAsia" w:ascii="宋体" w:hAnsi="宋体" w:eastAsia="宋体" w:cs="宋体"/>
          <w:sz w:val="28"/>
          <w:szCs w:val="28"/>
        </w:rPr>
        <w:t>4.2 技术指标要求</w:t>
      </w:r>
      <w:bookmarkEnd w:id="5"/>
      <w:bookmarkEnd w:id="6"/>
      <w:bookmarkEnd w:id="7"/>
      <w:bookmarkEnd w:id="8"/>
    </w:p>
    <w:tbl>
      <w:tblPr>
        <w:tblStyle w:val="13"/>
        <w:tblW w:w="8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6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61" w:type="dxa"/>
            <w:tcBorders>
              <w:bottom w:val="single" w:color="auto" w:sz="4" w:space="0"/>
              <w:right w:val="single" w:color="auto" w:sz="4" w:space="0"/>
            </w:tcBorders>
            <w:vAlign w:val="center"/>
          </w:tcPr>
          <w:p>
            <w:pPr>
              <w:spacing w:line="240" w:lineRule="auto"/>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名称</w:t>
            </w:r>
          </w:p>
        </w:tc>
        <w:tc>
          <w:tcPr>
            <w:tcW w:w="6637" w:type="dxa"/>
            <w:tcBorders>
              <w:left w:val="single" w:color="auto" w:sz="4" w:space="0"/>
            </w:tcBorders>
            <w:vAlign w:val="center"/>
          </w:tcPr>
          <w:p>
            <w:pPr>
              <w:spacing w:line="240" w:lineRule="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61" w:type="dxa"/>
            <w:tcBorders>
              <w:bottom w:val="single" w:color="auto" w:sz="4" w:space="0"/>
              <w:right w:val="single" w:color="auto" w:sz="4" w:space="0"/>
            </w:tcBorders>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主机</w:t>
            </w:r>
          </w:p>
        </w:tc>
        <w:tc>
          <w:tcPr>
            <w:tcW w:w="6637" w:type="dxa"/>
            <w:tcBorders>
              <w:left w:val="single" w:color="auto" w:sz="4" w:space="0"/>
            </w:tcBorders>
            <w:vAlign w:val="center"/>
          </w:tcPr>
          <w:p>
            <w:pPr>
              <w:adjustRightInd w:val="0"/>
              <w:snapToGrid w:val="0"/>
              <w:spacing w:line="240" w:lineRule="auto"/>
              <w:rPr>
                <w:rFonts w:hint="eastAsia" w:ascii="宋体" w:hAnsi="宋体" w:eastAsia="宋体" w:cs="宋体"/>
                <w:sz w:val="28"/>
                <w:szCs w:val="28"/>
              </w:rPr>
            </w:pPr>
            <w:r>
              <w:rPr>
                <w:rFonts w:hint="eastAsia" w:ascii="宋体" w:hAnsi="宋体" w:eastAsia="宋体" w:cs="宋体"/>
                <w:sz w:val="28"/>
                <w:szCs w:val="28"/>
              </w:rPr>
              <w:t>220V交流，50Hz/60Hz</w:t>
            </w:r>
          </w:p>
          <w:p>
            <w:pPr>
              <w:adjustRightInd w:val="0"/>
              <w:snapToGrid w:val="0"/>
              <w:spacing w:line="240" w:lineRule="auto"/>
              <w:rPr>
                <w:rFonts w:hint="eastAsia" w:ascii="宋体" w:hAnsi="宋体" w:eastAsia="宋体" w:cs="宋体"/>
                <w:sz w:val="28"/>
                <w:szCs w:val="28"/>
              </w:rPr>
            </w:pPr>
            <w:r>
              <w:rPr>
                <w:rFonts w:hint="eastAsia" w:ascii="宋体" w:hAnsi="宋体" w:eastAsia="宋体" w:cs="宋体"/>
                <w:sz w:val="28"/>
                <w:szCs w:val="28"/>
              </w:rPr>
              <w:t>直流试验电压: 125～</w:t>
            </w:r>
            <w:r>
              <w:rPr>
                <w:rFonts w:hint="eastAsia" w:ascii="宋体" w:hAnsi="宋体" w:eastAsia="宋体" w:cs="宋体"/>
                <w:sz w:val="28"/>
                <w:szCs w:val="28"/>
                <w:lang w:val="en-US" w:eastAsia="zh-CN"/>
              </w:rPr>
              <w:t>265</w:t>
            </w:r>
            <w:r>
              <w:rPr>
                <w:rFonts w:hint="eastAsia" w:ascii="宋体" w:hAnsi="宋体" w:eastAsia="宋体" w:cs="宋体"/>
                <w:sz w:val="28"/>
                <w:szCs w:val="28"/>
              </w:rPr>
              <w:t>V</w:t>
            </w:r>
          </w:p>
          <w:p>
            <w:pPr>
              <w:adjustRightInd w:val="0"/>
              <w:snapToGrid w:val="0"/>
              <w:spacing w:line="240" w:lineRule="auto"/>
              <w:rPr>
                <w:rFonts w:hint="eastAsia" w:ascii="宋体" w:hAnsi="宋体" w:eastAsia="宋体" w:cs="宋体"/>
                <w:sz w:val="28"/>
                <w:szCs w:val="28"/>
              </w:rPr>
            </w:pPr>
            <w:r>
              <w:rPr>
                <w:rFonts w:hint="eastAsia" w:ascii="宋体" w:hAnsi="宋体" w:eastAsia="宋体" w:cs="宋体"/>
                <w:sz w:val="28"/>
                <w:szCs w:val="28"/>
              </w:rPr>
              <w:t>防油贴膜键盘</w:t>
            </w:r>
          </w:p>
          <w:p>
            <w:pPr>
              <w:spacing w:line="240" w:lineRule="auto"/>
              <w:rPr>
                <w:rFonts w:hint="eastAsia" w:ascii="宋体" w:hAnsi="宋体" w:eastAsia="宋体" w:cs="宋体"/>
                <w:sz w:val="28"/>
                <w:szCs w:val="28"/>
              </w:rPr>
            </w:pPr>
            <w:r>
              <w:rPr>
                <w:rFonts w:hint="eastAsia" w:ascii="宋体" w:hAnsi="宋体" w:eastAsia="宋体" w:cs="宋体"/>
                <w:sz w:val="28"/>
                <w:szCs w:val="28"/>
              </w:rPr>
              <w:t>金属保护罩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961" w:type="dxa"/>
            <w:tcBorders>
              <w:top w:val="single" w:color="auto" w:sz="4" w:space="0"/>
              <w:bottom w:val="single" w:color="auto" w:sz="4" w:space="0"/>
            </w:tcBorders>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试验电压</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0～100kV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961" w:type="dxa"/>
            <w:tcBorders>
              <w:top w:val="single" w:color="auto" w:sz="4" w:space="0"/>
              <w:bottom w:val="single" w:color="auto" w:sz="4" w:space="0"/>
            </w:tcBorders>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电压上升率</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0.5～10kV/s可调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61" w:type="dxa"/>
            <w:tcBorders>
              <w:top w:val="single" w:color="auto" w:sz="4" w:space="0"/>
              <w:bottom w:val="single" w:color="auto" w:sz="4" w:space="0"/>
            </w:tcBorders>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击穿时间</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&lt;10us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61" w:type="dxa"/>
            <w:tcBorders>
              <w:top w:val="single" w:color="auto" w:sz="4" w:space="0"/>
            </w:tcBorders>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油样温度测量</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温度分辨率</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显示分辨率</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0.1kV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测量精确率</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0～100kV，±1kV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脱开时间</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&lt;10ms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试验次数</w:t>
            </w:r>
          </w:p>
        </w:tc>
        <w:tc>
          <w:tcPr>
            <w:tcW w:w="6637" w:type="dxa"/>
            <w:vAlign w:val="center"/>
          </w:tcPr>
          <w:p>
            <w:pPr>
              <w:spacing w:line="240" w:lineRule="auto"/>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不少于6次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pStyle w:val="12"/>
              <w:widowControl/>
              <w:spacing w:line="240" w:lineRule="auto"/>
              <w:rPr>
                <w:rFonts w:hint="eastAsia" w:ascii="宋体" w:hAnsi="宋体" w:eastAsia="宋体" w:cs="宋体"/>
                <w:kern w:val="2"/>
                <w:sz w:val="28"/>
                <w:szCs w:val="28"/>
              </w:rPr>
            </w:pPr>
            <w:r>
              <w:rPr>
                <w:rFonts w:hint="eastAsia" w:ascii="宋体" w:hAnsi="宋体" w:eastAsia="宋体" w:cs="宋体"/>
                <w:kern w:val="2"/>
                <w:sz w:val="28"/>
                <w:szCs w:val="28"/>
              </w:rPr>
              <w:t>静置时间</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1～10分可调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pStyle w:val="12"/>
              <w:widowControl/>
              <w:spacing w:line="240" w:lineRule="auto"/>
              <w:rPr>
                <w:rFonts w:hint="eastAsia" w:ascii="宋体" w:hAnsi="宋体" w:eastAsia="宋体" w:cs="宋体"/>
                <w:kern w:val="2"/>
                <w:sz w:val="28"/>
                <w:szCs w:val="28"/>
              </w:rPr>
            </w:pPr>
            <w:r>
              <w:rPr>
                <w:rFonts w:hint="eastAsia" w:ascii="宋体" w:hAnsi="宋体" w:eastAsia="宋体" w:cs="宋体"/>
                <w:kern w:val="2"/>
                <w:sz w:val="28"/>
                <w:szCs w:val="28"/>
              </w:rPr>
              <w:t>油搅拌时间</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0～10分可调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可选程序</w:t>
            </w:r>
          </w:p>
        </w:tc>
        <w:tc>
          <w:tcPr>
            <w:tcW w:w="6637"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ASTM D1816, ASTM D877,  IEC 60156:95等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保护功能</w:t>
            </w:r>
          </w:p>
        </w:tc>
        <w:tc>
          <w:tcPr>
            <w:tcW w:w="6637" w:type="dxa"/>
            <w:vAlign w:val="center"/>
          </w:tcPr>
          <w:p>
            <w:pPr>
              <w:pStyle w:val="33"/>
              <w:spacing w:line="240" w:lineRule="auto"/>
              <w:jc w:val="left"/>
              <w:rPr>
                <w:rFonts w:hint="eastAsia" w:ascii="宋体" w:hAnsi="宋体" w:eastAsia="宋体" w:cs="宋体"/>
                <w:kern w:val="2"/>
                <w:sz w:val="28"/>
                <w:szCs w:val="28"/>
              </w:rPr>
            </w:pPr>
            <w:r>
              <w:rPr>
                <w:rFonts w:hint="eastAsia" w:ascii="宋体" w:hAnsi="宋体" w:eastAsia="宋体" w:cs="宋体"/>
                <w:kern w:val="2"/>
                <w:sz w:val="28"/>
                <w:szCs w:val="28"/>
              </w:rPr>
              <w:t>金属屏蔽保护罩，内置联锁开关，具备屏蔽功能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数据</w:t>
            </w:r>
          </w:p>
        </w:tc>
        <w:tc>
          <w:tcPr>
            <w:tcW w:w="6637" w:type="dxa"/>
            <w:vAlign w:val="center"/>
          </w:tcPr>
          <w:p>
            <w:pPr>
              <w:pStyle w:val="33"/>
              <w:spacing w:line="240" w:lineRule="auto"/>
              <w:jc w:val="both"/>
              <w:rPr>
                <w:rFonts w:hint="eastAsia" w:ascii="宋体" w:hAnsi="宋体" w:eastAsia="宋体" w:cs="宋体"/>
                <w:kern w:val="2"/>
                <w:sz w:val="28"/>
                <w:szCs w:val="28"/>
              </w:rPr>
            </w:pPr>
            <w:r>
              <w:rPr>
                <w:rFonts w:hint="eastAsia" w:ascii="宋体" w:hAnsi="宋体" w:eastAsia="宋体" w:cs="宋体"/>
                <w:kern w:val="2"/>
                <w:sz w:val="28"/>
                <w:szCs w:val="28"/>
              </w:rPr>
              <w:t>自动打印</w:t>
            </w:r>
          </w:p>
          <w:p>
            <w:pPr>
              <w:pStyle w:val="33"/>
              <w:spacing w:line="240" w:lineRule="auto"/>
              <w:jc w:val="both"/>
              <w:rPr>
                <w:rFonts w:hint="eastAsia" w:ascii="宋体" w:hAnsi="宋体" w:eastAsia="宋体" w:cs="宋体"/>
                <w:kern w:val="2"/>
                <w:sz w:val="28"/>
                <w:szCs w:val="28"/>
              </w:rPr>
            </w:pPr>
            <w:r>
              <w:rPr>
                <w:rFonts w:hint="eastAsia" w:ascii="宋体" w:hAnsi="宋体" w:eastAsia="宋体" w:cs="宋体"/>
                <w:kern w:val="2"/>
                <w:sz w:val="28"/>
                <w:szCs w:val="28"/>
              </w:rPr>
              <w:t>配备USB接口</w:t>
            </w:r>
          </w:p>
          <w:p>
            <w:pPr>
              <w:pStyle w:val="33"/>
              <w:spacing w:line="240" w:lineRule="auto"/>
              <w:jc w:val="both"/>
              <w:rPr>
                <w:rFonts w:hint="eastAsia" w:ascii="宋体" w:hAnsi="宋体" w:eastAsia="宋体" w:cs="宋体"/>
                <w:kern w:val="2"/>
                <w:sz w:val="28"/>
                <w:szCs w:val="28"/>
              </w:rPr>
            </w:pPr>
            <w:r>
              <w:rPr>
                <w:rFonts w:hint="eastAsia" w:ascii="宋体" w:hAnsi="宋体" w:eastAsia="宋体" w:cs="宋体"/>
                <w:kern w:val="2"/>
                <w:sz w:val="28"/>
                <w:szCs w:val="28"/>
              </w:rPr>
              <w:t>故障代码提醒</w:t>
            </w:r>
          </w:p>
          <w:p>
            <w:pPr>
              <w:pStyle w:val="33"/>
              <w:spacing w:line="240" w:lineRule="auto"/>
              <w:jc w:val="left"/>
              <w:rPr>
                <w:rFonts w:hint="eastAsia" w:ascii="宋体" w:hAnsi="宋体" w:eastAsia="宋体" w:cs="宋体"/>
                <w:kern w:val="2"/>
                <w:sz w:val="28"/>
                <w:szCs w:val="28"/>
              </w:rPr>
            </w:pPr>
            <w:r>
              <w:rPr>
                <w:rFonts w:hint="eastAsia" w:ascii="宋体" w:hAnsi="宋体" w:eastAsia="宋体" w:cs="宋体"/>
                <w:kern w:val="2"/>
                <w:sz w:val="28"/>
                <w:szCs w:val="28"/>
              </w:rPr>
              <w:t>专用软件管理测量数据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spacing w:line="240" w:lineRule="auto"/>
              <w:jc w:val="left"/>
              <w:rPr>
                <w:rFonts w:hint="eastAsia" w:ascii="宋体" w:hAnsi="宋体" w:eastAsia="宋体" w:cs="宋体"/>
                <w:sz w:val="28"/>
                <w:szCs w:val="28"/>
              </w:rPr>
            </w:pPr>
            <w:r>
              <w:rPr>
                <w:rFonts w:hint="eastAsia" w:ascii="宋体" w:hAnsi="宋体" w:eastAsia="宋体" w:cs="宋体"/>
                <w:sz w:val="28"/>
                <w:szCs w:val="28"/>
              </w:rPr>
              <w:t>击穿识别</w:t>
            </w:r>
          </w:p>
        </w:tc>
        <w:tc>
          <w:tcPr>
            <w:tcW w:w="6637" w:type="dxa"/>
            <w:vAlign w:val="center"/>
          </w:tcPr>
          <w:p>
            <w:pPr>
              <w:pStyle w:val="33"/>
              <w:spacing w:line="240" w:lineRule="auto"/>
              <w:jc w:val="both"/>
              <w:rPr>
                <w:rFonts w:hint="eastAsia" w:ascii="宋体" w:hAnsi="宋体" w:eastAsia="宋体" w:cs="宋体"/>
                <w:kern w:val="2"/>
                <w:sz w:val="28"/>
                <w:szCs w:val="28"/>
              </w:rPr>
            </w:pPr>
            <w:r>
              <w:rPr>
                <w:rFonts w:hint="eastAsia" w:ascii="宋体" w:hAnsi="宋体" w:eastAsia="宋体" w:cs="宋体"/>
                <w:kern w:val="2"/>
                <w:sz w:val="28"/>
                <w:szCs w:val="28"/>
              </w:rPr>
              <w:t>即时崩溃监控技术</w:t>
            </w:r>
          </w:p>
          <w:p>
            <w:pPr>
              <w:pStyle w:val="33"/>
              <w:spacing w:line="240" w:lineRule="auto"/>
              <w:jc w:val="left"/>
              <w:rPr>
                <w:rFonts w:hint="eastAsia" w:ascii="宋体" w:hAnsi="宋体" w:eastAsia="宋体" w:cs="宋体"/>
                <w:kern w:val="2"/>
                <w:sz w:val="28"/>
                <w:szCs w:val="28"/>
              </w:rPr>
            </w:pPr>
            <w:r>
              <w:rPr>
                <w:rFonts w:hint="eastAsia" w:ascii="宋体" w:hAnsi="宋体" w:eastAsia="宋体" w:cs="宋体"/>
                <w:kern w:val="2"/>
                <w:sz w:val="28"/>
                <w:szCs w:val="28"/>
              </w:rPr>
              <w:t>测量偏差超标准范围报警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61" w:type="dxa"/>
            <w:vAlign w:val="center"/>
          </w:tcPr>
          <w:p>
            <w:pPr>
              <w:spacing w:line="240" w:lineRule="auto"/>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油杯容量</w:t>
            </w:r>
          </w:p>
        </w:tc>
        <w:tc>
          <w:tcPr>
            <w:tcW w:w="6637" w:type="dxa"/>
            <w:vAlign w:val="center"/>
          </w:tcPr>
          <w:p>
            <w:pPr>
              <w:pStyle w:val="33"/>
              <w:spacing w:line="240" w:lineRule="auto"/>
              <w:jc w:val="left"/>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400mL</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5615"/>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击穿电压测试仪</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 xml:space="preserve">带游标卡尺油杯 </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电源线</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磁性性搅拌器</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油搅拌器抬升棒</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top"/>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用户手册</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具有CNAS资质第三方检测/校准报告</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28845"/>
      <w:bookmarkStart w:id="11" w:name="_Toc6348"/>
      <w:bookmarkStart w:id="12" w:name="_Toc10357"/>
      <w:bookmarkStart w:id="13" w:name="_Toc12038"/>
      <w:bookmarkStart w:id="14" w:name="_Toc22926"/>
      <w:bookmarkStart w:id="15" w:name="_Toc21728"/>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23336"/>
      <w:bookmarkStart w:id="18" w:name="_Toc18597"/>
      <w:bookmarkStart w:id="19" w:name="_Toc19111"/>
      <w:bookmarkStart w:id="20" w:name="_Toc31053"/>
      <w:bookmarkStart w:id="21" w:name="_Toc11534"/>
      <w:bookmarkStart w:id="22" w:name="_Toc17793"/>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6249"/>
      <w:bookmarkStart w:id="25" w:name="_Toc3099"/>
      <w:bookmarkStart w:id="26" w:name="_Toc18435"/>
      <w:bookmarkStart w:id="27" w:name="_Toc31014"/>
      <w:bookmarkStart w:id="28" w:name="_Toc29029"/>
      <w:bookmarkStart w:id="29" w:name="_Toc18060"/>
      <w:bookmarkStart w:id="30" w:name="_Toc12526"/>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614"/>
      <w:bookmarkStart w:id="34" w:name="_Toc430"/>
      <w:bookmarkStart w:id="35" w:name="_Toc17905"/>
      <w:bookmarkStart w:id="36" w:name="_Toc5683"/>
      <w:bookmarkStart w:id="37" w:name="_Toc12501"/>
      <w:bookmarkStart w:id="38" w:name="_Toc6783"/>
      <w:bookmarkStart w:id="39" w:name="_Toc9642"/>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4"/>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4"/>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3624"/>
      <w:bookmarkStart w:id="45" w:name="_Toc2928"/>
      <w:bookmarkStart w:id="46" w:name="_Toc10568"/>
      <w:bookmarkStart w:id="47" w:name="_Toc7428"/>
      <w:bookmarkStart w:id="48" w:name="_Toc25839"/>
      <w:bookmarkStart w:id="49" w:name="_Toc5532"/>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257812191"/>
      <w:bookmarkStart w:id="54" w:name="_Toc387612875"/>
      <w:bookmarkStart w:id="55" w:name="_Toc34153561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7907"/>
      <w:bookmarkStart w:id="57" w:name="_Toc19273"/>
      <w:bookmarkStart w:id="58" w:name="_Toc7867"/>
      <w:bookmarkStart w:id="59" w:name="_Toc22741"/>
      <w:bookmarkStart w:id="60" w:name="_Toc16533"/>
      <w:bookmarkStart w:id="61" w:name="_Toc23903"/>
      <w:bookmarkStart w:id="62" w:name="_Toc16834"/>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4"/>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7828"/>
      <w:bookmarkStart w:id="68" w:name="_Toc15384"/>
      <w:bookmarkStart w:id="69" w:name="_Toc1461"/>
      <w:bookmarkStart w:id="70" w:name="_Toc5236"/>
      <w:bookmarkStart w:id="71" w:name="_Toc22068"/>
      <w:bookmarkStart w:id="72" w:name="_Toc9650"/>
      <w:bookmarkStart w:id="73" w:name="_Toc22032"/>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变电专业击穿电压测试仪技术规范书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1B0011"/>
    <w:rsid w:val="01216BCF"/>
    <w:rsid w:val="021D332E"/>
    <w:rsid w:val="03855756"/>
    <w:rsid w:val="03955F38"/>
    <w:rsid w:val="039970F0"/>
    <w:rsid w:val="04B8484E"/>
    <w:rsid w:val="04B85A8C"/>
    <w:rsid w:val="06C83369"/>
    <w:rsid w:val="06F74250"/>
    <w:rsid w:val="06FC1FE4"/>
    <w:rsid w:val="073440CA"/>
    <w:rsid w:val="083B22E9"/>
    <w:rsid w:val="09DA6CE5"/>
    <w:rsid w:val="0A133188"/>
    <w:rsid w:val="0AA06A69"/>
    <w:rsid w:val="0B1D612C"/>
    <w:rsid w:val="0B9E7B3E"/>
    <w:rsid w:val="0BAC324C"/>
    <w:rsid w:val="0BBD0B5D"/>
    <w:rsid w:val="0BD92CA9"/>
    <w:rsid w:val="0C9F0A06"/>
    <w:rsid w:val="0D09760B"/>
    <w:rsid w:val="0DF84B27"/>
    <w:rsid w:val="0E4C7BE5"/>
    <w:rsid w:val="0ED04650"/>
    <w:rsid w:val="117656A1"/>
    <w:rsid w:val="11C76314"/>
    <w:rsid w:val="11F81621"/>
    <w:rsid w:val="121A5772"/>
    <w:rsid w:val="122703EF"/>
    <w:rsid w:val="129375E2"/>
    <w:rsid w:val="1364719A"/>
    <w:rsid w:val="138D3FA2"/>
    <w:rsid w:val="13A0311A"/>
    <w:rsid w:val="14AE74C4"/>
    <w:rsid w:val="152A59B2"/>
    <w:rsid w:val="157E633F"/>
    <w:rsid w:val="165D6CB3"/>
    <w:rsid w:val="16FB3CB3"/>
    <w:rsid w:val="17247B54"/>
    <w:rsid w:val="17B22491"/>
    <w:rsid w:val="17E9578A"/>
    <w:rsid w:val="196A1CCC"/>
    <w:rsid w:val="19F05946"/>
    <w:rsid w:val="1A050DE8"/>
    <w:rsid w:val="1B5F7121"/>
    <w:rsid w:val="1C0B3F7E"/>
    <w:rsid w:val="1E476C31"/>
    <w:rsid w:val="206C32B1"/>
    <w:rsid w:val="20A85646"/>
    <w:rsid w:val="22783F62"/>
    <w:rsid w:val="22AA045B"/>
    <w:rsid w:val="22F56ECA"/>
    <w:rsid w:val="23846F1A"/>
    <w:rsid w:val="26301520"/>
    <w:rsid w:val="264B09E7"/>
    <w:rsid w:val="29253C5F"/>
    <w:rsid w:val="292B071C"/>
    <w:rsid w:val="2AFC6642"/>
    <w:rsid w:val="2AFF5299"/>
    <w:rsid w:val="2B070127"/>
    <w:rsid w:val="2D5F3BEA"/>
    <w:rsid w:val="2DAD1295"/>
    <w:rsid w:val="2EFC4824"/>
    <w:rsid w:val="2F82055E"/>
    <w:rsid w:val="3015100B"/>
    <w:rsid w:val="30575940"/>
    <w:rsid w:val="327411B4"/>
    <w:rsid w:val="32B02F4F"/>
    <w:rsid w:val="32ED7EDB"/>
    <w:rsid w:val="33515420"/>
    <w:rsid w:val="3459654B"/>
    <w:rsid w:val="35724440"/>
    <w:rsid w:val="35E67CC2"/>
    <w:rsid w:val="35EA73E3"/>
    <w:rsid w:val="37130BEA"/>
    <w:rsid w:val="397E1DFD"/>
    <w:rsid w:val="398B33E3"/>
    <w:rsid w:val="3AF505AA"/>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2873053"/>
    <w:rsid w:val="53176A9C"/>
    <w:rsid w:val="53C92214"/>
    <w:rsid w:val="53F40CBE"/>
    <w:rsid w:val="542A117B"/>
    <w:rsid w:val="546F3F6B"/>
    <w:rsid w:val="54F112A5"/>
    <w:rsid w:val="559336C4"/>
    <w:rsid w:val="55A13AF8"/>
    <w:rsid w:val="56DD1F1C"/>
    <w:rsid w:val="585B5B7A"/>
    <w:rsid w:val="595744CF"/>
    <w:rsid w:val="5CDD10BF"/>
    <w:rsid w:val="5D3F5BD6"/>
    <w:rsid w:val="5E052881"/>
    <w:rsid w:val="5F273CAC"/>
    <w:rsid w:val="5F5027A2"/>
    <w:rsid w:val="61877856"/>
    <w:rsid w:val="6249287A"/>
    <w:rsid w:val="64C90076"/>
    <w:rsid w:val="65F60B40"/>
    <w:rsid w:val="66042581"/>
    <w:rsid w:val="677E43FB"/>
    <w:rsid w:val="6A0D0A67"/>
    <w:rsid w:val="6A163E39"/>
    <w:rsid w:val="6A2E5D2C"/>
    <w:rsid w:val="6A363CDB"/>
    <w:rsid w:val="6A755CB7"/>
    <w:rsid w:val="6BCC6269"/>
    <w:rsid w:val="6C4B4ADF"/>
    <w:rsid w:val="6C63752A"/>
    <w:rsid w:val="6D4579BF"/>
    <w:rsid w:val="6D7935F9"/>
    <w:rsid w:val="6E06478D"/>
    <w:rsid w:val="6E322ED1"/>
    <w:rsid w:val="6F555835"/>
    <w:rsid w:val="6FDC2C9B"/>
    <w:rsid w:val="7015325F"/>
    <w:rsid w:val="71E21A2C"/>
    <w:rsid w:val="738D6525"/>
    <w:rsid w:val="755358DC"/>
    <w:rsid w:val="75A504A5"/>
    <w:rsid w:val="76C635C6"/>
    <w:rsid w:val="77790D29"/>
    <w:rsid w:val="792225EC"/>
    <w:rsid w:val="79C60827"/>
    <w:rsid w:val="7A0343B8"/>
    <w:rsid w:val="7A292D70"/>
    <w:rsid w:val="7B235383"/>
    <w:rsid w:val="7B886164"/>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图表"/>
    <w:qFormat/>
    <w:uiPriority w:val="0"/>
    <w:pPr>
      <w:jc w:val="center"/>
    </w:pPr>
    <w:rPr>
      <w:rFonts w:ascii="Times New Roman" w:hAnsi="Times New Roman" w:eastAsia="宋体" w:cs="Times New Roman"/>
      <w:sz w:val="18"/>
      <w:szCs w:val="18"/>
      <w:lang w:val="en-US" w:eastAsia="zh-CN" w:bidi="ar-SA"/>
    </w:rPr>
  </w:style>
  <w:style w:type="paragraph" w:customStyle="1" w:styleId="34">
    <w:name w:val="p0"/>
    <w:basedOn w:val="1"/>
    <w:qFormat/>
    <w:uiPriority w:val="0"/>
    <w:pPr>
      <w:widowControl/>
      <w:jc w:val="left"/>
    </w:pPr>
    <w:rPr>
      <w:rFonts w:ascii="Calibri" w:hAnsi="Calibri" w:eastAsia="Arial Unicode MS"/>
      <w:kern w:val="0"/>
      <w:szCs w:val="20"/>
    </w:rPr>
  </w:style>
  <w:style w:type="paragraph" w:customStyle="1" w:styleId="35">
    <w:name w:val="WPSOffice手动目录 1"/>
    <w:uiPriority w:val="0"/>
    <w:pPr>
      <w:ind w:leftChars="0"/>
    </w:pPr>
    <w:rPr>
      <w:sz w:val="20"/>
      <w:szCs w:val="20"/>
    </w:rPr>
  </w:style>
  <w:style w:type="paragraph" w:customStyle="1" w:styleId="36">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2055</Words>
  <Characters>2319</Characters>
  <Lines>16</Lines>
  <Paragraphs>4</Paragraphs>
  <TotalTime>0</TotalTime>
  <ScaleCrop>false</ScaleCrop>
  <LinksUpToDate>false</LinksUpToDate>
  <CharactersWithSpaces>2360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2025-07-22T16:06:26Z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eyJoZGlkIjoiMmNkMTBiNDUyMmI4YzMwMzk2ZTExNTQyOTQ2ZjQ0ZjciLCJ1c2VySWQiOiIzNDI4MjcyNzIifQ==</vt:lpwstr>
  </property>
</Properties>
</file>