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脱气振荡仪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pP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4215"/>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sz w:val="36"/>
              <w:szCs w:val="36"/>
              <w:lang w:val="en-US" w:eastAsia="zh-CN"/>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r>
            <w:rPr>
              <w:rFonts w:hint="eastAsia" w:ascii="宋体" w:hAnsi="宋体" w:eastAsia="宋体"/>
              <w:sz w:val="36"/>
              <w:szCs w:val="36"/>
              <w:lang w:val="en-US" w:eastAsia="zh-CN"/>
            </w:rPr>
            <w:t xml:space="preserve"> </w:t>
          </w:r>
        </w:p>
        <w:p>
          <w:pPr>
            <w:pStyle w:val="2"/>
            <w:rPr>
              <w:rFonts w:hint="eastAsia"/>
              <w:lang w:val="en-US" w:eastAsia="zh-CN"/>
            </w:rPr>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_Toc10405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_Toc10405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_Toc28838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_Toc28838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_Toc22486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_Toc22486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_Toc9438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_Toc9438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_Toc13674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_Toc13674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_Toc24202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_Toc24202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_Toc19925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_Toc19925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_Toc3877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_Toc3877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_Toc28686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_Toc28686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_Toc10102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_Toc10102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_Toc22731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_Toc22731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_Toc19537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_Toc19537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_Toc28828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_Toc28828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10405"/>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脱气振荡仪的招标，它提出设备的功能、结构、性能、安装和试验等方面的技术要求。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28838"/>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 7595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运行中变压器油质量</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 14542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运行中变压器油维护管理导则</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17623</w:t>
      </w:r>
      <w:r>
        <w:rPr>
          <w:rFonts w:hint="eastAsia" w:ascii="宋体" w:hAnsi="宋体" w:eastAsia="宋体" w:cs="宋体"/>
          <w:sz w:val="28"/>
          <w:szCs w:val="28"/>
          <w:lang w:val="en-US" w:eastAsia="zh-CN"/>
        </w:rPr>
        <w:t xml:space="preserve">  </w:t>
      </w:r>
      <w:r>
        <w:rPr>
          <w:rFonts w:hint="eastAsia" w:ascii="宋体" w:hAnsi="宋体" w:eastAsia="宋体" w:cs="宋体"/>
          <w:kern w:val="0"/>
          <w:sz w:val="28"/>
          <w:szCs w:val="28"/>
        </w:rPr>
        <w:t>运行中变压器油</w:t>
      </w:r>
      <w:r>
        <w:rPr>
          <w:rFonts w:hint="eastAsia" w:ascii="宋体" w:hAnsi="宋体" w:eastAsia="宋体" w:cs="宋体"/>
          <w:kern w:val="0"/>
          <w:sz w:val="28"/>
          <w:szCs w:val="28"/>
          <w:lang w:val="en-US" w:eastAsia="zh-CN"/>
        </w:rPr>
        <w:t>溶解气体组分的气相色谱</w:t>
      </w:r>
      <w:r>
        <w:rPr>
          <w:rFonts w:hint="eastAsia" w:ascii="宋体" w:hAnsi="宋体" w:eastAsia="宋体" w:cs="宋体"/>
          <w:kern w:val="0"/>
          <w:sz w:val="28"/>
          <w:szCs w:val="28"/>
        </w:rPr>
        <w:t>测定法</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color w:val="000000"/>
          <w:sz w:val="28"/>
          <w:szCs w:val="28"/>
        </w:rPr>
        <w:t>IEC 61010-031</w:t>
      </w:r>
      <w:r>
        <w:rPr>
          <w:rFonts w:hint="eastAsia" w:ascii="宋体" w:hAnsi="宋体" w:eastAsia="宋体" w:cs="宋体"/>
          <w:sz w:val="28"/>
          <w:szCs w:val="28"/>
          <w:lang w:val="en-US" w:eastAsia="zh-CN"/>
        </w:rPr>
        <w:t xml:space="preserve">  </w:t>
      </w:r>
      <w:r>
        <w:rPr>
          <w:rFonts w:hint="eastAsia" w:ascii="宋体" w:hAnsi="宋体" w:eastAsia="宋体" w:cs="宋体"/>
          <w:color w:val="000000"/>
          <w:sz w:val="28"/>
          <w:szCs w:val="28"/>
        </w:rPr>
        <w:t>测量、控制和实验室用电气设备的安全要求</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22486"/>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环境湿度：&lt;</w:t>
      </w:r>
      <w:r>
        <w:rPr>
          <w:rFonts w:hint="eastAsia" w:ascii="宋体" w:hAnsi="宋体" w:eastAsia="宋体" w:cs="宋体"/>
          <w:sz w:val="28"/>
          <w:szCs w:val="28"/>
          <w:lang w:val="en-US" w:eastAsia="zh-CN"/>
        </w:rPr>
        <w:t>9</w:t>
      </w:r>
      <w:r>
        <w:rPr>
          <w:rFonts w:hint="eastAsia" w:ascii="宋体" w:hAnsi="宋体" w:eastAsia="宋体" w:cs="宋体"/>
          <w:sz w:val="28"/>
          <w:szCs w:val="28"/>
        </w:rPr>
        <w:t>0%</w:t>
      </w:r>
      <w:r>
        <w:rPr>
          <w:rFonts w:hint="eastAsia" w:ascii="宋体" w:hAnsi="宋体" w:eastAsia="宋体" w:cs="宋体"/>
          <w:sz w:val="28"/>
          <w:szCs w:val="28"/>
          <w:lang w:eastAsia="zh-CN"/>
        </w:rPr>
        <w:t>，</w:t>
      </w:r>
      <w:r>
        <w:rPr>
          <w:rFonts w:hint="eastAsia" w:ascii="宋体" w:hAnsi="宋体" w:eastAsia="宋体" w:cs="宋体"/>
          <w:sz w:val="28"/>
          <w:szCs w:val="28"/>
        </w:rPr>
        <w:t>无结露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9438"/>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13674"/>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4556"/>
      <w:bookmarkStart w:id="6" w:name="_Toc200511818"/>
      <w:bookmarkStart w:id="7" w:name="_Toc167008908"/>
      <w:r>
        <w:rPr>
          <w:rFonts w:hint="eastAsia" w:ascii="宋体" w:hAnsi="宋体" w:eastAsia="宋体" w:cs="宋体"/>
          <w:sz w:val="28"/>
          <w:szCs w:val="28"/>
          <w:lang w:val="en-US" w:eastAsia="zh-CN"/>
        </w:rPr>
        <w:t>（1）可用于变压器油样色谱试验前处理</w:t>
      </w:r>
      <w:r>
        <w:rPr>
          <w:rFonts w:hint="eastAsia" w:ascii="宋体" w:hAnsi="宋体" w:eastAsia="宋体" w:cs="宋体"/>
          <w:sz w:val="28"/>
          <w:szCs w:val="28"/>
        </w:rPr>
        <w:t>包括矿物油、硅油和脂内油在内的油介质进行</w:t>
      </w:r>
      <w:r>
        <w:rPr>
          <w:rFonts w:hint="eastAsia" w:ascii="宋体" w:hAnsi="宋体" w:eastAsia="宋体" w:cs="宋体"/>
          <w:sz w:val="28"/>
          <w:szCs w:val="28"/>
          <w:lang w:val="en-US" w:eastAsia="zh-CN"/>
        </w:rPr>
        <w:t>脱气处理。</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color w:val="000000"/>
          <w:sz w:val="28"/>
          <w:szCs w:val="28"/>
          <w:lang w:val="en-US" w:eastAsia="zh-CN"/>
        </w:rPr>
        <w:t>（2）操作界面简便，智能化控制系统，加热、温控、定时振荡、延时报警，PID控温方式，温度控制精确</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color w:val="000000"/>
          <w:sz w:val="28"/>
          <w:szCs w:val="28"/>
          <w:lang w:val="en-US" w:eastAsia="zh-CN"/>
        </w:rPr>
        <w:t>（3）机械传动抗疲劳、抗振动、免维护、低噪音</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color w:val="000000"/>
          <w:sz w:val="28"/>
          <w:szCs w:val="28"/>
          <w:lang w:val="en-US" w:eastAsia="zh-CN"/>
        </w:rPr>
        <w:t>（4）设有外插温度计插孔，方便操作者观察对比</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color w:val="000000"/>
          <w:sz w:val="28"/>
          <w:szCs w:val="28"/>
          <w:lang w:val="en-US" w:eastAsia="zh-CN"/>
        </w:rPr>
        <w:t>（5）取放样品方便，</w:t>
      </w:r>
      <w:r>
        <w:rPr>
          <w:rFonts w:hint="eastAsia" w:ascii="宋体" w:hAnsi="宋体" w:eastAsia="宋体" w:cs="宋体"/>
          <w:bCs/>
          <w:color w:val="000000"/>
          <w:sz w:val="28"/>
          <w:szCs w:val="28"/>
          <w:highlight w:val="none"/>
          <w:lang w:val="en-US" w:eastAsia="zh-CN"/>
        </w:rPr>
        <w:t>样品托盘两端卡扣保护松紧合适</w:t>
      </w:r>
      <w:r>
        <w:rPr>
          <w:rFonts w:hint="eastAsia" w:ascii="宋体" w:hAnsi="宋体" w:eastAsia="宋体" w:cs="宋体"/>
          <w:bCs/>
          <w:color w:val="000000"/>
          <w:sz w:val="28"/>
          <w:szCs w:val="28"/>
          <w:lang w:val="en-US" w:eastAsia="zh-CN"/>
        </w:rPr>
        <w:t>，可同时放8支50ml或100ml注射器。</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bCs/>
          <w:color w:val="000000"/>
          <w:sz w:val="28"/>
          <w:szCs w:val="28"/>
          <w:lang w:val="en-US" w:eastAsia="zh-CN"/>
        </w:rPr>
        <w:t>（5）体积小、重量轻</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4202"/>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温控范围</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室温～99℃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温控精度</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室温～50℃±0.2℃；50℃～100℃±0.3℃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振荡频率</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275±5次/分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振荡幅度</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方    式</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1.振荡20分钟 静止10分钟 恒温50℃</w:t>
            </w:r>
          </w:p>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2.振荡5分钟 恒温75℃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自 定 义</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20～99分钟内任意设定振荡、静止时间±10秒</w:t>
            </w:r>
          </w:p>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20～99℃内任意设定温度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噪    音</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＜40分贝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功    率</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800VA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数据</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自动打印、配备 USB接口、可通过专用软件管理测量数据</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9925"/>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733"/>
        <w:gridCol w:w="1715"/>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733"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715"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73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脱气振荡仪</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733"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电源线</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733"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使用说明书</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733"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合格证</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733"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装箱单</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733" w:type="dxa"/>
            <w:vAlign w:val="top"/>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用户手册</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73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检测报告</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73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具有CNAS资质第三方检测/校准报告</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1</w:t>
            </w:r>
            <w:r>
              <w:rPr>
                <w:rFonts w:hint="eastAsia" w:ascii="宋体" w:hAnsi="宋体" w:eastAsia="宋体" w:cs="宋体"/>
                <w:sz w:val="28"/>
                <w:szCs w:val="28"/>
                <w:lang w:val="en-US" w:eastAsia="zh-CN"/>
              </w:rPr>
              <w:t>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2926"/>
      <w:bookmarkStart w:id="12" w:name="_Toc6348"/>
      <w:bookmarkStart w:id="13" w:name="_Toc28845"/>
      <w:bookmarkStart w:id="14" w:name="_Toc10357"/>
      <w:bookmarkStart w:id="15" w:name="_Toc3877"/>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23336"/>
      <w:bookmarkStart w:id="17" w:name="_Toc19111"/>
      <w:bookmarkStart w:id="18" w:name="_Toc31053"/>
      <w:bookmarkStart w:id="19" w:name="_Toc16264"/>
      <w:bookmarkStart w:id="20" w:name="_Toc11534"/>
      <w:bookmarkStart w:id="21" w:name="_Toc18597"/>
      <w:bookmarkStart w:id="22" w:name="_Toc28686"/>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8435"/>
      <w:bookmarkStart w:id="25" w:name="_Toc31014"/>
      <w:bookmarkStart w:id="26" w:name="_Toc3099"/>
      <w:bookmarkStart w:id="27" w:name="_Toc18060"/>
      <w:bookmarkStart w:id="28" w:name="_Toc29029"/>
      <w:bookmarkStart w:id="29" w:name="_Toc16249"/>
      <w:bookmarkStart w:id="30" w:name="_Toc10102"/>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12501"/>
      <w:bookmarkStart w:id="35" w:name="_Toc4614"/>
      <w:bookmarkStart w:id="36" w:name="_Toc5683"/>
      <w:bookmarkStart w:id="37" w:name="_Toc6783"/>
      <w:bookmarkStart w:id="38" w:name="_Toc17905"/>
      <w:bookmarkStart w:id="39" w:name="_Toc22731"/>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5839"/>
      <w:bookmarkStart w:id="44" w:name="_Toc3624"/>
      <w:bookmarkStart w:id="45" w:name="_Toc7428"/>
      <w:bookmarkStart w:id="46" w:name="_Toc2928"/>
      <w:bookmarkStart w:id="47" w:name="_Toc10568"/>
      <w:bookmarkStart w:id="48" w:name="_Toc26867"/>
      <w:bookmarkStart w:id="49" w:name="_Toc19537"/>
      <w:r>
        <w:rPr>
          <w:rFonts w:hint="default" w:ascii="Times New Roman" w:hAnsi="Times New Roman" w:eastAsia="宋体" w:cs="Times New Roman"/>
          <w:b/>
          <w:bCs w:val="0"/>
          <w:kern w:val="2"/>
          <w:sz w:val="30"/>
          <w:szCs w:val="30"/>
          <w:lang w:val="en-US" w:eastAsia="zh-CN" w:bidi="ar-SA"/>
        </w:rPr>
        <w:t>8 验收</w:t>
      </w:r>
      <w:bookmarkStart w:id="50" w:name="_Toc390088694"/>
      <w:bookmarkStart w:id="51" w:name="_Toc38761287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257812191"/>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7867"/>
      <w:bookmarkStart w:id="57" w:name="_Toc16533"/>
      <w:bookmarkStart w:id="58" w:name="_Toc27907"/>
      <w:bookmarkStart w:id="59" w:name="_Toc23903"/>
      <w:bookmarkStart w:id="60" w:name="_Toc19273"/>
      <w:bookmarkStart w:id="61" w:name="_Toc22741"/>
      <w:bookmarkStart w:id="62" w:name="_Toc2882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41535616"/>
      <w:bookmarkStart w:id="65" w:name="_Toc387612876"/>
      <w:bookmarkStart w:id="66"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5236"/>
      <w:bookmarkStart w:id="68" w:name="_Toc15384"/>
      <w:bookmarkStart w:id="69" w:name="_Toc22068"/>
      <w:bookmarkStart w:id="70" w:name="_Toc9650"/>
      <w:bookmarkStart w:id="71" w:name="_Toc17828"/>
      <w:bookmarkStart w:id="72" w:name="_Toc1461"/>
      <w:bookmarkStart w:id="73" w:name="_Toc1751"/>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变电专业脱气振荡仪技术规范书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5F51C5C"/>
    <w:rsid w:val="06C83369"/>
    <w:rsid w:val="06F74250"/>
    <w:rsid w:val="06FC1FE4"/>
    <w:rsid w:val="073440CA"/>
    <w:rsid w:val="083B22E9"/>
    <w:rsid w:val="09DA6CE5"/>
    <w:rsid w:val="0AA06A69"/>
    <w:rsid w:val="0B1D612C"/>
    <w:rsid w:val="0B9E7B3E"/>
    <w:rsid w:val="0BAC324C"/>
    <w:rsid w:val="0BBD0B5D"/>
    <w:rsid w:val="0BD92CA9"/>
    <w:rsid w:val="0BF65E90"/>
    <w:rsid w:val="0D09760B"/>
    <w:rsid w:val="0DF84B27"/>
    <w:rsid w:val="0E4C7BE5"/>
    <w:rsid w:val="0ED04650"/>
    <w:rsid w:val="117656A1"/>
    <w:rsid w:val="11C76314"/>
    <w:rsid w:val="11F81621"/>
    <w:rsid w:val="121A5772"/>
    <w:rsid w:val="122703EF"/>
    <w:rsid w:val="129375E2"/>
    <w:rsid w:val="1364719A"/>
    <w:rsid w:val="13A0311A"/>
    <w:rsid w:val="14AE74C4"/>
    <w:rsid w:val="152A59B2"/>
    <w:rsid w:val="157E633F"/>
    <w:rsid w:val="17247B54"/>
    <w:rsid w:val="17B22491"/>
    <w:rsid w:val="17E9578A"/>
    <w:rsid w:val="19505A94"/>
    <w:rsid w:val="196A1CCC"/>
    <w:rsid w:val="19F05946"/>
    <w:rsid w:val="1A050DE8"/>
    <w:rsid w:val="1B5F7121"/>
    <w:rsid w:val="1E476C31"/>
    <w:rsid w:val="206C32B1"/>
    <w:rsid w:val="20A85646"/>
    <w:rsid w:val="22783F62"/>
    <w:rsid w:val="22F56ECA"/>
    <w:rsid w:val="23846F1A"/>
    <w:rsid w:val="26301520"/>
    <w:rsid w:val="264B09E7"/>
    <w:rsid w:val="29253C5F"/>
    <w:rsid w:val="292B071C"/>
    <w:rsid w:val="2D5F3BEA"/>
    <w:rsid w:val="2DAD1295"/>
    <w:rsid w:val="2F82055E"/>
    <w:rsid w:val="3015100B"/>
    <w:rsid w:val="30575940"/>
    <w:rsid w:val="30A76A5E"/>
    <w:rsid w:val="32B02F4F"/>
    <w:rsid w:val="32ED7EDB"/>
    <w:rsid w:val="33515420"/>
    <w:rsid w:val="3459654B"/>
    <w:rsid w:val="35724440"/>
    <w:rsid w:val="35E67CC2"/>
    <w:rsid w:val="35EA73E3"/>
    <w:rsid w:val="37130BEA"/>
    <w:rsid w:val="397E1DFD"/>
    <w:rsid w:val="398B33E3"/>
    <w:rsid w:val="3AF505AA"/>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6DD1F1C"/>
    <w:rsid w:val="585B5B7A"/>
    <w:rsid w:val="595744CF"/>
    <w:rsid w:val="5B8D6587"/>
    <w:rsid w:val="5C537622"/>
    <w:rsid w:val="5C8167D8"/>
    <w:rsid w:val="5CDD10BF"/>
    <w:rsid w:val="5D3F5BD6"/>
    <w:rsid w:val="5E052881"/>
    <w:rsid w:val="5F273CAC"/>
    <w:rsid w:val="5F5027A2"/>
    <w:rsid w:val="61877856"/>
    <w:rsid w:val="6249287A"/>
    <w:rsid w:val="634B4A39"/>
    <w:rsid w:val="64C90076"/>
    <w:rsid w:val="65490238"/>
    <w:rsid w:val="65F60B40"/>
    <w:rsid w:val="66042581"/>
    <w:rsid w:val="677E43FB"/>
    <w:rsid w:val="69A555DF"/>
    <w:rsid w:val="6A0D0A67"/>
    <w:rsid w:val="6A163E39"/>
    <w:rsid w:val="6A2E5D2C"/>
    <w:rsid w:val="6C4B4ADF"/>
    <w:rsid w:val="6C63752A"/>
    <w:rsid w:val="6D4579BF"/>
    <w:rsid w:val="6D7935F9"/>
    <w:rsid w:val="6E06478D"/>
    <w:rsid w:val="6E322ED1"/>
    <w:rsid w:val="6FDC2C9B"/>
    <w:rsid w:val="7015325F"/>
    <w:rsid w:val="71E21A2C"/>
    <w:rsid w:val="738D6525"/>
    <w:rsid w:val="753D6D6E"/>
    <w:rsid w:val="755358DC"/>
    <w:rsid w:val="75A504A5"/>
    <w:rsid w:val="75CD14D9"/>
    <w:rsid w:val="76C635C6"/>
    <w:rsid w:val="77790D29"/>
    <w:rsid w:val="792225EC"/>
    <w:rsid w:val="79C60827"/>
    <w:rsid w:val="7A0343B8"/>
    <w:rsid w:val="7A292D70"/>
    <w:rsid w:val="7B235383"/>
    <w:rsid w:val="7BF917C8"/>
    <w:rsid w:val="7F450154"/>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2053</Words>
  <Characters>2328</Characters>
  <Lines>16</Lines>
  <Paragraphs>4</Paragraphs>
  <TotalTime>0</TotalTime>
  <ScaleCrop>false</ScaleCrop>
  <LinksUpToDate>false</LinksUpToDate>
  <CharactersWithSpaces>2373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2025-07-23T02:59:58Z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