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eastAsia" w:ascii="微软雅黑" w:hAnsi="微软雅黑" w:eastAsia="微软雅黑"/>
          <w:b/>
          <w:sz w:val="52"/>
          <w:szCs w:val="52"/>
          <w:lang w:val="en-US" w:eastAsia="zh-CN"/>
        </w:rPr>
        <w:t xml:space="preserve"> </w:t>
      </w:r>
      <w:r>
        <w:rPr>
          <w:rFonts w:hint="default" w:ascii="Times New Roman" w:hAnsi="Times New Roman" w:eastAsia="黑体" w:cs="Times New Roman"/>
          <w:b/>
          <w:bCs/>
          <w:sz w:val="56"/>
          <w:szCs w:val="56"/>
          <w:lang w:val="en-US" w:eastAsia="zh-CN"/>
        </w:rPr>
        <w:t>变电专业SF6</w:t>
      </w:r>
      <w:r>
        <w:rPr>
          <w:rFonts w:hint="eastAsia" w:eastAsia="黑体" w:cs="Times New Roman"/>
          <w:b/>
          <w:bCs/>
          <w:sz w:val="56"/>
          <w:szCs w:val="56"/>
          <w:lang w:val="en-US" w:eastAsia="zh-CN"/>
        </w:rPr>
        <w:t>露点</w:t>
      </w:r>
      <w:r>
        <w:rPr>
          <w:rFonts w:hint="default" w:ascii="Times New Roman" w:hAnsi="Times New Roman" w:eastAsia="黑体" w:cs="Times New Roman"/>
          <w:b/>
          <w:bCs/>
          <w:sz w:val="56"/>
          <w:szCs w:val="56"/>
          <w:lang w:val="en-US" w:eastAsia="zh-CN"/>
        </w:rPr>
        <w:t>仪</w:t>
      </w:r>
    </w:p>
    <w:p>
      <w:pPr>
        <w:spacing w:line="360" w:lineRule="auto"/>
        <w:jc w:val="center"/>
        <w:rPr>
          <w:rFonts w:ascii="华文宋体" w:hAnsi="华文宋体" w:eastAsia="华文宋体"/>
          <w:b/>
          <w:sz w:val="32"/>
          <w:szCs w:val="32"/>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2223"/>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_Toc20786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_Toc20786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_Toc6014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_Toc6014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_Toc5148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_Toc5148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_Toc26287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_Toc26287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_Toc12513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_Toc12513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_Toc31488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bookmarkStart w:id="74" w:name="_GoBack"/>
          <w:bookmarkEnd w:id="74"/>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_Toc31488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_Toc5937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_Toc5937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_Toc13535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_Toc13535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_Toc8004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_Toc8004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_Toc1851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_Toc1851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_Toc17809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_Toc17809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_Toc9424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_Toc9424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_Toc384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_Toc384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_Toc24727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_Toc24727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8"/>
              <w:szCs w:val="28"/>
              <w:lang w:val="en-US" w:eastAsia="zh-CN"/>
            </w:rPr>
          </w:pP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8"/>
              <w:szCs w:val="28"/>
              <w:lang w:val="en-US" w:eastAsia="zh-CN"/>
            </w:rPr>
          </w:pP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8"/>
              <w:szCs w:val="28"/>
              <w:lang w:val="en-US" w:eastAsia="zh-CN"/>
            </w:rPr>
          </w:pP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8"/>
              <w:szCs w:val="28"/>
              <w:lang w:val="en-US" w:eastAsia="zh-CN"/>
            </w:rPr>
          </w:pP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8"/>
              <w:szCs w:val="28"/>
              <w:lang w:val="en-US" w:eastAsia="zh-CN"/>
            </w:rPr>
          </w:pP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sz w:val="28"/>
              <w:szCs w:val="28"/>
              <w:lang w:val="en-US" w:eastAsia="zh-CN"/>
            </w:rPr>
          </w:pPr>
        </w:p>
        <w:p>
          <w:pPr>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sz w:val="30"/>
              <w:szCs w:val="30"/>
              <w:lang w:val="en-US" w:eastAsia="zh-CN"/>
            </w:rPr>
          </w:pPr>
        </w:p>
      </w:sdtContent>
    </w:sdt>
    <w:p>
      <w:pPr>
        <w:pageBreakBefore w:val="0"/>
        <w:numPr>
          <w:numId w:val="0"/>
        </w:numPr>
        <w:kinsoku/>
        <w:wordWrap/>
        <w:overflowPunct/>
        <w:topLinePunct w:val="0"/>
        <w:autoSpaceDE/>
        <w:autoSpaceDN/>
        <w:bidi w:val="0"/>
        <w:adjustRightInd/>
        <w:snapToGrid/>
        <w:spacing w:line="360" w:lineRule="auto"/>
        <w:ind w:leftChars="0"/>
        <w:textAlignment w:val="auto"/>
        <w:outlineLvl w:val="0"/>
        <w:rPr>
          <w:rFonts w:hint="eastAsia" w:ascii="宋体" w:hAnsi="宋体" w:eastAsia="宋体" w:cs="宋体"/>
          <w:b/>
          <w:sz w:val="30"/>
          <w:szCs w:val="30"/>
        </w:rPr>
      </w:pPr>
      <w:bookmarkStart w:id="0" w:name="_Toc20786"/>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自动SF6露点仪的招标，它提出设备的功能、结构、性能、安装和试验等方面的技术要求。</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pageBreakBefore w:val="0"/>
        <w:numPr>
          <w:ilvl w:val="0"/>
          <w:numId w:val="0"/>
        </w:numPr>
        <w:kinsoku/>
        <w:wordWrap/>
        <w:overflowPunct/>
        <w:topLinePunct w:val="0"/>
        <w:autoSpaceDE/>
        <w:autoSpaceDN/>
        <w:bidi w:val="0"/>
        <w:adjustRightInd/>
        <w:snapToGrid/>
        <w:spacing w:line="360" w:lineRule="auto"/>
        <w:ind w:leftChars="0"/>
        <w:textAlignment w:val="auto"/>
        <w:outlineLvl w:val="0"/>
        <w:rPr>
          <w:rFonts w:hint="eastAsia" w:ascii="宋体" w:hAnsi="宋体" w:eastAsia="宋体" w:cs="宋体"/>
          <w:b/>
          <w:sz w:val="30"/>
          <w:szCs w:val="30"/>
          <w:lang w:val="en-US" w:eastAsia="zh-CN"/>
        </w:rPr>
      </w:pPr>
      <w:bookmarkStart w:id="1" w:name="_Toc6014"/>
      <w:r>
        <w:rPr>
          <w:rFonts w:hint="eastAsia" w:ascii="宋体" w:hAnsi="宋体" w:eastAsia="宋体" w:cs="宋体"/>
          <w:b/>
          <w:sz w:val="30"/>
          <w:szCs w:val="30"/>
          <w:lang w:val="en-US" w:eastAsia="zh-CN"/>
        </w:rPr>
        <w:t>2 引用标准</w:t>
      </w:r>
      <w:bookmarkEnd w:id="1"/>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GB/T 11605  湿度测量方法</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GB 5832.2  气体中微量水分的测定(露点法)</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GB/T 8905  六氟化硫电气设备中气体管理和检测导则</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DL 1032  电气设备用六氟化硫（SF6）气体取样方法</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DL/T 506  六氟化硫电气设备绝缘气体湿度测量方法</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Q</w:t>
      </w:r>
      <w:r>
        <w:rPr>
          <w:rFonts w:hint="eastAsia" w:ascii="宋体" w:hAnsi="宋体" w:eastAsia="宋体" w:cs="宋体"/>
          <w:sz w:val="28"/>
          <w:szCs w:val="28"/>
          <w:lang w:val="en-US" w:eastAsia="zh-CN"/>
        </w:rPr>
        <w:t>/</w:t>
      </w:r>
      <w:r>
        <w:rPr>
          <w:rFonts w:hint="eastAsia" w:ascii="宋体" w:hAnsi="宋体" w:eastAsia="宋体" w:cs="宋体"/>
          <w:sz w:val="28"/>
          <w:szCs w:val="28"/>
        </w:rPr>
        <w:t>CSG</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1206007-2017  电力设备检修试验规程</w:t>
      </w:r>
    </w:p>
    <w:p>
      <w:pPr>
        <w:pageBreakBefore w:val="0"/>
        <w:numPr>
          <w:ilvl w:val="0"/>
          <w:numId w:val="0"/>
        </w:numPr>
        <w:kinsoku/>
        <w:wordWrap/>
        <w:overflowPunct/>
        <w:topLinePunct w:val="0"/>
        <w:autoSpaceDE/>
        <w:autoSpaceDN/>
        <w:bidi w:val="0"/>
        <w:adjustRightInd/>
        <w:snapToGrid/>
        <w:spacing w:line="360" w:lineRule="auto"/>
        <w:ind w:leftChars="0"/>
        <w:textAlignment w:val="auto"/>
        <w:outlineLvl w:val="0"/>
        <w:rPr>
          <w:rFonts w:hint="eastAsia" w:ascii="宋体" w:hAnsi="宋体" w:eastAsia="宋体" w:cs="宋体"/>
          <w:b/>
          <w:sz w:val="30"/>
          <w:szCs w:val="30"/>
          <w:lang w:val="en-US" w:eastAsia="zh-CN"/>
        </w:rPr>
      </w:pPr>
      <w:bookmarkStart w:id="2" w:name="_Toc5148"/>
      <w:r>
        <w:rPr>
          <w:rFonts w:hint="eastAsia" w:ascii="宋体" w:hAnsi="宋体" w:eastAsia="宋体" w:cs="宋体"/>
          <w:b/>
          <w:sz w:val="30"/>
          <w:szCs w:val="30"/>
          <w:lang w:val="en-US" w:eastAsia="zh-CN"/>
        </w:rPr>
        <w:t>3 工作使用条件</w:t>
      </w:r>
      <w:bookmarkEnd w:id="2"/>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w:t>
      </w: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环</w:t>
      </w:r>
      <w:r>
        <w:rPr>
          <w:rFonts w:hint="eastAsia" w:ascii="宋体" w:hAnsi="宋体" w:eastAsia="宋体" w:cs="宋体"/>
          <w:sz w:val="28"/>
          <w:szCs w:val="28"/>
          <w:lang w:val="en-US" w:eastAsia="zh-CN"/>
        </w:rPr>
        <w:t>境湿度：15～90%，无凝露</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使用地点：室内</w:t>
      </w:r>
      <w:r>
        <w:rPr>
          <w:rFonts w:hint="eastAsia" w:ascii="宋体" w:hAnsi="宋体" w:eastAsia="宋体" w:cs="宋体"/>
          <w:sz w:val="28"/>
          <w:szCs w:val="28"/>
          <w:lang w:val="en-US" w:eastAsia="zh-CN"/>
        </w:rPr>
        <w:t>外</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电源频率：(50±1)Hz</w:t>
      </w:r>
    </w:p>
    <w:p>
      <w:pPr>
        <w:pageBreakBefore w:val="0"/>
        <w:numPr>
          <w:ilvl w:val="0"/>
          <w:numId w:val="0"/>
        </w:numPr>
        <w:kinsoku/>
        <w:wordWrap/>
        <w:overflowPunct/>
        <w:topLinePunct w:val="0"/>
        <w:autoSpaceDE/>
        <w:autoSpaceDN/>
        <w:bidi w:val="0"/>
        <w:adjustRightInd/>
        <w:snapToGrid/>
        <w:spacing w:line="360" w:lineRule="auto"/>
        <w:ind w:leftChars="0"/>
        <w:textAlignment w:val="auto"/>
        <w:outlineLvl w:val="0"/>
        <w:rPr>
          <w:rFonts w:hint="eastAsia" w:ascii="宋体" w:hAnsi="宋体" w:eastAsia="宋体" w:cs="宋体"/>
          <w:b/>
          <w:sz w:val="30"/>
          <w:szCs w:val="30"/>
          <w:lang w:val="en-US" w:eastAsia="zh-CN"/>
        </w:rPr>
      </w:pPr>
      <w:bookmarkStart w:id="3" w:name="_Toc26287"/>
      <w:r>
        <w:rPr>
          <w:rFonts w:hint="eastAsia" w:ascii="宋体" w:hAnsi="宋体" w:eastAsia="宋体" w:cs="宋体"/>
          <w:b/>
          <w:sz w:val="30"/>
          <w:szCs w:val="30"/>
          <w:lang w:val="en-US" w:eastAsia="zh-CN"/>
        </w:rPr>
        <w:t>4 设备功能及技术要求</w:t>
      </w:r>
      <w:bookmarkEnd w:id="3"/>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pageBreakBefore w:val="0"/>
        <w:tabs>
          <w:tab w:val="left" w:pos="1125"/>
          <w:tab w:val="left" w:pos="3960"/>
        </w:tabs>
        <w:kinsoku/>
        <w:wordWrap/>
        <w:overflowPunct/>
        <w:topLinePunct w:val="0"/>
        <w:autoSpaceDE/>
        <w:autoSpaceDN/>
        <w:bidi w:val="0"/>
        <w:adjustRightInd/>
        <w:snapToGrid/>
        <w:spacing w:line="360" w:lineRule="auto"/>
        <w:textAlignment w:val="auto"/>
        <w:outlineLvl w:val="1"/>
        <w:rPr>
          <w:rFonts w:hint="eastAsia" w:ascii="宋体" w:hAnsi="宋体" w:eastAsia="宋体" w:cs="宋体"/>
          <w:sz w:val="28"/>
          <w:szCs w:val="28"/>
        </w:rPr>
      </w:pPr>
      <w:bookmarkStart w:id="4" w:name="_Toc12513"/>
      <w:r>
        <w:rPr>
          <w:rFonts w:hint="eastAsia" w:ascii="宋体" w:hAnsi="宋体" w:eastAsia="宋体" w:cs="宋体"/>
          <w:b/>
          <w:sz w:val="28"/>
          <w:szCs w:val="28"/>
        </w:rPr>
        <w:t>4.1功能要求</w:t>
      </w:r>
      <w:bookmarkEnd w:id="4"/>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bookmarkStart w:id="5" w:name="_Toc4556"/>
      <w:bookmarkStart w:id="6" w:name="_Toc167008908"/>
      <w:bookmarkStart w:id="7" w:name="_Toc200511818"/>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SF6露点仪必须完成开机零点、斜率、模块自检，开机露点自校准、实时显示测量曲线、测量数据的存储、打印、智能电量的显示。工作时间不小于48小时</w:t>
      </w:r>
      <w:r>
        <w:rPr>
          <w:rFonts w:hint="eastAsia" w:ascii="宋体" w:hAnsi="宋体" w:eastAsia="宋体" w:cs="宋体"/>
          <w:sz w:val="28"/>
          <w:szCs w:val="28"/>
          <w:lang w:val="en-US" w:eastAsia="zh-CN"/>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检测原理：镀铑露点镜，光学检测</w:t>
      </w:r>
      <w:r>
        <w:rPr>
          <w:rFonts w:hint="eastAsia" w:ascii="宋体" w:hAnsi="宋体" w:eastAsia="宋体" w:cs="宋体"/>
          <w:sz w:val="28"/>
          <w:szCs w:val="28"/>
          <w:lang w:val="en-US" w:eastAsia="zh-CN"/>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湿度折算：应自动将不同温度的被测气体湿度测量结果转换为20℃标准条件下的湿度值，并可判定其合格性</w:t>
      </w:r>
      <w:r>
        <w:rPr>
          <w:rFonts w:hint="eastAsia" w:ascii="宋体" w:hAnsi="宋体" w:eastAsia="宋体" w:cs="宋体"/>
          <w:sz w:val="28"/>
          <w:szCs w:val="28"/>
          <w:lang w:eastAsia="zh-CN"/>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压力校正：应自动消除大气压变化对测量精度的误差</w:t>
      </w:r>
      <w:r>
        <w:rPr>
          <w:rFonts w:hint="eastAsia" w:ascii="宋体" w:hAnsi="宋体" w:eastAsia="宋体" w:cs="宋体"/>
          <w:sz w:val="28"/>
          <w:szCs w:val="28"/>
          <w:lang w:val="en-US" w:eastAsia="zh-CN"/>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防过冷水：应有效消除过冷水现象造成的测量误差</w:t>
      </w:r>
      <w:r>
        <w:rPr>
          <w:rFonts w:hint="eastAsia" w:ascii="宋体" w:hAnsi="宋体" w:eastAsia="宋体" w:cs="宋体"/>
          <w:sz w:val="28"/>
          <w:szCs w:val="28"/>
          <w:lang w:val="en-US" w:eastAsia="zh-CN"/>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防SF6液化：应有效防止SF6在镜面液化</w:t>
      </w:r>
      <w:r>
        <w:rPr>
          <w:rFonts w:hint="eastAsia" w:ascii="宋体" w:hAnsi="宋体" w:eastAsia="宋体" w:cs="宋体"/>
          <w:sz w:val="28"/>
          <w:szCs w:val="28"/>
          <w:lang w:val="en-US" w:eastAsia="zh-CN"/>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sz w:val="28"/>
          <w:szCs w:val="28"/>
        </w:rPr>
        <w:t>露点、湿度、大气压力、环境温度直读：应直观显示当前测量的露点、湿度值、大气压力、环境温度值和经压力校正、温度折算后的露点、湿度值</w:t>
      </w:r>
      <w:r>
        <w:rPr>
          <w:rFonts w:hint="eastAsia" w:ascii="宋体" w:hAnsi="宋体" w:eastAsia="宋体" w:cs="宋体"/>
          <w:sz w:val="28"/>
          <w:szCs w:val="28"/>
          <w:lang w:val="en-US" w:eastAsia="zh-CN"/>
        </w:rPr>
        <w:t>。</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w:t>
      </w:r>
      <w:r>
        <w:rPr>
          <w:rFonts w:hint="eastAsia" w:ascii="宋体" w:hAnsi="宋体" w:eastAsia="宋体" w:cs="宋体"/>
          <w:sz w:val="28"/>
          <w:szCs w:val="28"/>
        </w:rPr>
        <w:t>干燥式气路设计：设备内部测量管路与外部测量管路组成气体通路，在连续两次测量或隔日测量时应能将上次测量样气密封在气体通路中，减少下次测量气体通路干燥的时间，同时具备管道冲洗、清零功能，可使用SF6气体、干燥空气清洁管路及仪器测试单元。</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9</w:t>
      </w:r>
      <w:r>
        <w:rPr>
          <w:rFonts w:hint="eastAsia" w:ascii="宋体" w:hAnsi="宋体" w:eastAsia="宋体" w:cs="宋体"/>
          <w:sz w:val="28"/>
          <w:szCs w:val="28"/>
          <w:lang w:eastAsia="zh-CN"/>
        </w:rPr>
        <w:t>）</w:t>
      </w:r>
      <w:r>
        <w:rPr>
          <w:rFonts w:hint="eastAsia" w:ascii="宋体" w:hAnsi="宋体" w:eastAsia="宋体" w:cs="宋体"/>
          <w:sz w:val="28"/>
          <w:szCs w:val="28"/>
        </w:rPr>
        <w:t>组合式采样管路：至少满足“8米+5米+2米”的组合式采样管路，满足现场测量的需要</w:t>
      </w:r>
      <w:r>
        <w:rPr>
          <w:rFonts w:hint="eastAsia" w:ascii="宋体" w:hAnsi="宋体" w:eastAsia="宋体" w:cs="宋体"/>
          <w:sz w:val="28"/>
          <w:szCs w:val="28"/>
          <w:lang w:val="en-US" w:eastAsia="zh-CN"/>
        </w:rPr>
        <w:t>。</w:t>
      </w:r>
    </w:p>
    <w:p>
      <w:pPr>
        <w:pStyle w:val="5"/>
        <w:pageBreakBefore w:val="0"/>
        <w:tabs>
          <w:tab w:val="clear" w:pos="3276"/>
        </w:tabs>
        <w:kinsoku/>
        <w:wordWrap/>
        <w:overflowPunct/>
        <w:topLinePunct w:val="0"/>
        <w:autoSpaceDE/>
        <w:autoSpaceDN/>
        <w:bidi w:val="0"/>
        <w:adjustRightInd/>
        <w:snapToGrid/>
        <w:spacing w:before="0" w:after="0" w:line="360" w:lineRule="auto"/>
        <w:ind w:left="0" w:firstLine="0"/>
        <w:textAlignment w:val="auto"/>
        <w:rPr>
          <w:rFonts w:hint="eastAsia" w:ascii="宋体" w:hAnsi="宋体" w:eastAsia="宋体" w:cs="宋体"/>
          <w:sz w:val="28"/>
          <w:szCs w:val="28"/>
        </w:rPr>
      </w:pPr>
      <w:bookmarkStart w:id="8" w:name="_Toc31488"/>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散热方式</w:t>
            </w:r>
          </w:p>
        </w:tc>
        <w:tc>
          <w:tcPr>
            <w:tcW w:w="6842"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热管散热与柔性导热，最大制冷能力下，20分钟温度上升应在2℃以内（须提供权威机构出具的使用效果检测证明）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露点测量范围</w:t>
            </w:r>
          </w:p>
        </w:tc>
        <w:tc>
          <w:tcPr>
            <w:tcW w:w="6842"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-62℃～室温（须提供权威机构出具的使用效果检测证明）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精度</w:t>
            </w:r>
          </w:p>
        </w:tc>
        <w:tc>
          <w:tcPr>
            <w:tcW w:w="6842"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测量范围</w:t>
            </w:r>
          </w:p>
        </w:tc>
        <w:tc>
          <w:tcPr>
            <w:tcW w:w="6842"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-80℃～20℃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测量时间</w:t>
            </w:r>
          </w:p>
        </w:tc>
        <w:tc>
          <w:tcPr>
            <w:tcW w:w="6842"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环境温度＜30℃且露点值＞-50℃条件时，测量时间≤3分钟</w:t>
            </w:r>
          </w:p>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环境温度≥30℃且露点值≤-50℃条件时，测量时间≤5分钟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取样气体流量</w:t>
            </w:r>
          </w:p>
        </w:tc>
        <w:tc>
          <w:tcPr>
            <w:tcW w:w="6842"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≤300ml/min，带流量控制调节功能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电子流量计显示</w:t>
            </w:r>
          </w:p>
        </w:tc>
        <w:tc>
          <w:tcPr>
            <w:tcW w:w="6842" w:type="dxa"/>
            <w:vAlign w:val="center"/>
          </w:tcPr>
          <w:p>
            <w:pPr>
              <w:pageBreakBefore w:val="0"/>
              <w:tabs>
                <w:tab w:val="left" w:pos="1125"/>
                <w:tab w:val="left" w:pos="3960"/>
              </w:tabs>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流量精度±1%，流量范围：0～20 L/h ，SF6气体压力0～1.0MPa</w:t>
            </w:r>
          </w:p>
        </w:tc>
      </w:tr>
    </w:tbl>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30"/>
          <w:szCs w:val="30"/>
          <w:lang w:val="en-US" w:eastAsia="zh-CN"/>
        </w:rPr>
      </w:pPr>
    </w:p>
    <w:p>
      <w:pPr>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kern w:val="0"/>
          <w:sz w:val="28"/>
          <w:szCs w:val="28"/>
        </w:rPr>
      </w:pPr>
      <w:bookmarkStart w:id="9" w:name="_Toc5937"/>
      <w:r>
        <w:rPr>
          <w:rFonts w:hint="eastAsia" w:ascii="宋体" w:hAnsi="宋体" w:eastAsia="宋体" w:cs="宋体"/>
          <w:b/>
          <w:sz w:val="30"/>
          <w:szCs w:val="30"/>
          <w:lang w:val="en-US" w:eastAsia="zh-CN"/>
        </w:rPr>
        <w:t>5 设备的供货范围要求</w:t>
      </w:r>
      <w:bookmarkEnd w:id="9"/>
    </w:p>
    <w:p>
      <w:pPr>
        <w:pageBreakBefore w:val="0"/>
        <w:tabs>
          <w:tab w:val="left" w:pos="90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SF6露点仪</w:t>
            </w:r>
          </w:p>
        </w:tc>
        <w:tc>
          <w:tcPr>
            <w:tcW w:w="1853" w:type="dxa"/>
            <w:vAlign w:val="center"/>
          </w:tcPr>
          <w:p>
            <w:pPr>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聚四氟乙烯管（带金属铠装保护）（8m+5m+2m）</w:t>
            </w:r>
          </w:p>
        </w:tc>
        <w:tc>
          <w:tcPr>
            <w:tcW w:w="1853" w:type="dxa"/>
            <w:vAlign w:val="center"/>
          </w:tcPr>
          <w:p>
            <w:pPr>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3</w:t>
            </w:r>
            <w:r>
              <w:rPr>
                <w:rFonts w:hint="eastAsia" w:ascii="宋体" w:hAnsi="宋体" w:eastAsia="宋体" w:cs="宋体"/>
                <w:sz w:val="28"/>
                <w:szCs w:val="28"/>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成套SF6气体测试接头</w:t>
            </w:r>
          </w:p>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（铜质材料，逆止阀式）</w:t>
            </w:r>
          </w:p>
        </w:tc>
        <w:tc>
          <w:tcPr>
            <w:tcW w:w="1853" w:type="dxa"/>
            <w:vAlign w:val="center"/>
          </w:tcPr>
          <w:p>
            <w:pPr>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产品说明书及电子文档</w:t>
            </w:r>
          </w:p>
        </w:tc>
        <w:tc>
          <w:tcPr>
            <w:tcW w:w="1853" w:type="dxa"/>
            <w:vAlign w:val="center"/>
          </w:tcPr>
          <w:p>
            <w:pPr>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出厂检测报告</w:t>
            </w:r>
          </w:p>
        </w:tc>
        <w:tc>
          <w:tcPr>
            <w:tcW w:w="1853" w:type="dxa"/>
            <w:vAlign w:val="center"/>
          </w:tcPr>
          <w:p>
            <w:pPr>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pageBreakBefore w:val="0"/>
              <w:widowControl w:val="0"/>
              <w:suppressAutoHyphen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产品合格证</w:t>
            </w:r>
          </w:p>
        </w:tc>
        <w:tc>
          <w:tcPr>
            <w:tcW w:w="1853" w:type="dxa"/>
            <w:vAlign w:val="center"/>
          </w:tcPr>
          <w:p>
            <w:pPr>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kern w:val="1"/>
                <w:sz w:val="28"/>
                <w:szCs w:val="28"/>
                <w:lang w:val="en-US" w:eastAsia="zh-CN" w:bidi="ar-SA"/>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bl>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0357"/>
      <w:bookmarkStart w:id="11" w:name="_Toc12038"/>
      <w:bookmarkStart w:id="12" w:name="_Toc6348"/>
      <w:bookmarkStart w:id="13" w:name="_Toc13993"/>
      <w:bookmarkStart w:id="14" w:name="_Toc22926"/>
      <w:bookmarkStart w:id="15" w:name="_Toc13535"/>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16264"/>
      <w:bookmarkStart w:id="17" w:name="_Toc32443"/>
      <w:bookmarkStart w:id="18" w:name="_Toc11534"/>
      <w:bookmarkStart w:id="19" w:name="_Toc23336"/>
      <w:bookmarkStart w:id="20" w:name="_Toc18597"/>
      <w:bookmarkStart w:id="21" w:name="_Toc19111"/>
      <w:bookmarkStart w:id="22" w:name="_Toc8004"/>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29029"/>
      <w:bookmarkStart w:id="25" w:name="_Toc16249"/>
      <w:bookmarkStart w:id="26" w:name="_Toc31014"/>
      <w:bookmarkStart w:id="27" w:name="_Toc18060"/>
      <w:bookmarkStart w:id="28" w:name="_Toc28113"/>
      <w:bookmarkStart w:id="29" w:name="_Toc3099"/>
      <w:bookmarkStart w:id="30" w:name="_Toc1851"/>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30"/>
      <w:bookmarkStart w:id="34" w:name="_Toc26718"/>
      <w:bookmarkStart w:id="35" w:name="_Toc17905"/>
      <w:bookmarkStart w:id="36" w:name="_Toc6783"/>
      <w:bookmarkStart w:id="37" w:name="_Toc4614"/>
      <w:bookmarkStart w:id="38" w:name="_Toc5683"/>
      <w:bookmarkStart w:id="39" w:name="_Toc17809"/>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3"/>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3"/>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5839"/>
      <w:bookmarkStart w:id="44" w:name="_Toc2111"/>
      <w:bookmarkStart w:id="45" w:name="_Toc10568"/>
      <w:bookmarkStart w:id="46" w:name="_Toc7428"/>
      <w:bookmarkStart w:id="47" w:name="_Toc26867"/>
      <w:bookmarkStart w:id="48" w:name="_Toc3624"/>
      <w:bookmarkStart w:id="49" w:name="_Toc9424"/>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41535612"/>
      <w:bookmarkStart w:id="54" w:name="_Toc257812191"/>
      <w:bookmarkStart w:id="55"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2741"/>
      <w:bookmarkStart w:id="57" w:name="_Toc7867"/>
      <w:bookmarkStart w:id="58" w:name="_Toc19273"/>
      <w:bookmarkStart w:id="59" w:name="_Toc1329"/>
      <w:bookmarkStart w:id="60" w:name="_Toc27907"/>
      <w:bookmarkStart w:id="61" w:name="_Toc23903"/>
      <w:bookmarkStart w:id="62" w:name="_Toc384"/>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3"/>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87612876"/>
      <w:bookmarkStart w:id="66" w:name="_Toc34153561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5384"/>
      <w:bookmarkStart w:id="68" w:name="_Toc22068"/>
      <w:bookmarkStart w:id="69" w:name="_Toc5901"/>
      <w:bookmarkStart w:id="70" w:name="_Toc17828"/>
      <w:bookmarkStart w:id="71" w:name="_Toc9650"/>
      <w:bookmarkStart w:id="72" w:name="_Toc5236"/>
      <w:bookmarkStart w:id="73" w:name="_Toc24727"/>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right"/>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w:t>
    </w:r>
    <w:r>
      <w:rPr>
        <w:rFonts w:hint="eastAsia" w:ascii="宋体" w:hAnsi="宋体"/>
        <w:lang w:val="en-US" w:eastAsia="zh-CN"/>
      </w:rPr>
      <w:t>变电专业SF6露点仪技术规范书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6C83369"/>
    <w:rsid w:val="06F74250"/>
    <w:rsid w:val="06FC1FE4"/>
    <w:rsid w:val="073440CA"/>
    <w:rsid w:val="083B22E9"/>
    <w:rsid w:val="09DA6CE5"/>
    <w:rsid w:val="0AA06A69"/>
    <w:rsid w:val="0B1D612C"/>
    <w:rsid w:val="0B9E7B3E"/>
    <w:rsid w:val="0BAC324C"/>
    <w:rsid w:val="0BBD0B5D"/>
    <w:rsid w:val="0BD92CA9"/>
    <w:rsid w:val="0D09760B"/>
    <w:rsid w:val="0DF84B27"/>
    <w:rsid w:val="0E4C7BE5"/>
    <w:rsid w:val="0ED04650"/>
    <w:rsid w:val="0F4B632C"/>
    <w:rsid w:val="117656A1"/>
    <w:rsid w:val="11C76314"/>
    <w:rsid w:val="11F81621"/>
    <w:rsid w:val="121A5772"/>
    <w:rsid w:val="122703EF"/>
    <w:rsid w:val="129375E2"/>
    <w:rsid w:val="1364719A"/>
    <w:rsid w:val="13A0311A"/>
    <w:rsid w:val="14AE74C4"/>
    <w:rsid w:val="14E82F59"/>
    <w:rsid w:val="152A59B2"/>
    <w:rsid w:val="157E633F"/>
    <w:rsid w:val="17247B54"/>
    <w:rsid w:val="17B22491"/>
    <w:rsid w:val="17E13951"/>
    <w:rsid w:val="17E9578A"/>
    <w:rsid w:val="196A1CCC"/>
    <w:rsid w:val="19F05946"/>
    <w:rsid w:val="1A050DE8"/>
    <w:rsid w:val="1B5F7121"/>
    <w:rsid w:val="1E476C31"/>
    <w:rsid w:val="206C32B1"/>
    <w:rsid w:val="20A85646"/>
    <w:rsid w:val="22783F62"/>
    <w:rsid w:val="22F56ECA"/>
    <w:rsid w:val="23846F1A"/>
    <w:rsid w:val="26301520"/>
    <w:rsid w:val="264B09E7"/>
    <w:rsid w:val="29253C5F"/>
    <w:rsid w:val="292B071C"/>
    <w:rsid w:val="2D5F3BEA"/>
    <w:rsid w:val="2DAD1295"/>
    <w:rsid w:val="2F82055E"/>
    <w:rsid w:val="3015100B"/>
    <w:rsid w:val="30575940"/>
    <w:rsid w:val="32B02F4F"/>
    <w:rsid w:val="32ED7EDB"/>
    <w:rsid w:val="33515420"/>
    <w:rsid w:val="3459654B"/>
    <w:rsid w:val="35724440"/>
    <w:rsid w:val="35E67CC2"/>
    <w:rsid w:val="35EA73E3"/>
    <w:rsid w:val="37130BEA"/>
    <w:rsid w:val="397E1DFD"/>
    <w:rsid w:val="398B33E3"/>
    <w:rsid w:val="3A363648"/>
    <w:rsid w:val="3AF505AA"/>
    <w:rsid w:val="3B007723"/>
    <w:rsid w:val="3B3E176C"/>
    <w:rsid w:val="3BC03446"/>
    <w:rsid w:val="3EB65EA7"/>
    <w:rsid w:val="3F306184"/>
    <w:rsid w:val="407946F1"/>
    <w:rsid w:val="4592285F"/>
    <w:rsid w:val="45FA704D"/>
    <w:rsid w:val="461061B1"/>
    <w:rsid w:val="46122A69"/>
    <w:rsid w:val="46930D59"/>
    <w:rsid w:val="48935017"/>
    <w:rsid w:val="49A73E15"/>
    <w:rsid w:val="4A400CF0"/>
    <w:rsid w:val="4C2C0CD0"/>
    <w:rsid w:val="4C6B6707"/>
    <w:rsid w:val="4CC534FF"/>
    <w:rsid w:val="4CF47715"/>
    <w:rsid w:val="4D442103"/>
    <w:rsid w:val="4D605863"/>
    <w:rsid w:val="4DE24485"/>
    <w:rsid w:val="4F320635"/>
    <w:rsid w:val="509715BA"/>
    <w:rsid w:val="52873053"/>
    <w:rsid w:val="53176A9C"/>
    <w:rsid w:val="53C92214"/>
    <w:rsid w:val="53F40CBE"/>
    <w:rsid w:val="542A117B"/>
    <w:rsid w:val="546F3F6B"/>
    <w:rsid w:val="54F112A5"/>
    <w:rsid w:val="559336C4"/>
    <w:rsid w:val="56DD1F1C"/>
    <w:rsid w:val="585B5B7A"/>
    <w:rsid w:val="595744CF"/>
    <w:rsid w:val="5C537622"/>
    <w:rsid w:val="5CDD10BF"/>
    <w:rsid w:val="5D3F5BD6"/>
    <w:rsid w:val="5E052881"/>
    <w:rsid w:val="5F273CAC"/>
    <w:rsid w:val="5F5027A2"/>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DC2C9B"/>
    <w:rsid w:val="7015325F"/>
    <w:rsid w:val="71E21A2C"/>
    <w:rsid w:val="738D6525"/>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p0"/>
    <w:basedOn w:val="1"/>
    <w:qFormat/>
    <w:uiPriority w:val="0"/>
    <w:pPr>
      <w:widowControl/>
      <w:jc w:val="left"/>
    </w:pPr>
    <w:rPr>
      <w:rFonts w:ascii="Calibri" w:hAnsi="Calibri" w:eastAsia="Arial Unicode MS"/>
      <w:kern w:val="0"/>
      <w:szCs w:val="20"/>
    </w:rPr>
  </w:style>
  <w:style w:type="paragraph" w:customStyle="1" w:styleId="34">
    <w:name w:val="WPSOffice手动目录 1"/>
    <w:uiPriority w:val="0"/>
    <w:pPr>
      <w:ind w:leftChars="0"/>
    </w:pPr>
    <w:rPr>
      <w:sz w:val="20"/>
      <w:szCs w:val="20"/>
    </w:rPr>
  </w:style>
  <w:style w:type="paragraph" w:customStyle="1" w:styleId="3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1913</Words>
  <Characters>2107</Characters>
  <Lines>16</Lines>
  <Paragraphs>4</Paragraphs>
  <TotalTime>1</TotalTime>
  <ScaleCrop>false</ScaleCrop>
  <LinksUpToDate>false</LinksUpToDate>
  <CharactersWithSpaces>2160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admin</cp:lastModifiedBy>
  <dcterms:modified xsi:type="dcterms:W3CDTF">2025-07-20T13:50:50Z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