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烘箱（带鼓风功能）</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3178"/>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_Toc6682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总则</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_Toc6682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_Toc24662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lang w:val="en-US" w:eastAsia="zh-CN"/>
            </w:rPr>
            <w:t xml:space="preserve">2 </w:t>
          </w:r>
          <w:r>
            <w:rPr>
              <w:rFonts w:hint="eastAsia" w:ascii="宋体" w:hAnsi="宋体" w:eastAsia="宋体" w:cs="宋体"/>
              <w:sz w:val="28"/>
              <w:szCs w:val="28"/>
            </w:rPr>
            <w:t>引用标准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_Toc24662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_Toc26495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lang w:val="en-US" w:eastAsia="zh-CN"/>
            </w:rPr>
            <w:t>3 工作使用条件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_Toc26495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_Toc22811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val="0"/>
              <w:kern w:val="2"/>
              <w:sz w:val="28"/>
              <w:szCs w:val="28"/>
              <w:lang w:val="en-US" w:eastAsia="zh-CN" w:bidi="ar-SA"/>
            </w:rPr>
            <w:t>4设备功能及技术要求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_Toc22811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_Toc28910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lang w:val="en-US" w:eastAsia="zh-CN"/>
            </w:rPr>
            <w:t>4.1功能要求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_Toc28910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_Toc7595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rPr>
            <w:t>4.2 技术指标要求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_Toc7595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_Toc19524 </w:instrText>
          </w:r>
          <w:r>
            <w:rPr>
              <w:rFonts w:hint="eastAsia" w:ascii="宋体" w:hAnsi="宋体" w:eastAsia="宋体" w:cs="宋体"/>
              <w:bCs/>
              <w:sz w:val="28"/>
              <w:szCs w:val="28"/>
              <w:lang w:val="en-US" w:eastAsia="zh-CN"/>
            </w:rPr>
            <w:fldChar w:fldCharType="separate"/>
          </w:r>
          <w:r>
            <w:rPr>
              <w:rFonts w:hint="eastAsia" w:ascii="宋体" w:hAnsi="宋体" w:eastAsia="宋体" w:cs="宋体"/>
              <w:sz w:val="28"/>
              <w:szCs w:val="28"/>
              <w:lang w:val="en-US" w:eastAsia="zh-CN"/>
            </w:rPr>
            <w:t>5 设备的供货范围要求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_Toc19524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_Toc11707 </w:instrText>
          </w:r>
          <w:r>
            <w:rPr>
              <w:rFonts w:hint="eastAsia" w:ascii="宋体" w:hAnsi="宋体" w:eastAsia="宋体" w:cs="宋体"/>
              <w:bCs/>
              <w:sz w:val="28"/>
              <w:szCs w:val="28"/>
              <w:lang w:val="en-US" w:eastAsia="zh-CN"/>
            </w:rPr>
            <w:fldChar w:fldCharType="separate"/>
          </w:r>
          <w:r>
            <w:rPr>
              <w:rFonts w:hint="eastAsia" w:ascii="宋体" w:hAnsi="宋体" w:eastAsia="宋体" w:cs="宋体"/>
              <w:kern w:val="2"/>
              <w:sz w:val="28"/>
              <w:szCs w:val="28"/>
              <w:lang w:val="en-US" w:eastAsia="zh-CN" w:bidi="ar-SA"/>
            </w:rPr>
            <w:t>6 包装、运输和贮存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_Toc11707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_Toc24190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val="0"/>
              <w:kern w:val="2"/>
              <w:sz w:val="28"/>
              <w:szCs w:val="28"/>
              <w:lang w:val="en-US" w:eastAsia="zh-CN" w:bidi="ar-SA"/>
            </w:rPr>
            <w:t>7 售后服务和技术培训要求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_Toc24190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_Toc13804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sz w:val="28"/>
              <w:szCs w:val="28"/>
              <w:lang w:val="en-US" w:eastAsia="zh-CN"/>
            </w:rPr>
            <w:t>7.1 售后服务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_Toc13804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_Toc30448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sz w:val="28"/>
              <w:szCs w:val="28"/>
              <w:lang w:val="en-US" w:eastAsia="zh-CN"/>
            </w:rPr>
            <w:t>7.2 技术培训</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_Toc30448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_Toc4270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val="0"/>
              <w:kern w:val="2"/>
              <w:sz w:val="28"/>
              <w:szCs w:val="28"/>
              <w:lang w:val="en-US" w:eastAsia="zh-CN" w:bidi="ar-SA"/>
            </w:rPr>
            <w:t>8 验收要求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_Toc4270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_Toc21768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kern w:val="0"/>
              <w:sz w:val="28"/>
              <w:szCs w:val="28"/>
              <w:lang w:val="en-US" w:eastAsia="zh-CN" w:bidi="ar-SA"/>
            </w:rPr>
            <w:t>8.1 到货验收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_Toc21768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bCs/>
              <w:sz w:val="28"/>
              <w:szCs w:val="28"/>
              <w:lang w:val="en-US" w:eastAsia="zh-CN"/>
            </w:rPr>
            <w:fldChar w:fldCharType="begin"/>
          </w:r>
          <w:r>
            <w:rPr>
              <w:rFonts w:hint="eastAsia" w:ascii="宋体" w:hAnsi="宋体" w:eastAsia="宋体" w:cs="宋体"/>
              <w:bCs/>
              <w:sz w:val="28"/>
              <w:szCs w:val="28"/>
              <w:lang w:val="en-US" w:eastAsia="zh-CN"/>
            </w:rPr>
            <w:instrText xml:space="preserve"> HYPERLINK \l _Toc7019 </w:instrText>
          </w:r>
          <w:r>
            <w:rPr>
              <w:rFonts w:hint="eastAsia" w:ascii="宋体" w:hAnsi="宋体" w:eastAsia="宋体" w:cs="宋体"/>
              <w:bCs/>
              <w:sz w:val="28"/>
              <w:szCs w:val="28"/>
              <w:lang w:val="en-US" w:eastAsia="zh-CN"/>
            </w:rPr>
            <w:fldChar w:fldCharType="separate"/>
          </w:r>
          <w:r>
            <w:rPr>
              <w:rFonts w:hint="eastAsia" w:ascii="宋体" w:hAnsi="宋体" w:eastAsia="宋体" w:cs="宋体"/>
              <w:bCs/>
              <w:kern w:val="0"/>
              <w:sz w:val="28"/>
              <w:szCs w:val="28"/>
              <w:lang w:val="en-US" w:eastAsia="zh-CN" w:bidi="ar-SA"/>
            </w:rPr>
            <w:t>8.2 现场验收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_Toc7019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bCs/>
              <w:sz w:val="28"/>
              <w:szCs w:val="28"/>
              <w:lang w:val="en-US" w:eastAsia="zh-CN"/>
            </w:rPr>
            <w:fldChar w:fldCharType="end"/>
          </w:r>
        </w:p>
        <w:p>
          <w:pPr>
            <w:numPr>
              <w:numId w:val="0"/>
            </w:numPr>
            <w:spacing w:line="360" w:lineRule="auto"/>
            <w:ind w:leftChars="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fldChar w:fldCharType="end"/>
          </w: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6682"/>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烘箱</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带鼓风功能</w:t>
      </w:r>
      <w:r>
        <w:rPr>
          <w:rFonts w:hint="eastAsia" w:ascii="宋体" w:hAnsi="宋体" w:eastAsia="宋体" w:cs="宋体"/>
          <w:sz w:val="28"/>
          <w:szCs w:val="28"/>
          <w:lang w:eastAsia="zh-CN"/>
        </w:rPr>
        <w:t>）</w:t>
      </w:r>
      <w:r>
        <w:rPr>
          <w:rFonts w:hint="eastAsia" w:ascii="宋体" w:hAnsi="宋体" w:eastAsia="宋体" w:cs="宋体"/>
          <w:sz w:val="28"/>
          <w:szCs w:val="28"/>
        </w:rPr>
        <w:t>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w:t>
      </w:r>
      <w:r>
        <w:rPr>
          <w:rFonts w:hint="eastAsia" w:ascii="宋体" w:hAnsi="宋体" w:eastAsia="宋体" w:cs="宋体"/>
          <w:sz w:val="28"/>
          <w:szCs w:val="28"/>
        </w:rPr>
        <w:t>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24662"/>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GBT 30435</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电热干燥箱及电热鼓风干燥箱</w:t>
      </w:r>
    </w:p>
    <w:p>
      <w:pPr>
        <w:numPr>
          <w:ilvl w:val="0"/>
          <w:numId w:val="0"/>
        </w:numPr>
        <w:spacing w:line="360" w:lineRule="auto"/>
        <w:ind w:leftChars="0"/>
        <w:outlineLvl w:val="0"/>
        <w:rPr>
          <w:rFonts w:hint="eastAsia" w:ascii="宋体" w:hAnsi="宋体" w:eastAsia="宋体" w:cs="宋体"/>
          <w:b/>
          <w:sz w:val="30"/>
          <w:szCs w:val="30"/>
        </w:rPr>
      </w:pPr>
      <w:bookmarkStart w:id="2" w:name="_Toc26495"/>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w:t>
      </w:r>
      <w:r>
        <w:rPr>
          <w:rFonts w:hint="eastAsia" w:ascii="宋体" w:hAnsi="宋体" w:eastAsia="宋体" w:cs="宋体"/>
          <w:sz w:val="28"/>
          <w:szCs w:val="28"/>
          <w:lang w:val="en-US" w:eastAsia="zh-CN"/>
        </w:rPr>
        <w:t>境湿度：</w:t>
      </w:r>
      <w:r>
        <w:rPr>
          <w:rFonts w:hint="eastAsia" w:ascii="宋体" w:hAnsi="宋体" w:eastAsia="宋体" w:cs="宋体"/>
          <w:sz w:val="28"/>
          <w:szCs w:val="28"/>
        </w:rPr>
        <w:t>≤</w:t>
      </w:r>
      <w:r>
        <w:rPr>
          <w:rFonts w:hint="eastAsia" w:ascii="宋体" w:hAnsi="宋体" w:eastAsia="宋体" w:cs="宋体"/>
          <w:sz w:val="28"/>
          <w:szCs w:val="28"/>
          <w:lang w:val="en-US" w:eastAsia="zh-CN"/>
        </w:rPr>
        <w:t>80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Times New Roman" w:hAnsi="Times New Roman" w:eastAsia="宋体" w:cs="Times New Roman"/>
          <w:b/>
          <w:bCs w:val="0"/>
          <w:kern w:val="2"/>
          <w:sz w:val="30"/>
          <w:szCs w:val="30"/>
          <w:lang w:val="en-US" w:eastAsia="zh-CN" w:bidi="ar-SA"/>
        </w:rPr>
      </w:pPr>
      <w:bookmarkStart w:id="3" w:name="_Toc22811"/>
      <w:r>
        <w:rPr>
          <w:rFonts w:hint="eastAsia" w:ascii="Times New Roman" w:hAnsi="Times New Roman" w:eastAsia="宋体" w:cs="Times New Roman"/>
          <w:b/>
          <w:bCs w:val="0"/>
          <w:kern w:val="2"/>
          <w:sz w:val="30"/>
          <w:szCs w:val="30"/>
          <w:lang w:val="en-US" w:eastAsia="zh-CN" w:bidi="ar-SA"/>
        </w:rPr>
        <w:t>4设备功能及技术要求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pStyle w:val="5"/>
        <w:tabs>
          <w:tab w:val="clear" w:pos="3276"/>
        </w:tabs>
        <w:spacing w:beforeLines="50" w:afterLines="50" w:line="360" w:lineRule="auto"/>
        <w:ind w:left="0" w:firstLine="0"/>
        <w:outlineLvl w:val="0"/>
        <w:rPr>
          <w:rFonts w:hint="eastAsia" w:ascii="宋体" w:hAnsi="宋体" w:eastAsia="宋体" w:cs="宋体"/>
          <w:sz w:val="28"/>
          <w:szCs w:val="28"/>
          <w:lang w:val="en-US" w:eastAsia="zh-CN"/>
        </w:rPr>
      </w:pPr>
      <w:bookmarkStart w:id="4" w:name="_Toc28910"/>
      <w:r>
        <w:rPr>
          <w:rFonts w:hint="eastAsia" w:ascii="宋体" w:hAnsi="宋体" w:eastAsia="宋体" w:cs="宋体"/>
          <w:sz w:val="28"/>
          <w:szCs w:val="28"/>
          <w:lang w:val="en-US" w:eastAsia="zh-CN"/>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4556"/>
      <w:bookmarkStart w:id="6" w:name="_Toc200511818"/>
      <w:bookmarkStart w:id="7" w:name="_Toc16700890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全不锈钢内腔，便于清理</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系APT.lineTM预热腔技术实现较高的温度精准度</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rPr>
        <w:t>带LCD显示器的控制器</w:t>
      </w:r>
      <w:r>
        <w:rPr>
          <w:rFonts w:hint="eastAsia" w:ascii="宋体" w:hAnsi="宋体" w:eastAsia="宋体" w:cs="宋体"/>
          <w:sz w:val="28"/>
          <w:szCs w:val="28"/>
          <w:lang w:eastAsia="zh-CN"/>
        </w:rPr>
        <w:t>。</w:t>
      </w:r>
    </w:p>
    <w:p>
      <w:pPr>
        <w:tabs>
          <w:tab w:val="left" w:pos="1125"/>
          <w:tab w:val="left" w:pos="3960"/>
        </w:tabs>
        <w:spacing w:line="360" w:lineRule="auto"/>
        <w:ind w:left="559" w:leftChars="266"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rPr>
        <w:t>在加热器与仪器外层之间有泡沫隔热保护层</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（5）应具备鼓风功能。</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排气阀电子控制</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独立可调的温度安全装置2级（DIN12880）,采用光学报警</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w:t>
      </w:r>
      <w:r>
        <w:rPr>
          <w:rFonts w:hint="eastAsia" w:ascii="宋体" w:hAnsi="宋体" w:eastAsia="宋体" w:cs="宋体"/>
          <w:sz w:val="28"/>
          <w:szCs w:val="28"/>
        </w:rPr>
        <w:t>两个镀铬搁架</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outlineLvl w:val="0"/>
        <w:rPr>
          <w:rFonts w:hint="eastAsia" w:ascii="宋体" w:hAnsi="宋体" w:eastAsia="宋体" w:cs="宋体"/>
          <w:sz w:val="28"/>
          <w:szCs w:val="28"/>
        </w:rPr>
      </w:pPr>
      <w:bookmarkStart w:id="8" w:name="_Toc7595"/>
      <w:r>
        <w:rPr>
          <w:rFonts w:hint="eastAsia" w:ascii="宋体" w:hAnsi="宋体" w:eastAsia="宋体" w:cs="宋体"/>
          <w:sz w:val="28"/>
          <w:szCs w:val="28"/>
        </w:rPr>
        <w:t>4.2 技术指标要求</w:t>
      </w:r>
      <w:bookmarkEnd w:id="5"/>
      <w:bookmarkEnd w:id="6"/>
      <w:bookmarkEnd w:id="7"/>
      <w:bookmarkEnd w:id="8"/>
    </w:p>
    <w:tbl>
      <w:tblPr>
        <w:tblStyle w:val="16"/>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温度范围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w:t>
            </w:r>
            <w:r>
              <w:rPr>
                <w:rFonts w:hint="eastAsia" w:ascii="宋体" w:hAnsi="宋体" w:eastAsia="宋体" w:cs="宋体"/>
                <w:sz w:val="28"/>
                <w:szCs w:val="28"/>
                <w:lang w:val="en-US" w:eastAsia="zh-CN"/>
              </w:rPr>
              <w:t>度</w:t>
            </w:r>
            <w:r>
              <w:rPr>
                <w:rFonts w:hint="eastAsia" w:ascii="宋体" w:hAnsi="宋体" w:eastAsia="宋体" w:cs="宋体"/>
                <w:sz w:val="28"/>
                <w:szCs w:val="28"/>
              </w:rPr>
              <w:t>以上5-300℃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温度偏差(在150℃时</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温度波动(在150℃时</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加热到150℃时间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19min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150℃时开门30秒后恢复时间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5min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每个搁板最大负载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40KG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能耗（在150℃</w:t>
            </w:r>
            <w:r>
              <w:rPr>
                <w:rFonts w:hint="eastAsia" w:ascii="宋体" w:hAnsi="宋体" w:eastAsia="宋体" w:cs="宋体"/>
                <w:sz w:val="28"/>
                <w:szCs w:val="28"/>
                <w:lang w:eastAsia="zh-CN"/>
              </w:rPr>
              <w:t>）</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410Wh/h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内部体积</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260L</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9524"/>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922"/>
        <w:gridCol w:w="1526"/>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5"/>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922" w:type="dxa"/>
            <w:vAlign w:val="center"/>
          </w:tcPr>
          <w:p>
            <w:pPr>
              <w:pStyle w:val="25"/>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526" w:type="dxa"/>
            <w:vAlign w:val="center"/>
          </w:tcPr>
          <w:p>
            <w:pPr>
              <w:pStyle w:val="25"/>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5"/>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5"/>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922"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烘箱</w:t>
            </w:r>
            <w:r>
              <w:rPr>
                <w:rFonts w:hint="eastAsia" w:ascii="宋体" w:hAnsi="宋体" w:eastAsia="宋体" w:cs="宋体"/>
                <w:kern w:val="1"/>
                <w:sz w:val="28"/>
                <w:szCs w:val="28"/>
                <w:lang w:val="en-US" w:eastAsia="zh-CN" w:bidi="ar-SA"/>
              </w:rPr>
              <w:t>（带鼓风功能）</w:t>
            </w:r>
          </w:p>
        </w:tc>
        <w:tc>
          <w:tcPr>
            <w:tcW w:w="1526"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5"/>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922"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使用说明书</w:t>
            </w:r>
          </w:p>
        </w:tc>
        <w:tc>
          <w:tcPr>
            <w:tcW w:w="1526"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5"/>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922"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sz w:val="28"/>
                <w:szCs w:val="28"/>
                <w:lang w:val="en-US" w:eastAsia="zh-CN"/>
              </w:rPr>
              <w:t>具有CNAS资质第三方检测/校准报告</w:t>
            </w:r>
          </w:p>
        </w:tc>
        <w:tc>
          <w:tcPr>
            <w:tcW w:w="1526"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6348"/>
      <w:bookmarkStart w:id="11" w:name="_Toc10357"/>
      <w:bookmarkStart w:id="12" w:name="_Toc22926"/>
      <w:bookmarkStart w:id="13" w:name="_Toc12038"/>
      <w:bookmarkStart w:id="14" w:name="_Toc28845"/>
      <w:bookmarkStart w:id="15" w:name="_Toc11707"/>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19111"/>
      <w:bookmarkStart w:id="18" w:name="_Toc31053"/>
      <w:bookmarkStart w:id="19" w:name="_Toc18597"/>
      <w:bookmarkStart w:id="20" w:name="_Toc23336"/>
      <w:bookmarkStart w:id="21" w:name="_Toc11534"/>
      <w:bookmarkStart w:id="22" w:name="_Toc24190"/>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31014"/>
      <w:bookmarkStart w:id="25" w:name="_Toc29029"/>
      <w:bookmarkStart w:id="26" w:name="_Toc3099"/>
      <w:bookmarkStart w:id="27" w:name="_Toc18435"/>
      <w:bookmarkStart w:id="28" w:name="_Toc18060"/>
      <w:bookmarkStart w:id="29" w:name="_Toc16249"/>
      <w:bookmarkStart w:id="30" w:name="_Toc13804"/>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5683"/>
      <w:bookmarkStart w:id="34" w:name="_Toc12501"/>
      <w:bookmarkStart w:id="35" w:name="_Toc4614"/>
      <w:bookmarkStart w:id="36" w:name="_Toc6783"/>
      <w:bookmarkStart w:id="37" w:name="_Toc430"/>
      <w:bookmarkStart w:id="38" w:name="_Toc17905"/>
      <w:bookmarkStart w:id="39" w:name="_Toc30448"/>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6"/>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6"/>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7428"/>
      <w:bookmarkStart w:id="44" w:name="_Toc25839"/>
      <w:bookmarkStart w:id="45" w:name="_Toc3624"/>
      <w:bookmarkStart w:id="46" w:name="_Toc26867"/>
      <w:bookmarkStart w:id="47" w:name="_Toc10568"/>
      <w:bookmarkStart w:id="48" w:name="_Toc2928"/>
      <w:bookmarkStart w:id="49" w:name="_Toc4270"/>
      <w:r>
        <w:rPr>
          <w:rFonts w:hint="default" w:ascii="Times New Roman" w:hAnsi="Times New Roman" w:eastAsia="宋体" w:cs="Times New Roman"/>
          <w:b/>
          <w:bCs w:val="0"/>
          <w:kern w:val="2"/>
          <w:sz w:val="30"/>
          <w:szCs w:val="30"/>
          <w:lang w:val="en-US" w:eastAsia="zh-CN" w:bidi="ar-SA"/>
        </w:rPr>
        <w:t>8 验收</w:t>
      </w:r>
      <w:bookmarkStart w:id="50" w:name="_Toc390088694"/>
      <w:bookmarkStart w:id="51" w:name="_Toc38761287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257812191"/>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7907"/>
      <w:bookmarkStart w:id="57" w:name="_Toc19273"/>
      <w:bookmarkStart w:id="58" w:name="_Toc16533"/>
      <w:bookmarkStart w:id="59" w:name="_Toc23903"/>
      <w:bookmarkStart w:id="60" w:name="_Toc22741"/>
      <w:bookmarkStart w:id="61" w:name="_Toc7867"/>
      <w:bookmarkStart w:id="62" w:name="_Toc2176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6"/>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87612876"/>
      <w:bookmarkStart w:id="65" w:name="_Toc257812192"/>
      <w:bookmarkStart w:id="66"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5384"/>
      <w:bookmarkStart w:id="68" w:name="_Toc1461"/>
      <w:bookmarkStart w:id="69" w:name="_Toc22068"/>
      <w:bookmarkStart w:id="70" w:name="_Toc17828"/>
      <w:bookmarkStart w:id="71" w:name="_Toc5236"/>
      <w:bookmarkStart w:id="72" w:name="_Toc9650"/>
      <w:bookmarkStart w:id="73" w:name="_Toc7019"/>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变电专业烘箱（带鼓风功能）技术规范书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39970F0"/>
    <w:rsid w:val="04B85A8C"/>
    <w:rsid w:val="06382740"/>
    <w:rsid w:val="06C83369"/>
    <w:rsid w:val="06F74250"/>
    <w:rsid w:val="06FC1FE4"/>
    <w:rsid w:val="073440CA"/>
    <w:rsid w:val="083B22E9"/>
    <w:rsid w:val="09DA6CE5"/>
    <w:rsid w:val="0AA06A69"/>
    <w:rsid w:val="0B1D612C"/>
    <w:rsid w:val="0B9E7B3E"/>
    <w:rsid w:val="0BAC324C"/>
    <w:rsid w:val="0BBD0B5D"/>
    <w:rsid w:val="0BD92CA9"/>
    <w:rsid w:val="0D09760B"/>
    <w:rsid w:val="0DF84B27"/>
    <w:rsid w:val="0E4C7BE5"/>
    <w:rsid w:val="0ED04650"/>
    <w:rsid w:val="0F4B632C"/>
    <w:rsid w:val="117656A1"/>
    <w:rsid w:val="11C76314"/>
    <w:rsid w:val="11F81621"/>
    <w:rsid w:val="121A5772"/>
    <w:rsid w:val="122703EF"/>
    <w:rsid w:val="129375E2"/>
    <w:rsid w:val="1364719A"/>
    <w:rsid w:val="13A0311A"/>
    <w:rsid w:val="14AE74C4"/>
    <w:rsid w:val="15154D22"/>
    <w:rsid w:val="152A59B2"/>
    <w:rsid w:val="157E633F"/>
    <w:rsid w:val="17247B54"/>
    <w:rsid w:val="17B22491"/>
    <w:rsid w:val="17E9578A"/>
    <w:rsid w:val="18593DD0"/>
    <w:rsid w:val="196A1CCC"/>
    <w:rsid w:val="19AE50CF"/>
    <w:rsid w:val="19F05946"/>
    <w:rsid w:val="1A050DE8"/>
    <w:rsid w:val="1B5F7121"/>
    <w:rsid w:val="1E476C31"/>
    <w:rsid w:val="206C32B1"/>
    <w:rsid w:val="20A85646"/>
    <w:rsid w:val="217414EF"/>
    <w:rsid w:val="22783F62"/>
    <w:rsid w:val="22F56ECA"/>
    <w:rsid w:val="23294515"/>
    <w:rsid w:val="23846F1A"/>
    <w:rsid w:val="26301520"/>
    <w:rsid w:val="263D7E58"/>
    <w:rsid w:val="264B09E7"/>
    <w:rsid w:val="270940CD"/>
    <w:rsid w:val="29253C5F"/>
    <w:rsid w:val="292B071C"/>
    <w:rsid w:val="2A9610ED"/>
    <w:rsid w:val="2D5F3BEA"/>
    <w:rsid w:val="2DAD1295"/>
    <w:rsid w:val="2F82055E"/>
    <w:rsid w:val="2FFE4429"/>
    <w:rsid w:val="3015100B"/>
    <w:rsid w:val="30575940"/>
    <w:rsid w:val="32B02F4F"/>
    <w:rsid w:val="32ED7EDB"/>
    <w:rsid w:val="33515420"/>
    <w:rsid w:val="3459654B"/>
    <w:rsid w:val="35724440"/>
    <w:rsid w:val="35D04064"/>
    <w:rsid w:val="35E67CC2"/>
    <w:rsid w:val="35EA73E3"/>
    <w:rsid w:val="370A7BEE"/>
    <w:rsid w:val="37130BEA"/>
    <w:rsid w:val="378673A6"/>
    <w:rsid w:val="397E1DFD"/>
    <w:rsid w:val="398B33E3"/>
    <w:rsid w:val="3AF505AA"/>
    <w:rsid w:val="3B007723"/>
    <w:rsid w:val="3B3E176C"/>
    <w:rsid w:val="3BC03446"/>
    <w:rsid w:val="3EB65EA7"/>
    <w:rsid w:val="3F306184"/>
    <w:rsid w:val="407946F1"/>
    <w:rsid w:val="41CC31A3"/>
    <w:rsid w:val="4592285F"/>
    <w:rsid w:val="45FA704D"/>
    <w:rsid w:val="461061B1"/>
    <w:rsid w:val="46122A69"/>
    <w:rsid w:val="48935017"/>
    <w:rsid w:val="49A73E15"/>
    <w:rsid w:val="4A8536D2"/>
    <w:rsid w:val="4BDC3C83"/>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6DD1F1C"/>
    <w:rsid w:val="585B5B7A"/>
    <w:rsid w:val="58A80E04"/>
    <w:rsid w:val="595744CF"/>
    <w:rsid w:val="5AEA181B"/>
    <w:rsid w:val="5C537622"/>
    <w:rsid w:val="5CDD10BF"/>
    <w:rsid w:val="5D3F5BD6"/>
    <w:rsid w:val="5DF53FC8"/>
    <w:rsid w:val="5E052881"/>
    <w:rsid w:val="5F273CAC"/>
    <w:rsid w:val="5F5027A2"/>
    <w:rsid w:val="61877856"/>
    <w:rsid w:val="6249287A"/>
    <w:rsid w:val="62F51069"/>
    <w:rsid w:val="64C90076"/>
    <w:rsid w:val="65F60B40"/>
    <w:rsid w:val="66042581"/>
    <w:rsid w:val="677E43FB"/>
    <w:rsid w:val="6A0D0A67"/>
    <w:rsid w:val="6A163E39"/>
    <w:rsid w:val="6A2E5D2C"/>
    <w:rsid w:val="6B5C6F19"/>
    <w:rsid w:val="6C4B4ADF"/>
    <w:rsid w:val="6C63752A"/>
    <w:rsid w:val="6CFC695A"/>
    <w:rsid w:val="6D4579BF"/>
    <w:rsid w:val="6D7935F9"/>
    <w:rsid w:val="6E06478D"/>
    <w:rsid w:val="6E322ED1"/>
    <w:rsid w:val="6FA04E0F"/>
    <w:rsid w:val="6FDC2C9B"/>
    <w:rsid w:val="7015325F"/>
    <w:rsid w:val="70481945"/>
    <w:rsid w:val="71E21A2C"/>
    <w:rsid w:val="738D6525"/>
    <w:rsid w:val="755358DC"/>
    <w:rsid w:val="75A504A5"/>
    <w:rsid w:val="76C635C6"/>
    <w:rsid w:val="77790D29"/>
    <w:rsid w:val="777B444B"/>
    <w:rsid w:val="792225EC"/>
    <w:rsid w:val="79C60827"/>
    <w:rsid w:val="7A0343B8"/>
    <w:rsid w:val="7A292D70"/>
    <w:rsid w:val="7B235383"/>
    <w:rsid w:val="7BF917C8"/>
    <w:rsid w:val="7EFA67C9"/>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3"/>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1"/>
    <w:basedOn w:val="1"/>
    <w:next w:val="1"/>
    <w:uiPriority w:val="0"/>
  </w:style>
  <w:style w:type="paragraph" w:styleId="14">
    <w:name w:val="toc 2"/>
    <w:basedOn w:val="1"/>
    <w:next w:val="1"/>
    <w:uiPriority w:val="0"/>
    <w:pPr>
      <w:ind w:left="420" w:leftChars="200"/>
    </w:pPr>
  </w:style>
  <w:style w:type="paragraph" w:styleId="15">
    <w:name w:val="Normal (Web)"/>
    <w:basedOn w:val="1"/>
    <w:qFormat/>
    <w:uiPriority w:val="0"/>
    <w:pPr>
      <w:spacing w:before="100" w:beforeAutospacing="1" w:after="100"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0"/>
    <w:rPr>
      <w:b/>
    </w:rPr>
  </w:style>
  <w:style w:type="character" w:styleId="20">
    <w:name w:val="page number"/>
    <w:basedOn w:val="18"/>
    <w:qFormat/>
    <w:uiPriority w:val="0"/>
  </w:style>
  <w:style w:type="character" w:styleId="21">
    <w:name w:val="Emphasis"/>
    <w:qFormat/>
    <w:uiPriority w:val="20"/>
    <w:rPr>
      <w:i/>
      <w:iCs/>
    </w:rPr>
  </w:style>
  <w:style w:type="character" w:styleId="22">
    <w:name w:val="Hyperlink"/>
    <w:basedOn w:val="18"/>
    <w:qFormat/>
    <w:uiPriority w:val="0"/>
    <w:rPr>
      <w:color w:val="0000FF"/>
      <w:u w:val="single"/>
    </w:rPr>
  </w:style>
  <w:style w:type="character" w:customStyle="1" w:styleId="23">
    <w:name w:val="日期 Char"/>
    <w:link w:val="10"/>
    <w:qFormat/>
    <w:uiPriority w:val="0"/>
    <w:rPr>
      <w:kern w:val="2"/>
      <w:sz w:val="21"/>
    </w:rPr>
  </w:style>
  <w:style w:type="character" w:customStyle="1" w:styleId="24">
    <w:name w:val="mark"/>
    <w:basedOn w:val="18"/>
    <w:qFormat/>
    <w:uiPriority w:val="0"/>
  </w:style>
  <w:style w:type="paragraph" w:customStyle="1" w:styleId="25">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6">
    <w:name w:val="Char Char Char Char"/>
    <w:basedOn w:val="1"/>
    <w:qFormat/>
    <w:uiPriority w:val="0"/>
  </w:style>
  <w:style w:type="paragraph" w:customStyle="1" w:styleId="27">
    <w:name w:val="Char Char Char Char Char Char"/>
    <w:basedOn w:val="7"/>
    <w:qFormat/>
    <w:uiPriority w:val="0"/>
    <w:rPr>
      <w:rFonts w:ascii="Tahoma" w:hAnsi="Tahoma"/>
      <w:sz w:val="24"/>
      <w:szCs w:val="24"/>
    </w:rPr>
  </w:style>
  <w:style w:type="paragraph" w:styleId="28">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9">
    <w:name w:val="msolistparagraph"/>
    <w:basedOn w:val="1"/>
    <w:qFormat/>
    <w:uiPriority w:val="0"/>
    <w:pPr>
      <w:spacing w:line="360" w:lineRule="auto"/>
      <w:ind w:firstLine="420" w:firstLineChars="200"/>
    </w:pPr>
    <w:rPr>
      <w:rFonts w:ascii="Calibri" w:hAnsi="Calibri" w:cs="Calibri"/>
      <w:szCs w:val="21"/>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样式 标题 2"/>
    <w:basedOn w:val="5"/>
    <w:qFormat/>
    <w:uiPriority w:val="0"/>
    <w:rPr>
      <w:b w:val="0"/>
    </w:rPr>
  </w:style>
  <w:style w:type="paragraph" w:customStyle="1" w:styleId="32">
    <w:name w:val="样式1"/>
    <w:basedOn w:val="1"/>
    <w:qFormat/>
    <w:uiPriority w:val="0"/>
    <w:pPr>
      <w:numPr>
        <w:ilvl w:val="2"/>
        <w:numId w:val="1"/>
      </w:numPr>
      <w:tabs>
        <w:tab w:val="left" w:pos="570"/>
      </w:tabs>
      <w:spacing w:line="360" w:lineRule="auto"/>
    </w:pPr>
    <w:rPr>
      <w:rFonts w:ascii="宋体"/>
      <w:sz w:val="24"/>
    </w:rPr>
  </w:style>
  <w:style w:type="paragraph" w:customStyle="1" w:styleId="33">
    <w:name w:val="正文1"/>
    <w:basedOn w:val="1"/>
    <w:qFormat/>
    <w:uiPriority w:val="0"/>
    <w:pPr>
      <w:autoSpaceDE w:val="0"/>
      <w:spacing w:line="276" w:lineRule="auto"/>
      <w:ind w:firstLine="480" w:firstLineChars="200"/>
    </w:pPr>
    <w:rPr>
      <w:kern w:val="0"/>
      <w:sz w:val="24"/>
      <w:szCs w:val="20"/>
    </w:rPr>
  </w:style>
  <w:style w:type="paragraph" w:customStyle="1" w:styleId="34">
    <w:name w:val="Char"/>
    <w:basedOn w:val="1"/>
    <w:qFormat/>
    <w:uiPriority w:val="0"/>
    <w:pPr>
      <w:widowControl/>
      <w:spacing w:line="348" w:lineRule="auto"/>
      <w:ind w:firstLine="560" w:firstLineChars="200"/>
    </w:pPr>
    <w:rPr>
      <w:rFonts w:eastAsia="仿宋_GB2312"/>
      <w:sz w:val="28"/>
    </w:rPr>
  </w:style>
  <w:style w:type="paragraph" w:customStyle="1" w:styleId="35">
    <w:name w:val="D1"/>
    <w:basedOn w:val="1"/>
    <w:qFormat/>
    <w:uiPriority w:val="0"/>
    <w:pPr>
      <w:spacing w:line="480" w:lineRule="auto"/>
    </w:pPr>
    <w:rPr>
      <w:rFonts w:ascii="EU-F1" w:eastAsia="黑体"/>
      <w:szCs w:val="21"/>
    </w:rPr>
  </w:style>
  <w:style w:type="paragraph" w:customStyle="1" w:styleId="36">
    <w:name w:val="p0"/>
    <w:basedOn w:val="1"/>
    <w:qFormat/>
    <w:uiPriority w:val="0"/>
    <w:pPr>
      <w:widowControl/>
      <w:jc w:val="left"/>
    </w:pPr>
    <w:rPr>
      <w:rFonts w:ascii="Calibri" w:hAnsi="Calibri" w:eastAsia="Arial Unicode MS"/>
      <w:kern w:val="0"/>
      <w:szCs w:val="20"/>
    </w:rPr>
  </w:style>
  <w:style w:type="paragraph" w:customStyle="1" w:styleId="37">
    <w:name w:val="WPSOffice手动目录 1"/>
    <w:uiPriority w:val="0"/>
    <w:pPr>
      <w:ind w:leftChars="0"/>
    </w:pPr>
    <w:rPr>
      <w:sz w:val="20"/>
      <w:szCs w:val="20"/>
    </w:rPr>
  </w:style>
  <w:style w:type="paragraph" w:customStyle="1" w:styleId="38">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4</Pages>
  <Words>1869</Words>
  <Characters>2078</Characters>
  <Lines>16</Lines>
  <Paragraphs>4</Paragraphs>
  <TotalTime>1</TotalTime>
  <ScaleCrop>false</ScaleCrop>
  <LinksUpToDate>false</LinksUpToDate>
  <CharactersWithSpaces>2116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2025-07-22T15:58:44Z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