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rPr>
        <w:t>颗粒计数器</w:t>
      </w:r>
    </w:p>
    <w:p>
      <w:pPr>
        <w:spacing w:line="360" w:lineRule="auto"/>
        <w:jc w:val="center"/>
        <w:rPr>
          <w:rFonts w:hint="eastAsia" w:ascii="Times New Roman" w:hAnsi="Times New Roman" w:eastAsia="黑体" w:cs="Times New Roman"/>
          <w:b/>
          <w:bCs/>
          <w:sz w:val="56"/>
          <w:szCs w:val="56"/>
        </w:rPr>
      </w:pP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74521"/>
        <w15:color w:val="DBDBDB"/>
        <w:docPartObj>
          <w:docPartGallery w:val="Table of Contents"/>
          <w:docPartUnique/>
        </w:docPartObj>
      </w:sdtPr>
      <w:sdtEndPr>
        <w:rPr>
          <w:rFonts w:hint="eastAsia" w:ascii="宋体" w:hAnsi="宋体" w:eastAsia="宋体" w:cs="宋体"/>
          <w:b w:val="0"/>
          <w:bCs/>
          <w:kern w:val="2"/>
          <w:sz w:val="28"/>
          <w:szCs w:val="28"/>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_Toc16880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_Toc16880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_Toc24147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_Toc24147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_Toc26072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_Toc26072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_Toc10927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_Toc10927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_Toc13733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_Toc13733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_Toc1347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_Toc1347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_Toc3607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_Toc3607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_Toc28927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_Toc28927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_Toc25289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_Toc25289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_Toc17880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_Toc17880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_Toc7062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_Toc7062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_Toc25868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_Toc25868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_Toc4686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_Toc4686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6"/>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_Toc28810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_Toc28810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kern w:val="2"/>
              <w:sz w:val="28"/>
              <w:szCs w:val="28"/>
              <w:lang w:val="en-US" w:eastAsia="zh-CN" w:bidi="ar-SA"/>
            </w:rPr>
          </w:pPr>
          <w:r>
            <w:rPr>
              <w:rFonts w:hint="eastAsia" w:ascii="宋体" w:hAnsi="宋体" w:eastAsia="宋体" w:cs="宋体"/>
              <w:b w:val="0"/>
              <w:bCs/>
              <w:sz w:val="28"/>
              <w:szCs w:val="28"/>
              <w:lang w:val="en-US" w:eastAsia="zh-CN"/>
            </w:rPr>
            <w:fldChar w:fldCharType="end"/>
          </w:r>
        </w:p>
      </w:sdtContent>
    </w:sdt>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numPr>
          <w:numId w:val="0"/>
        </w:numPr>
        <w:spacing w:line="360" w:lineRule="auto"/>
        <w:ind w:leftChars="0"/>
        <w:outlineLvl w:val="0"/>
        <w:rPr>
          <w:rFonts w:hint="eastAsia" w:ascii="宋体" w:hAnsi="宋体" w:eastAsia="宋体" w:cs="宋体"/>
          <w:b/>
          <w:sz w:val="30"/>
          <w:szCs w:val="30"/>
        </w:rPr>
      </w:pPr>
      <w:bookmarkStart w:id="0" w:name="_Toc16880"/>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w:t>
      </w:r>
      <w:r>
        <w:rPr>
          <w:rFonts w:hint="eastAsia" w:ascii="宋体" w:hAnsi="宋体" w:eastAsia="宋体" w:cs="宋体"/>
          <w:sz w:val="28"/>
          <w:szCs w:val="28"/>
          <w:lang w:val="en-US" w:eastAsia="zh-CN"/>
        </w:rPr>
        <w:t>于</w:t>
      </w:r>
      <w:r>
        <w:rPr>
          <w:rFonts w:hint="eastAsia" w:ascii="宋体" w:hAnsi="宋体" w:eastAsia="宋体" w:cs="宋体"/>
          <w:sz w:val="28"/>
          <w:szCs w:val="28"/>
        </w:rPr>
        <w:t>颗粒计数器的招标，它提出设备的功能、结构、性能、安装和试验等方面的技术要求。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24147"/>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DL/T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432   电力用油中颗粒度测量方法</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DL</w:t>
      </w:r>
      <w:r>
        <w:rPr>
          <w:rFonts w:hint="eastAsia" w:ascii="宋体" w:hAnsi="宋体" w:eastAsia="宋体" w:cs="宋体"/>
          <w:sz w:val="28"/>
          <w:szCs w:val="28"/>
          <w:lang w:val="en-US" w:eastAsia="zh-CN"/>
        </w:rPr>
        <w:t>/</w:t>
      </w:r>
      <w:r>
        <w:rPr>
          <w:rFonts w:hint="eastAsia" w:ascii="宋体" w:hAnsi="宋体" w:eastAsia="宋体" w:cs="宋体"/>
          <w:sz w:val="28"/>
          <w:szCs w:val="28"/>
        </w:rPr>
        <w:t>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1096  变压器油中颗粒度限值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Hans"/>
        </w:rPr>
        <w:t>IOS 4406</w:t>
      </w:r>
      <w:r>
        <w:rPr>
          <w:rFonts w:hint="eastAsia" w:ascii="宋体" w:hAnsi="宋体" w:eastAsia="宋体" w:cs="宋体"/>
          <w:sz w:val="28"/>
          <w:szCs w:val="28"/>
        </w:rPr>
        <w:t xml:space="preserve">   </w:t>
      </w:r>
      <w:r>
        <w:rPr>
          <w:rFonts w:hint="eastAsia" w:ascii="宋体" w:hAnsi="宋体" w:eastAsia="宋体" w:cs="宋体"/>
          <w:sz w:val="28"/>
          <w:szCs w:val="28"/>
          <w:lang w:eastAsia="zh-Hans"/>
        </w:rPr>
        <w:t>清洁度标准</w:t>
      </w:r>
    </w:p>
    <w:p>
      <w:pPr>
        <w:numPr>
          <w:ilvl w:val="0"/>
          <w:numId w:val="0"/>
        </w:numPr>
        <w:spacing w:line="360" w:lineRule="auto"/>
        <w:ind w:leftChars="0"/>
        <w:outlineLvl w:val="0"/>
        <w:rPr>
          <w:rFonts w:hint="eastAsia" w:ascii="宋体" w:hAnsi="宋体" w:eastAsia="宋体" w:cs="宋体"/>
          <w:b/>
          <w:sz w:val="30"/>
          <w:szCs w:val="30"/>
        </w:rPr>
      </w:pPr>
      <w:bookmarkStart w:id="2" w:name="_Toc26072"/>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10</w:t>
      </w:r>
      <w:r>
        <w:rPr>
          <w:rFonts w:hint="eastAsia" w:ascii="宋体" w:hAnsi="宋体" w:eastAsia="宋体" w:cs="宋体"/>
          <w:sz w:val="28"/>
          <w:szCs w:val="28"/>
        </w:rPr>
        <w:t>℃～</w:t>
      </w:r>
      <w:r>
        <w:rPr>
          <w:rFonts w:hint="eastAsia" w:ascii="宋体" w:hAnsi="宋体" w:eastAsia="宋体" w:cs="宋体"/>
          <w:sz w:val="28"/>
          <w:szCs w:val="28"/>
          <w:lang w:val="en-US" w:eastAsia="zh-CN"/>
        </w:rPr>
        <w:t>40</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w:t>
      </w:r>
      <w:r>
        <w:rPr>
          <w:rFonts w:hint="eastAsia" w:ascii="宋体" w:hAnsi="宋体" w:eastAsia="宋体" w:cs="宋体"/>
          <w:sz w:val="28"/>
          <w:szCs w:val="28"/>
          <w:lang w:val="en-US" w:eastAsia="zh-CN"/>
        </w:rPr>
        <w:t>境湿度：</w:t>
      </w:r>
      <w:r>
        <w:rPr>
          <w:rFonts w:hint="eastAsia" w:ascii="宋体" w:hAnsi="宋体" w:eastAsia="宋体" w:cs="宋体"/>
          <w:sz w:val="28"/>
          <w:szCs w:val="28"/>
        </w:rPr>
        <w:t>≤</w:t>
      </w:r>
      <w:r>
        <w:rPr>
          <w:rFonts w:hint="eastAsia" w:ascii="宋体" w:hAnsi="宋体" w:eastAsia="宋体" w:cs="宋体"/>
          <w:sz w:val="28"/>
          <w:szCs w:val="28"/>
          <w:lang w:val="en-US" w:eastAsia="zh-CN"/>
        </w:rPr>
        <w:t>80</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使用地点：室内</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10927"/>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rPr>
      </w:pPr>
      <w:bookmarkStart w:id="4" w:name="_Toc13733"/>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167008908"/>
      <w:bookmarkStart w:id="6" w:name="_Toc4556"/>
      <w:bookmarkStart w:id="7" w:name="_Toc200511818"/>
      <w:r>
        <w:rPr>
          <w:rFonts w:hint="eastAsia" w:ascii="宋体" w:hAnsi="宋体" w:eastAsia="宋体" w:cs="宋体"/>
          <w:sz w:val="28"/>
          <w:szCs w:val="28"/>
          <w:lang w:val="en-US" w:eastAsia="zh-CN"/>
        </w:rPr>
        <w:t>（1）仪器应</w:t>
      </w:r>
      <w:r>
        <w:rPr>
          <w:rFonts w:hint="eastAsia" w:ascii="宋体" w:hAnsi="宋体" w:eastAsia="宋体" w:cs="宋体"/>
          <w:sz w:val="28"/>
          <w:szCs w:val="28"/>
        </w:rPr>
        <w:t>具有真空脱气和加压进样功能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（2）仪器应</w:t>
      </w:r>
      <w:r>
        <w:rPr>
          <w:rFonts w:hint="eastAsia" w:ascii="宋体" w:hAnsi="宋体" w:eastAsia="宋体" w:cs="宋体"/>
          <w:sz w:val="28"/>
          <w:szCs w:val="28"/>
        </w:rPr>
        <w:t>具有自动稀释功能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应</w:t>
      </w:r>
      <w:r>
        <w:rPr>
          <w:rFonts w:hint="eastAsia" w:ascii="宋体" w:hAnsi="宋体" w:eastAsia="宋体" w:cs="宋体"/>
          <w:sz w:val="28"/>
          <w:szCs w:val="28"/>
        </w:rPr>
        <w:t>具有双重标定功能的颗粒计数系统，可以根据ISO-11171以及ISO-4402标定使用，ISO-4406三级代码可以打印成以下格式：根据ISO-11171标定方法的4微米，6微米和14微米代码系统。根据ISO-4402标定方法的2微米，5微米和15微米代码系统</w:t>
      </w:r>
      <w:r>
        <w:rPr>
          <w:rFonts w:hint="eastAsia" w:ascii="宋体" w:hAnsi="宋体" w:eastAsia="宋体" w:cs="宋体"/>
          <w:sz w:val="28"/>
          <w:szCs w:val="28"/>
          <w:lang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传感器内置于取样器顶部保护罩内，采用专用金属防腐接头紧固连接，可防外部污染及碰撞损坏</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仪器主机自带彩色高清晰液晶显示屏，直接操控，无需接口板，可多语言显示并直接打印</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1347"/>
      <w:r>
        <w:rPr>
          <w:rFonts w:hint="eastAsia" w:ascii="宋体" w:hAnsi="宋体" w:eastAsia="宋体" w:cs="宋体"/>
          <w:sz w:val="28"/>
          <w:szCs w:val="28"/>
        </w:rPr>
        <w:t>4.2 技术指标要求</w:t>
      </w:r>
      <w:bookmarkEnd w:id="5"/>
      <w:bookmarkEnd w:id="6"/>
      <w:bookmarkEnd w:id="7"/>
      <w:bookmarkEnd w:id="8"/>
    </w:p>
    <w:tbl>
      <w:tblPr>
        <w:tblStyle w:val="14"/>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颗粒测量范围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1μm微米- 450μm微米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最大颗粒浓度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在25毫升/分钟 24000颗粒/毫升，重叠误差小于7.8%。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传感器符合</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采用 ISO4402 AC标准，   测量范围 1µm - 100 µm</w:t>
            </w:r>
          </w:p>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用ISO11171 NIST标准，测量范围4µm - 70 µm（C）。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分析体积</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1毫升 - 1000毫升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通道</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多达1024个可自由调节的颗粒尺寸通道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操作压力范围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最大≥10 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粘度测量范围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1~430cSt</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3607"/>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3"/>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3"/>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3"/>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台式颗粒计数器主机</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加压减压泵</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超声波清洗器</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测量软件</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使用说明书</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随机档案</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出厂测试标定证书</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595"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原产地证明文件</w:t>
            </w:r>
            <w:r>
              <w:rPr>
                <w:rFonts w:hint="eastAsia" w:ascii="宋体" w:hAnsi="宋体" w:eastAsia="宋体" w:cs="宋体"/>
                <w:kern w:val="1"/>
                <w:sz w:val="28"/>
                <w:szCs w:val="28"/>
                <w:lang w:val="en-US" w:eastAsia="zh-CN" w:bidi="ar-SA"/>
              </w:rPr>
              <w:t>（投标设备为进口设备需提供）</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w:t>
            </w:r>
          </w:p>
        </w:tc>
        <w:tc>
          <w:tcPr>
            <w:tcW w:w="3595"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报关单</w:t>
            </w:r>
            <w:r>
              <w:rPr>
                <w:rFonts w:hint="eastAsia" w:ascii="宋体" w:hAnsi="宋体" w:eastAsia="宋体" w:cs="宋体"/>
                <w:kern w:val="1"/>
                <w:sz w:val="28"/>
                <w:szCs w:val="28"/>
                <w:lang w:val="en-US" w:eastAsia="zh-CN" w:bidi="ar-SA"/>
              </w:rPr>
              <w:t>（如投标设备为进口设备需提供）</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w:t>
            </w:r>
            <w:r>
              <w:rPr>
                <w:rFonts w:hint="eastAsia" w:ascii="宋体" w:hAnsi="宋体" w:eastAsia="宋体" w:cs="宋体"/>
                <w:kern w:val="1"/>
                <w:sz w:val="28"/>
                <w:szCs w:val="28"/>
                <w:lang w:val="en-US" w:eastAsia="ar-SA" w:bidi="ar-SA"/>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p>
        </w:tc>
        <w:tc>
          <w:tcPr>
            <w:tcW w:w="3595"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空气颗粒计数器</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3"/>
              <w:widowControl w:val="0"/>
              <w:suppressAutoHyphen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w:t>
            </w:r>
          </w:p>
        </w:tc>
        <w:tc>
          <w:tcPr>
            <w:tcW w:w="3595"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洁净工作台</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2038"/>
      <w:bookmarkStart w:id="11" w:name="_Toc22926"/>
      <w:bookmarkStart w:id="12" w:name="_Toc28845"/>
      <w:bookmarkStart w:id="13" w:name="_Toc6348"/>
      <w:bookmarkStart w:id="14" w:name="_Toc10357"/>
      <w:bookmarkStart w:id="15" w:name="_Toc28927"/>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31053"/>
      <w:bookmarkStart w:id="17" w:name="_Toc23336"/>
      <w:bookmarkStart w:id="18" w:name="_Toc19111"/>
      <w:bookmarkStart w:id="19" w:name="_Toc11534"/>
      <w:bookmarkStart w:id="20" w:name="_Toc16264"/>
      <w:bookmarkStart w:id="21" w:name="_Toc18597"/>
      <w:bookmarkStart w:id="22" w:name="_Toc25289"/>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3099"/>
      <w:bookmarkStart w:id="25" w:name="_Toc18060"/>
      <w:bookmarkStart w:id="26" w:name="_Toc29029"/>
      <w:bookmarkStart w:id="27" w:name="_Toc18435"/>
      <w:bookmarkStart w:id="28" w:name="_Toc31014"/>
      <w:bookmarkStart w:id="29" w:name="_Toc16249"/>
      <w:bookmarkStart w:id="30" w:name="_Toc17880"/>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614"/>
      <w:bookmarkStart w:id="34" w:name="_Toc5683"/>
      <w:bookmarkStart w:id="35" w:name="_Toc6783"/>
      <w:bookmarkStart w:id="36" w:name="_Toc12501"/>
      <w:bookmarkStart w:id="37" w:name="_Toc17905"/>
      <w:bookmarkStart w:id="38" w:name="_Toc430"/>
      <w:bookmarkStart w:id="39" w:name="_Toc7062"/>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4"/>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4"/>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4"/>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928"/>
      <w:bookmarkStart w:id="44" w:name="_Toc3624"/>
      <w:bookmarkStart w:id="45" w:name="_Toc10568"/>
      <w:bookmarkStart w:id="46" w:name="_Toc25839"/>
      <w:bookmarkStart w:id="47" w:name="_Toc7428"/>
      <w:bookmarkStart w:id="48" w:name="_Toc26867"/>
      <w:bookmarkStart w:id="49" w:name="_Toc25868"/>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257812191"/>
      <w:bookmarkStart w:id="54" w:name="_Toc387612875"/>
      <w:bookmarkStart w:id="55" w:name="_Toc34153561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19273"/>
      <w:bookmarkStart w:id="57" w:name="_Toc7867"/>
      <w:bookmarkStart w:id="58" w:name="_Toc23903"/>
      <w:bookmarkStart w:id="59" w:name="_Toc22741"/>
      <w:bookmarkStart w:id="60" w:name="_Toc27907"/>
      <w:bookmarkStart w:id="61" w:name="_Toc16533"/>
      <w:bookmarkStart w:id="62" w:name="_Toc4686"/>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4"/>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387612876"/>
      <w:bookmarkStart w:id="65" w:name="_Toc257812192"/>
      <w:bookmarkStart w:id="66" w:name="_Toc34153561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5384"/>
      <w:bookmarkStart w:id="68" w:name="_Toc1461"/>
      <w:bookmarkStart w:id="69" w:name="_Toc9650"/>
      <w:bookmarkStart w:id="70" w:name="_Toc22068"/>
      <w:bookmarkStart w:id="71" w:name="_Toc5236"/>
      <w:bookmarkStart w:id="72" w:name="_Toc17828"/>
      <w:bookmarkStart w:id="73" w:name="_Toc28810"/>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变电专业颗粒计数器技术规范书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6C83369"/>
    <w:rsid w:val="06F74250"/>
    <w:rsid w:val="06FC1FE4"/>
    <w:rsid w:val="073440CA"/>
    <w:rsid w:val="083B22E9"/>
    <w:rsid w:val="09DA6CE5"/>
    <w:rsid w:val="0AA06A69"/>
    <w:rsid w:val="0B1D612C"/>
    <w:rsid w:val="0B9E7B3E"/>
    <w:rsid w:val="0BAC324C"/>
    <w:rsid w:val="0BBD0B5D"/>
    <w:rsid w:val="0BD92CA9"/>
    <w:rsid w:val="0D09760B"/>
    <w:rsid w:val="0DF84B27"/>
    <w:rsid w:val="0E4C7BE5"/>
    <w:rsid w:val="0ED04650"/>
    <w:rsid w:val="0F4B632C"/>
    <w:rsid w:val="117656A1"/>
    <w:rsid w:val="11C76314"/>
    <w:rsid w:val="11F81621"/>
    <w:rsid w:val="121A5772"/>
    <w:rsid w:val="122703EF"/>
    <w:rsid w:val="12722550"/>
    <w:rsid w:val="129375E2"/>
    <w:rsid w:val="1364719A"/>
    <w:rsid w:val="13A0311A"/>
    <w:rsid w:val="14AE74C4"/>
    <w:rsid w:val="152A59B2"/>
    <w:rsid w:val="157E633F"/>
    <w:rsid w:val="17247B54"/>
    <w:rsid w:val="17B22491"/>
    <w:rsid w:val="17E9578A"/>
    <w:rsid w:val="18593DD0"/>
    <w:rsid w:val="18D347C9"/>
    <w:rsid w:val="196A1CCC"/>
    <w:rsid w:val="19F05946"/>
    <w:rsid w:val="1A050DE8"/>
    <w:rsid w:val="1B5F7121"/>
    <w:rsid w:val="1E476C31"/>
    <w:rsid w:val="206C32B1"/>
    <w:rsid w:val="20A85646"/>
    <w:rsid w:val="21CF455B"/>
    <w:rsid w:val="22783F62"/>
    <w:rsid w:val="22F56ECA"/>
    <w:rsid w:val="23846F1A"/>
    <w:rsid w:val="23963952"/>
    <w:rsid w:val="26301520"/>
    <w:rsid w:val="264B09E7"/>
    <w:rsid w:val="29253C5F"/>
    <w:rsid w:val="292B071C"/>
    <w:rsid w:val="2D5F3BEA"/>
    <w:rsid w:val="2DAD1295"/>
    <w:rsid w:val="2EC17EC2"/>
    <w:rsid w:val="2F82055E"/>
    <w:rsid w:val="3015100B"/>
    <w:rsid w:val="30575940"/>
    <w:rsid w:val="32B02F4F"/>
    <w:rsid w:val="32ED7EDB"/>
    <w:rsid w:val="33273278"/>
    <w:rsid w:val="33515420"/>
    <w:rsid w:val="3459654B"/>
    <w:rsid w:val="35724440"/>
    <w:rsid w:val="35E67CC2"/>
    <w:rsid w:val="35EA73E3"/>
    <w:rsid w:val="370A7BEE"/>
    <w:rsid w:val="37130BEA"/>
    <w:rsid w:val="397E1DFD"/>
    <w:rsid w:val="398B33E3"/>
    <w:rsid w:val="3AF505AA"/>
    <w:rsid w:val="3B007723"/>
    <w:rsid w:val="3B3E176C"/>
    <w:rsid w:val="3BC03446"/>
    <w:rsid w:val="3EB65EA7"/>
    <w:rsid w:val="3F306184"/>
    <w:rsid w:val="407946F1"/>
    <w:rsid w:val="4592285F"/>
    <w:rsid w:val="45FA704D"/>
    <w:rsid w:val="461061B1"/>
    <w:rsid w:val="46122A69"/>
    <w:rsid w:val="47EC5F8C"/>
    <w:rsid w:val="48935017"/>
    <w:rsid w:val="49A73E15"/>
    <w:rsid w:val="49E076C1"/>
    <w:rsid w:val="4AA75A18"/>
    <w:rsid w:val="4C2C0CD0"/>
    <w:rsid w:val="4C6B6707"/>
    <w:rsid w:val="4CC534FF"/>
    <w:rsid w:val="4CF47715"/>
    <w:rsid w:val="4D442103"/>
    <w:rsid w:val="4D605863"/>
    <w:rsid w:val="4DE24485"/>
    <w:rsid w:val="52873053"/>
    <w:rsid w:val="53176A9C"/>
    <w:rsid w:val="53C92214"/>
    <w:rsid w:val="53F40CBE"/>
    <w:rsid w:val="542A117B"/>
    <w:rsid w:val="546F3F6B"/>
    <w:rsid w:val="54F112A5"/>
    <w:rsid w:val="559336C4"/>
    <w:rsid w:val="56A02C2D"/>
    <w:rsid w:val="56DD1F1C"/>
    <w:rsid w:val="585B5B7A"/>
    <w:rsid w:val="595744CF"/>
    <w:rsid w:val="5C537622"/>
    <w:rsid w:val="5CDD10BF"/>
    <w:rsid w:val="5D3F5BD6"/>
    <w:rsid w:val="5E052881"/>
    <w:rsid w:val="5F273CAC"/>
    <w:rsid w:val="5F5027A2"/>
    <w:rsid w:val="61877856"/>
    <w:rsid w:val="6249287A"/>
    <w:rsid w:val="64C90076"/>
    <w:rsid w:val="65F60B40"/>
    <w:rsid w:val="66042581"/>
    <w:rsid w:val="677E43FB"/>
    <w:rsid w:val="6A0D0A67"/>
    <w:rsid w:val="6A163E39"/>
    <w:rsid w:val="6A2E5D2C"/>
    <w:rsid w:val="6C4B4ADF"/>
    <w:rsid w:val="6C63752A"/>
    <w:rsid w:val="6D4579BF"/>
    <w:rsid w:val="6D7935F9"/>
    <w:rsid w:val="6E06478D"/>
    <w:rsid w:val="6E322ED1"/>
    <w:rsid w:val="6FDC2C9B"/>
    <w:rsid w:val="7015325F"/>
    <w:rsid w:val="71E21A2C"/>
    <w:rsid w:val="738D6525"/>
    <w:rsid w:val="755358DC"/>
    <w:rsid w:val="75A504A5"/>
    <w:rsid w:val="76C635C6"/>
    <w:rsid w:val="77790D29"/>
    <w:rsid w:val="792225EC"/>
    <w:rsid w:val="795E40A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Plain Text"/>
    <w:basedOn w:val="1"/>
    <w:qFormat/>
    <w:uiPriority w:val="0"/>
    <w:rPr>
      <w:rFonts w:ascii="宋体" w:hAnsi="Courier New"/>
      <w:szCs w:val="20"/>
    </w:rPr>
  </w:style>
  <w:style w:type="paragraph" w:styleId="10">
    <w:name w:val="Date"/>
    <w:basedOn w:val="1"/>
    <w:next w:val="1"/>
    <w:link w:val="21"/>
    <w:qFormat/>
    <w:uiPriority w:val="0"/>
    <w:pPr>
      <w:ind w:left="100" w:leftChars="25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Normal (Web)"/>
    <w:basedOn w:val="1"/>
    <w:qFormat/>
    <w:uiPriority w:val="0"/>
    <w:pPr>
      <w:spacing w:before="100" w:beforeAutospacing="1" w:after="100" w:afterAutospacing="1"/>
      <w:jc w:val="left"/>
    </w:pPr>
    <w:rPr>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page number"/>
    <w:basedOn w:val="16"/>
    <w:qFormat/>
    <w:uiPriority w:val="0"/>
  </w:style>
  <w:style w:type="character" w:styleId="19">
    <w:name w:val="Emphasis"/>
    <w:qFormat/>
    <w:uiPriority w:val="20"/>
    <w:rPr>
      <w:i/>
      <w:iCs/>
    </w:rPr>
  </w:style>
  <w:style w:type="character" w:styleId="20">
    <w:name w:val="Hyperlink"/>
    <w:basedOn w:val="16"/>
    <w:qFormat/>
    <w:uiPriority w:val="0"/>
    <w:rPr>
      <w:color w:val="0000FF"/>
      <w:u w:val="single"/>
    </w:rPr>
  </w:style>
  <w:style w:type="character" w:customStyle="1" w:styleId="21">
    <w:name w:val="日期 Char"/>
    <w:link w:val="10"/>
    <w:qFormat/>
    <w:uiPriority w:val="0"/>
    <w:rPr>
      <w:kern w:val="2"/>
      <w:sz w:val="21"/>
    </w:rPr>
  </w:style>
  <w:style w:type="character" w:customStyle="1" w:styleId="22">
    <w:name w:val="mark"/>
    <w:basedOn w:val="16"/>
    <w:qFormat/>
    <w:uiPriority w:val="0"/>
  </w:style>
  <w:style w:type="paragraph" w:customStyle="1" w:styleId="23">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4">
    <w:name w:val="Char Char Char Char"/>
    <w:basedOn w:val="1"/>
    <w:qFormat/>
    <w:uiPriority w:val="0"/>
  </w:style>
  <w:style w:type="paragraph" w:customStyle="1" w:styleId="25">
    <w:name w:val="Char Char Char Char Char Char"/>
    <w:basedOn w:val="7"/>
    <w:qFormat/>
    <w:uiPriority w:val="0"/>
    <w:rPr>
      <w:rFonts w:ascii="Tahoma" w:hAnsi="Tahoma"/>
      <w:sz w:val="24"/>
      <w:szCs w:val="24"/>
    </w:rPr>
  </w:style>
  <w:style w:type="paragraph" w:styleId="26">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7">
    <w:name w:val="msolistparagraph"/>
    <w:basedOn w:val="1"/>
    <w:qFormat/>
    <w:uiPriority w:val="0"/>
    <w:pPr>
      <w:spacing w:line="360" w:lineRule="auto"/>
      <w:ind w:firstLine="420" w:firstLineChars="200"/>
    </w:pPr>
    <w:rPr>
      <w:rFonts w:ascii="Calibri" w:hAnsi="Calibri" w:cs="Calibri"/>
      <w:szCs w:val="21"/>
    </w:rPr>
  </w:style>
  <w:style w:type="paragraph" w:customStyle="1" w:styleId="2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样式 标题 2"/>
    <w:basedOn w:val="5"/>
    <w:qFormat/>
    <w:uiPriority w:val="0"/>
    <w:rPr>
      <w:b w:val="0"/>
    </w:rPr>
  </w:style>
  <w:style w:type="paragraph" w:customStyle="1" w:styleId="30">
    <w:name w:val="样式1"/>
    <w:basedOn w:val="1"/>
    <w:qFormat/>
    <w:uiPriority w:val="0"/>
    <w:pPr>
      <w:numPr>
        <w:ilvl w:val="2"/>
        <w:numId w:val="1"/>
      </w:numPr>
      <w:tabs>
        <w:tab w:val="left" w:pos="570"/>
      </w:tabs>
      <w:spacing w:line="360" w:lineRule="auto"/>
    </w:pPr>
    <w:rPr>
      <w:rFonts w:ascii="宋体"/>
      <w:sz w:val="24"/>
    </w:rPr>
  </w:style>
  <w:style w:type="paragraph" w:customStyle="1" w:styleId="31">
    <w:name w:val="正文1"/>
    <w:basedOn w:val="1"/>
    <w:qFormat/>
    <w:uiPriority w:val="0"/>
    <w:pPr>
      <w:autoSpaceDE w:val="0"/>
      <w:spacing w:line="276" w:lineRule="auto"/>
      <w:ind w:firstLine="480" w:firstLineChars="200"/>
    </w:pPr>
    <w:rPr>
      <w:kern w:val="0"/>
      <w:sz w:val="24"/>
      <w:szCs w:val="20"/>
    </w:rPr>
  </w:style>
  <w:style w:type="paragraph" w:customStyle="1" w:styleId="32">
    <w:name w:val="Char"/>
    <w:basedOn w:val="1"/>
    <w:qFormat/>
    <w:uiPriority w:val="0"/>
    <w:pPr>
      <w:widowControl/>
      <w:spacing w:line="348" w:lineRule="auto"/>
      <w:ind w:firstLine="560" w:firstLineChars="200"/>
    </w:pPr>
    <w:rPr>
      <w:rFonts w:eastAsia="仿宋_GB2312"/>
      <w:sz w:val="28"/>
    </w:rPr>
  </w:style>
  <w:style w:type="paragraph" w:customStyle="1" w:styleId="33">
    <w:name w:val="D1"/>
    <w:basedOn w:val="1"/>
    <w:qFormat/>
    <w:uiPriority w:val="0"/>
    <w:pPr>
      <w:spacing w:line="480" w:lineRule="auto"/>
    </w:pPr>
    <w:rPr>
      <w:rFonts w:ascii="EU-F1" w:eastAsia="黑体"/>
      <w:szCs w:val="21"/>
    </w:rPr>
  </w:style>
  <w:style w:type="paragraph" w:customStyle="1" w:styleId="34">
    <w:name w:val="p0"/>
    <w:basedOn w:val="1"/>
    <w:qFormat/>
    <w:uiPriority w:val="0"/>
    <w:pPr>
      <w:widowControl/>
      <w:jc w:val="left"/>
    </w:pPr>
    <w:rPr>
      <w:rFonts w:ascii="Calibri" w:hAnsi="Calibri" w:eastAsia="Arial Unicode MS"/>
      <w:kern w:val="0"/>
      <w:szCs w:val="20"/>
    </w:rPr>
  </w:style>
  <w:style w:type="paragraph" w:customStyle="1" w:styleId="35">
    <w:name w:val="WPSOffice手动目录 1"/>
    <w:uiPriority w:val="0"/>
    <w:pPr>
      <w:ind w:leftChars="0"/>
    </w:pPr>
    <w:rPr>
      <w:sz w:val="20"/>
      <w:szCs w:val="20"/>
    </w:rPr>
  </w:style>
  <w:style w:type="paragraph" w:customStyle="1" w:styleId="36">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1904</Words>
  <Characters>2224</Characters>
  <Lines>16</Lines>
  <Paragraphs>4</Paragraphs>
  <TotalTime>0</TotalTime>
  <ScaleCrop>false</ScaleCrop>
  <LinksUpToDate>false</LinksUpToDate>
  <CharactersWithSpaces>2283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2025-07-23T02:07:18Z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