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变压器</w:t>
      </w:r>
      <w:r>
        <w:rPr>
          <w:rFonts w:hint="eastAsia" w:eastAsia="黑体" w:cs="Times New Roman"/>
          <w:b/>
          <w:bCs/>
          <w:sz w:val="56"/>
          <w:szCs w:val="56"/>
          <w:lang w:val="en-US" w:eastAsia="zh-CN"/>
        </w:rPr>
        <w:t>直流电阻测试仪</w:t>
      </w:r>
    </w:p>
    <w:p>
      <w:pPr>
        <w:spacing w:line="360" w:lineRule="auto"/>
        <w:jc w:val="center"/>
        <w:rPr>
          <w:rFonts w:ascii="微软雅黑" w:hAnsi="微软雅黑" w:eastAsia="微软雅黑"/>
          <w:b/>
          <w:sz w:val="36"/>
          <w:szCs w:val="36"/>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14"/>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pStyle w:val="14"/>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76211"/>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67" w:name="_GoBack"/>
          <w:bookmarkEnd w:id="67"/>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14"/>
          </w:pP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_Toc5804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1 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_Toc5804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_Toc24616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_Toc24616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_Toc24855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_Toc24855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_Toc13331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_Toc13331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_Toc12278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highlight w:val="none"/>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_Toc12278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_Toc15157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highlight w:val="none"/>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_Toc15157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_Toc17525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_Toc17525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_Toc28845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_Toc28845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_Toc31053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_Toc31053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_Toc18435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_Toc18435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_Toc12501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_Toc12501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_Toc2928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_Toc2928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_Toc16533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_Toc16533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_Toc1461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_Toc1461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val="0"/>
              <w:bCs/>
              <w:sz w:val="28"/>
              <w:szCs w:val="28"/>
              <w:lang w:val="en-US" w:eastAsia="zh-CN"/>
            </w:rPr>
          </w:pPr>
        </w:p>
        <w:p>
          <w:pPr>
            <w:numPr>
              <w:ilvl w:val="0"/>
              <w:numId w:val="0"/>
            </w:numPr>
            <w:spacing w:line="360" w:lineRule="auto"/>
            <w:ind w:leftChars="0"/>
            <w:outlineLvl w:val="9"/>
            <w:rPr>
              <w:rFonts w:hint="eastAsia" w:ascii="宋体" w:hAnsi="宋体" w:eastAsia="宋体" w:cs="宋体"/>
              <w:b/>
              <w:sz w:val="30"/>
              <w:szCs w:val="30"/>
              <w:lang w:val="en-US" w:eastAsia="zh-CN"/>
            </w:rPr>
          </w:pPr>
        </w:p>
      </w:sdtContent>
    </w:sdt>
    <w:p>
      <w:pPr>
        <w:numPr>
          <w:ilvl w:val="0"/>
          <w:numId w:val="0"/>
        </w:numPr>
        <w:spacing w:line="360" w:lineRule="auto"/>
        <w:ind w:leftChars="0"/>
        <w:outlineLvl w:val="0"/>
        <w:rPr>
          <w:rFonts w:hint="eastAsia" w:ascii="宋体" w:hAnsi="宋体" w:eastAsia="宋体" w:cs="宋体"/>
          <w:b/>
          <w:sz w:val="30"/>
          <w:szCs w:val="30"/>
          <w:lang w:val="en-US" w:eastAsia="zh-CN"/>
        </w:rPr>
      </w:pPr>
      <w:bookmarkStart w:id="0" w:name="_Toc5804"/>
      <w:r>
        <w:rPr>
          <w:rFonts w:hint="eastAsia" w:ascii="宋体" w:hAnsi="宋体" w:eastAsia="宋体" w:cs="宋体"/>
          <w:b/>
          <w:sz w:val="30"/>
          <w:szCs w:val="30"/>
          <w:lang w:val="en-US" w:eastAsia="zh-CN"/>
        </w:rPr>
        <w:t>1 总则</w:t>
      </w:r>
      <w:bookmarkEnd w:id="0"/>
    </w:p>
    <w:p>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1.1 </w:t>
      </w:r>
      <w:r>
        <w:rPr>
          <w:rFonts w:hint="eastAsia" w:ascii="宋体" w:hAnsi="宋体" w:eastAsia="宋体" w:cs="宋体"/>
          <w:sz w:val="28"/>
          <w:szCs w:val="28"/>
          <w:highlight w:val="none"/>
        </w:rPr>
        <w:t>本规范书适用变压器直流电阻测试仪的招标，它提出设备的功能、结构、性能、安装和试验等方面的技术要求。</w:t>
      </w:r>
    </w:p>
    <w:p>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1.2 </w:t>
      </w:r>
      <w:r>
        <w:rPr>
          <w:rFonts w:hint="eastAsia" w:ascii="宋体" w:hAnsi="宋体" w:eastAsia="宋体" w:cs="宋体"/>
          <w:sz w:val="28"/>
          <w:szCs w:val="28"/>
          <w:highlight w:val="none"/>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1.3 </w:t>
      </w:r>
      <w:r>
        <w:rPr>
          <w:rFonts w:hint="eastAsia" w:ascii="宋体" w:hAnsi="宋体" w:eastAsia="宋体" w:cs="宋体"/>
          <w:sz w:val="28"/>
          <w:szCs w:val="28"/>
          <w:highlight w:val="none"/>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1.4 </w:t>
      </w:r>
      <w:r>
        <w:rPr>
          <w:rFonts w:hint="eastAsia" w:ascii="宋体" w:hAnsi="宋体" w:eastAsia="宋体" w:cs="宋体"/>
          <w:sz w:val="28"/>
          <w:szCs w:val="28"/>
          <w:highlight w:val="none"/>
        </w:rPr>
        <w:t>投标方须执行招标书技术部分所列标准，有矛盾时，按较高标准执行。</w:t>
      </w:r>
    </w:p>
    <w:p>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1.5 </w:t>
      </w:r>
      <w:r>
        <w:rPr>
          <w:rFonts w:hint="eastAsia" w:ascii="宋体" w:hAnsi="宋体" w:eastAsia="宋体" w:cs="宋体"/>
          <w:sz w:val="28"/>
          <w:szCs w:val="28"/>
          <w:highlight w:val="none"/>
        </w:rPr>
        <w:t>投标人资格</w:t>
      </w:r>
    </w:p>
    <w:p>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24616"/>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spacing w:line="360" w:lineRule="auto"/>
        <w:ind w:firstLine="560" w:firstLineChars="200"/>
        <w:rPr>
          <w:rFonts w:hint="default" w:ascii="宋体" w:hAnsi="宋体" w:eastAsia="宋体" w:cs="宋体"/>
          <w:sz w:val="28"/>
          <w:szCs w:val="28"/>
          <w:highlight w:val="none"/>
          <w:lang w:val="en-US"/>
        </w:rPr>
      </w:pPr>
      <w:r>
        <w:rPr>
          <w:rFonts w:hint="eastAsia" w:ascii="宋体" w:hAnsi="宋体" w:eastAsia="宋体" w:cs="宋体"/>
          <w:sz w:val="28"/>
          <w:szCs w:val="28"/>
          <w:highlight w:val="none"/>
          <w:lang w:val="en-US" w:eastAsia="zh-CN"/>
        </w:rPr>
        <w:t>Q/CSG 1206007-2017</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val="en-US" w:eastAsia="zh-CN"/>
        </w:rPr>
        <w:t>电力设备检修试验规程</w:t>
      </w:r>
    </w:p>
    <w:p>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EN 61000-6-2</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val="en-US" w:eastAsia="zh-CN"/>
        </w:rPr>
        <w:t>通用抗扰度标准（第2部分）：工业环境</w:t>
      </w:r>
    </w:p>
    <w:p>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DL/T 845.3</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val="en-US" w:eastAsia="zh-CN"/>
        </w:rPr>
        <w:t>直流电阻测试仪通用技术条件</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24855"/>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环境温度</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40</w:t>
      </w:r>
      <w:r>
        <w:rPr>
          <w:rFonts w:hint="eastAsia" w:ascii="宋体" w:hAnsi="宋体" w:eastAsia="宋体" w:cs="宋体"/>
          <w:sz w:val="28"/>
          <w:szCs w:val="28"/>
          <w:highlight w:val="none"/>
        </w:rPr>
        <w:t>℃</w:t>
      </w:r>
    </w:p>
    <w:p>
      <w:pPr>
        <w:tabs>
          <w:tab w:val="left" w:pos="1125"/>
          <w:tab w:val="left" w:pos="396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环</w:t>
      </w:r>
      <w:r>
        <w:rPr>
          <w:rFonts w:hint="eastAsia" w:ascii="宋体" w:hAnsi="宋体" w:eastAsia="宋体" w:cs="宋体"/>
          <w:sz w:val="28"/>
          <w:szCs w:val="28"/>
          <w:highlight w:val="none"/>
          <w:lang w:val="en-US" w:eastAsia="zh-CN"/>
        </w:rPr>
        <w:t>境湿度：</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80</w:t>
      </w:r>
      <w:r>
        <w:rPr>
          <w:rFonts w:hint="eastAsia" w:ascii="宋体" w:hAnsi="宋体" w:eastAsia="宋体" w:cs="宋体"/>
          <w:sz w:val="28"/>
          <w:szCs w:val="28"/>
          <w:highlight w:val="none"/>
        </w:rPr>
        <w:t>％</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使用地点：室内</w:t>
      </w:r>
      <w:r>
        <w:rPr>
          <w:rFonts w:hint="eastAsia" w:ascii="宋体" w:hAnsi="宋体" w:eastAsia="宋体" w:cs="宋体"/>
          <w:sz w:val="28"/>
          <w:szCs w:val="28"/>
          <w:highlight w:val="none"/>
          <w:lang w:val="en-US" w:eastAsia="zh-CN"/>
        </w:rPr>
        <w:t>外</w:t>
      </w:r>
    </w:p>
    <w:p>
      <w:pPr>
        <w:tabs>
          <w:tab w:val="left" w:pos="1125"/>
          <w:tab w:val="left" w:pos="396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海拔高度</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000米以下</w:t>
      </w:r>
    </w:p>
    <w:p>
      <w:pPr>
        <w:tabs>
          <w:tab w:val="left" w:pos="1125"/>
          <w:tab w:val="left" w:pos="396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最大日温差</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30℃</w:t>
      </w:r>
    </w:p>
    <w:p>
      <w:pPr>
        <w:tabs>
          <w:tab w:val="left" w:pos="1125"/>
          <w:tab w:val="left" w:pos="396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工作电源：AC</w:t>
      </w:r>
      <w:r>
        <w:rPr>
          <w:rFonts w:hint="eastAsia" w:ascii="宋体" w:hAnsi="宋体" w:eastAsia="宋体" w:cs="宋体"/>
          <w:sz w:val="28"/>
          <w:szCs w:val="28"/>
          <w:highlight w:val="none"/>
          <w:lang w:val="en-US" w:eastAsia="zh-CN"/>
        </w:rPr>
        <w:t>22</w:t>
      </w:r>
      <w:r>
        <w:rPr>
          <w:rFonts w:hint="eastAsia" w:ascii="宋体" w:hAnsi="宋体" w:eastAsia="宋体" w:cs="宋体"/>
          <w:sz w:val="28"/>
          <w:szCs w:val="28"/>
          <w:highlight w:val="none"/>
        </w:rPr>
        <w:t>0V±10%</w:t>
      </w:r>
    </w:p>
    <w:p>
      <w:pPr>
        <w:tabs>
          <w:tab w:val="left" w:pos="1125"/>
          <w:tab w:val="left" w:pos="396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13331"/>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highlight w:val="none"/>
        </w:rPr>
      </w:pPr>
      <w:bookmarkStart w:id="4" w:name="_Toc12278"/>
      <w:r>
        <w:rPr>
          <w:rFonts w:hint="eastAsia" w:ascii="宋体" w:hAnsi="宋体" w:eastAsia="宋体" w:cs="宋体"/>
          <w:b/>
          <w:sz w:val="28"/>
          <w:szCs w:val="28"/>
          <w:highlight w:val="none"/>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bookmarkStart w:id="5" w:name="_Toc167008908"/>
      <w:bookmarkStart w:id="6" w:name="_Toc4556"/>
      <w:bookmarkStart w:id="7" w:name="_Toc200511818"/>
      <w:r>
        <w:rPr>
          <w:rFonts w:hint="eastAsia" w:ascii="宋体" w:hAnsi="宋体" w:eastAsia="宋体" w:cs="宋体"/>
          <w:sz w:val="28"/>
          <w:szCs w:val="28"/>
          <w:highlight w:val="none"/>
          <w:lang w:val="en-US" w:eastAsia="zh-CN"/>
        </w:rPr>
        <w:t>（1）应带有助磁法测量。</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（2）应具有三相同测、三相逐相测试功能，可只需一次接线即可完成高低压绕组所有直流电阻数据的测量，并能自动计算三相电阻平衡率。</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（3）应可自动显示折算到额定环境下的电阻值。</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（4）应</w:t>
      </w:r>
      <w:r>
        <w:rPr>
          <w:rFonts w:hint="default" w:ascii="宋体" w:hAnsi="宋体" w:eastAsia="宋体" w:cs="宋体"/>
          <w:sz w:val="28"/>
          <w:szCs w:val="28"/>
          <w:highlight w:val="none"/>
          <w:lang w:val="en-US" w:eastAsia="zh-CN"/>
        </w:rPr>
        <w:t>具有380V错接保护、反电动势保护、断线保护和断电保护等多种保护功能</w:t>
      </w:r>
      <w:r>
        <w:rPr>
          <w:rFonts w:hint="eastAsia" w:ascii="宋体" w:hAnsi="宋体" w:eastAsia="宋体" w:cs="宋体"/>
          <w:sz w:val="28"/>
          <w:szCs w:val="28"/>
          <w:highlight w:val="none"/>
          <w:lang w:val="en-US" w:eastAsia="zh-CN"/>
        </w:rPr>
        <w:t>。</w:t>
      </w:r>
    </w:p>
    <w:p>
      <w:pPr>
        <w:tabs>
          <w:tab w:val="left" w:pos="1125"/>
          <w:tab w:val="left" w:pos="3960"/>
        </w:tabs>
        <w:spacing w:line="360" w:lineRule="auto"/>
        <w:ind w:firstLine="560" w:firstLineChars="20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（5）应具有自动放电和放电指示功能，减少误操作，保证设备及人员安全。</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（6）仪器界面应采用彩色触幕显示屏，具备独有的单键快速操作功能，全部中文菜单操作提示，操作简单直观。</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（7）应可永久存储多组测试数据，支持U盘海量存储。</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（8）应设有微型面板打印机，可打印测试数据及记录数据。</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（9）体积小、重量轻、测试速度快。</w:t>
      </w:r>
    </w:p>
    <w:p>
      <w:pPr>
        <w:tabs>
          <w:tab w:val="left" w:pos="1125"/>
          <w:tab w:val="left" w:pos="3960"/>
        </w:tabs>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（10）永久日历、时钟功能，可进行时间校准。</w:t>
      </w:r>
    </w:p>
    <w:p>
      <w:pPr>
        <w:pStyle w:val="5"/>
        <w:tabs>
          <w:tab w:val="clear" w:pos="3276"/>
        </w:tabs>
        <w:spacing w:beforeLines="50" w:afterLines="50" w:line="360" w:lineRule="auto"/>
        <w:ind w:left="0" w:firstLine="0"/>
        <w:rPr>
          <w:rFonts w:hint="eastAsia" w:ascii="宋体" w:hAnsi="宋体" w:eastAsia="宋体" w:cs="宋体"/>
          <w:sz w:val="28"/>
          <w:szCs w:val="28"/>
          <w:highlight w:val="none"/>
        </w:rPr>
      </w:pPr>
      <w:bookmarkStart w:id="8" w:name="_Toc15157"/>
      <w:r>
        <w:rPr>
          <w:rFonts w:hint="eastAsia" w:ascii="宋体" w:hAnsi="宋体" w:eastAsia="宋体" w:cs="宋体"/>
          <w:sz w:val="28"/>
          <w:szCs w:val="28"/>
          <w:highlight w:val="none"/>
        </w:rPr>
        <w:t>4.2 技术指标要求</w:t>
      </w:r>
      <w:bookmarkEnd w:id="5"/>
      <w:bookmarkEnd w:id="6"/>
      <w:bookmarkEnd w:id="7"/>
      <w:bookmarkEnd w:id="8"/>
    </w:p>
    <w:tbl>
      <w:tblPr>
        <w:tblStyle w:val="15"/>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lang w:eastAsia="zh-CN"/>
              </w:rPr>
              <w:t>名称</w:t>
            </w:r>
          </w:p>
        </w:tc>
        <w:tc>
          <w:tcPr>
            <w:tcW w:w="6842" w:type="dxa"/>
            <w:vAlign w:val="center"/>
          </w:tcPr>
          <w:p>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z w:val="28"/>
                <w:szCs w:val="28"/>
                <w:highlight w:val="none"/>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rPr>
              <w:t>测试电流</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自动、50A、20A、</w:t>
            </w:r>
            <w:r>
              <w:rPr>
                <w:rFonts w:hint="eastAsia" w:ascii="宋体" w:hAnsi="宋体" w:eastAsia="宋体" w:cs="宋体"/>
                <w:bCs/>
                <w:color w:val="000000"/>
                <w:sz w:val="28"/>
                <w:szCs w:val="28"/>
                <w:highlight w:val="none"/>
              </w:rPr>
              <w:t>10A、2A、0.5A、100mA 、10mA、1mA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rPr>
              <w:t>测量范围</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单相测量 </w:t>
            </w:r>
            <w:r>
              <w:rPr>
                <w:rFonts w:hint="eastAsia" w:ascii="宋体" w:hAnsi="宋体" w:eastAsia="宋体" w:cs="宋体"/>
                <w:bCs/>
                <w:color w:val="000000"/>
                <w:sz w:val="28"/>
                <w:szCs w:val="28"/>
                <w:highlight w:val="none"/>
              </w:rPr>
              <w:t>0Ω</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20kΩ</w:t>
            </w:r>
            <w:r>
              <w:rPr>
                <w:rFonts w:hint="eastAsia" w:ascii="宋体" w:hAnsi="宋体" w:eastAsia="宋体" w:cs="宋体"/>
                <w:bCs/>
                <w:color w:val="000000"/>
                <w:sz w:val="28"/>
                <w:szCs w:val="28"/>
                <w:highlight w:val="none"/>
              </w:rPr>
              <w:br w:type="textWrapping"/>
            </w:r>
            <w:r>
              <w:rPr>
                <w:rFonts w:hint="eastAsia" w:ascii="宋体" w:hAnsi="宋体" w:eastAsia="宋体" w:cs="宋体"/>
                <w:bCs/>
                <w:color w:val="000000"/>
                <w:sz w:val="28"/>
                <w:szCs w:val="28"/>
                <w:highlight w:val="none"/>
                <w:lang w:val="en-US" w:eastAsia="zh-CN"/>
              </w:rPr>
              <w:t xml:space="preserve">三相测量 </w:t>
            </w:r>
            <w:r>
              <w:rPr>
                <w:rFonts w:hint="eastAsia" w:ascii="宋体" w:hAnsi="宋体" w:eastAsia="宋体" w:cs="宋体"/>
                <w:bCs/>
                <w:color w:val="000000"/>
                <w:sz w:val="28"/>
                <w:szCs w:val="28"/>
                <w:highlight w:val="none"/>
              </w:rPr>
              <w:t>0Ω</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120Ω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rPr>
              <w:t>分 辨 率</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rPr>
              <w:t>0.01μΩ</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0</w:t>
            </w:r>
            <w:r>
              <w:rPr>
                <w:rFonts w:hint="eastAsia" w:ascii="宋体" w:hAnsi="宋体" w:eastAsia="宋体" w:cs="宋体"/>
                <w:bCs/>
                <w:color w:val="000000"/>
                <w:sz w:val="28"/>
                <w:szCs w:val="28"/>
                <w:highlight w:val="none"/>
                <w:lang w:val="en-US" w:eastAsia="zh-CN"/>
              </w:rPr>
              <w:t>.</w:t>
            </w:r>
            <w:r>
              <w:rPr>
                <w:rFonts w:hint="eastAsia" w:ascii="宋体" w:hAnsi="宋体" w:eastAsia="宋体" w:cs="宋体"/>
                <w:bCs/>
                <w:color w:val="000000"/>
                <w:sz w:val="28"/>
                <w:szCs w:val="28"/>
                <w:highlight w:val="none"/>
              </w:rPr>
              <w:t>1μΩ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rPr>
              <w:t>准 确 度</w:t>
            </w:r>
          </w:p>
        </w:tc>
        <w:tc>
          <w:tcPr>
            <w:tcW w:w="6842" w:type="dxa"/>
            <w:vAlign w:val="center"/>
          </w:tcPr>
          <w:p>
            <w:pPr>
              <w:tabs>
                <w:tab w:val="left" w:pos="1125"/>
                <w:tab w:val="left" w:pos="3960"/>
              </w:tabs>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w:t>
            </w:r>
            <w:r>
              <w:rPr>
                <w:rFonts w:hint="eastAsia" w:ascii="宋体" w:hAnsi="宋体" w:eastAsia="宋体" w:cs="宋体"/>
                <w:bCs/>
                <w:color w:val="000000"/>
                <w:sz w:val="28"/>
                <w:szCs w:val="28"/>
                <w:highlight w:val="none"/>
                <w:lang w:eastAsia="zh-CN"/>
              </w:rPr>
              <w:t>（</w:t>
            </w:r>
            <w:r>
              <w:rPr>
                <w:rFonts w:hint="default" w:ascii="宋体" w:hAnsi="宋体" w:eastAsia="宋体" w:cs="宋体"/>
                <w:bCs/>
                <w:color w:val="000000"/>
                <w:sz w:val="28"/>
                <w:szCs w:val="28"/>
                <w:highlight w:val="none"/>
              </w:rPr>
              <w:t>读数×0.2%+2个字</w:t>
            </w:r>
            <w:r>
              <w:rPr>
                <w:rFonts w:hint="eastAsia" w:ascii="宋体" w:hAnsi="宋体" w:eastAsia="宋体" w:cs="宋体"/>
                <w:bCs/>
                <w:color w:val="000000"/>
                <w:sz w:val="28"/>
                <w:szCs w:val="28"/>
                <w:highlight w:val="none"/>
                <w:lang w:eastAsia="zh-CN"/>
              </w:rPr>
              <w:t>）</w:t>
            </w:r>
          </w:p>
        </w:tc>
      </w:tr>
    </w:tbl>
    <w:p>
      <w:pPr>
        <w:tabs>
          <w:tab w:val="left" w:pos="1125"/>
          <w:tab w:val="left" w:pos="3960"/>
        </w:tabs>
        <w:spacing w:line="360" w:lineRule="auto"/>
        <w:jc w:val="center"/>
        <w:rPr>
          <w:rFonts w:hint="eastAsia" w:ascii="宋体" w:hAnsi="宋体" w:eastAsia="宋体" w:cs="宋体"/>
          <w:sz w:val="28"/>
          <w:szCs w:val="28"/>
          <w:highlight w:val="none"/>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17525"/>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highlight w:val="none"/>
          <w:lang w:val="en-US" w:eastAsia="zh-CN"/>
        </w:rPr>
      </w:pPr>
      <w:r>
        <w:rPr>
          <w:rFonts w:hint="eastAsia" w:ascii="宋体" w:hAnsi="宋体" w:eastAsia="宋体" w:cs="宋体"/>
          <w:snapToGrid w:val="0"/>
          <w:sz w:val="28"/>
          <w:szCs w:val="28"/>
          <w:highlight w:val="none"/>
        </w:rPr>
        <w:t>单套供货清单</w:t>
      </w:r>
      <w:r>
        <w:rPr>
          <w:rFonts w:hint="eastAsia" w:ascii="宋体" w:hAnsi="宋体" w:eastAsia="宋体" w:cs="宋体"/>
          <w:snapToGrid w:val="0"/>
          <w:sz w:val="28"/>
          <w:szCs w:val="28"/>
          <w:highlight w:val="none"/>
          <w:lang w:val="en-US" w:eastAsia="zh-CN"/>
        </w:rPr>
        <w:t>如下：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98" w:type="dxa"/>
            <w:vAlign w:val="center"/>
          </w:tcPr>
          <w:p>
            <w:pPr>
              <w:pStyle w:val="24"/>
              <w:widowControl w:val="0"/>
              <w:suppressAutoHyphens/>
              <w:spacing w:line="240" w:lineRule="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序号</w:t>
            </w:r>
          </w:p>
        </w:tc>
        <w:tc>
          <w:tcPr>
            <w:tcW w:w="3595" w:type="dxa"/>
            <w:vAlign w:val="center"/>
          </w:tcPr>
          <w:p>
            <w:pPr>
              <w:pStyle w:val="24"/>
              <w:widowControl w:val="0"/>
              <w:suppressAutoHyphens/>
              <w:spacing w:line="240" w:lineRule="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供货设备</w:t>
            </w:r>
          </w:p>
        </w:tc>
        <w:tc>
          <w:tcPr>
            <w:tcW w:w="1853" w:type="dxa"/>
            <w:vAlign w:val="center"/>
          </w:tcPr>
          <w:p>
            <w:pPr>
              <w:pStyle w:val="24"/>
              <w:widowControl w:val="0"/>
              <w:suppressAutoHyphens/>
              <w:spacing w:line="240" w:lineRule="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型号</w:t>
            </w:r>
          </w:p>
        </w:tc>
        <w:tc>
          <w:tcPr>
            <w:tcW w:w="2214" w:type="dxa"/>
            <w:vAlign w:val="center"/>
          </w:tcPr>
          <w:p>
            <w:pPr>
              <w:pStyle w:val="24"/>
              <w:widowControl w:val="0"/>
              <w:suppressAutoHyphens/>
              <w:spacing w:line="240" w:lineRule="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3595"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rPr>
              <w:t>变压器直流电阻测试仪</w:t>
            </w:r>
          </w:p>
        </w:tc>
        <w:tc>
          <w:tcPr>
            <w:tcW w:w="1853" w:type="dxa"/>
            <w:vAlign w:val="center"/>
          </w:tcPr>
          <w:p>
            <w:pPr>
              <w:widowControl/>
              <w:spacing w:before="120" w:after="120" w:line="240" w:lineRule="auto"/>
              <w:jc w:val="center"/>
              <w:rPr>
                <w:rFonts w:hint="default" w:ascii="宋体" w:hAnsi="宋体" w:eastAsia="宋体" w:cs="宋体"/>
                <w:kern w:val="1"/>
                <w:sz w:val="28"/>
                <w:szCs w:val="28"/>
                <w:highlight w:val="none"/>
                <w:lang w:val="en-US" w:eastAsia="zh-CN" w:bidi="ar-SA"/>
              </w:rPr>
            </w:pPr>
            <w:r>
              <w:rPr>
                <w:rFonts w:hint="eastAsia" w:ascii="宋体" w:hAnsi="宋体" w:eastAsia="宋体" w:cs="宋体"/>
                <w:kern w:val="1"/>
                <w:sz w:val="28"/>
                <w:szCs w:val="28"/>
                <w:highlight w:val="none"/>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w:t>
            </w:r>
          </w:p>
        </w:tc>
        <w:tc>
          <w:tcPr>
            <w:tcW w:w="3595"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lang w:val="en-US" w:eastAsia="zh-CN"/>
              </w:rPr>
              <w:t>测试线</w:t>
            </w:r>
          </w:p>
        </w:tc>
        <w:tc>
          <w:tcPr>
            <w:tcW w:w="1853" w:type="dxa"/>
            <w:vAlign w:val="center"/>
          </w:tcPr>
          <w:p>
            <w:pPr>
              <w:widowControl/>
              <w:spacing w:before="120" w:after="120" w:line="240" w:lineRule="auto"/>
              <w:jc w:val="center"/>
              <w:rPr>
                <w:rFonts w:hint="default" w:ascii="宋体" w:hAnsi="宋体" w:eastAsia="宋体" w:cs="宋体"/>
                <w:kern w:val="1"/>
                <w:sz w:val="28"/>
                <w:szCs w:val="28"/>
                <w:highlight w:val="none"/>
                <w:lang w:val="en-US" w:eastAsia="zh-CN" w:bidi="ar-SA"/>
              </w:rPr>
            </w:pPr>
            <w:r>
              <w:rPr>
                <w:rFonts w:hint="eastAsia" w:ascii="宋体" w:hAnsi="宋体" w:eastAsia="宋体" w:cs="宋体"/>
                <w:kern w:val="1"/>
                <w:sz w:val="28"/>
                <w:szCs w:val="28"/>
                <w:highlight w:val="none"/>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w:t>
            </w:r>
          </w:p>
        </w:tc>
        <w:tc>
          <w:tcPr>
            <w:tcW w:w="3595" w:type="dxa"/>
            <w:vAlign w:val="center"/>
          </w:tcPr>
          <w:p>
            <w:pPr>
              <w:spacing w:line="240" w:lineRule="auto"/>
              <w:jc w:val="center"/>
              <w:rPr>
                <w:rFonts w:hint="eastAsia" w:ascii="宋体" w:hAnsi="宋体" w:eastAsia="宋体" w:cs="宋体"/>
                <w:kern w:val="1"/>
                <w:sz w:val="28"/>
                <w:szCs w:val="28"/>
                <w:highlight w:val="none"/>
                <w:lang w:val="en-US" w:eastAsia="ar-SA" w:bidi="ar-SA"/>
              </w:rPr>
            </w:pPr>
            <w:r>
              <w:rPr>
                <w:rFonts w:hint="eastAsia" w:ascii="宋体" w:hAnsi="宋体" w:eastAsia="宋体" w:cs="宋体"/>
                <w:sz w:val="28"/>
                <w:szCs w:val="28"/>
                <w:highlight w:val="none"/>
              </w:rPr>
              <w:t>电源线</w:t>
            </w:r>
          </w:p>
        </w:tc>
        <w:tc>
          <w:tcPr>
            <w:tcW w:w="1853" w:type="dxa"/>
            <w:vAlign w:val="center"/>
          </w:tcPr>
          <w:p>
            <w:pPr>
              <w:widowControl/>
              <w:spacing w:before="120" w:after="120" w:line="240" w:lineRule="auto"/>
              <w:jc w:val="center"/>
              <w:rPr>
                <w:rFonts w:hint="default" w:ascii="宋体" w:hAnsi="宋体" w:eastAsia="宋体" w:cs="宋体"/>
                <w:kern w:val="1"/>
                <w:sz w:val="28"/>
                <w:szCs w:val="28"/>
                <w:highlight w:val="none"/>
                <w:lang w:val="en-US" w:eastAsia="zh-CN" w:bidi="ar-SA"/>
              </w:rPr>
            </w:pPr>
            <w:r>
              <w:rPr>
                <w:rFonts w:hint="eastAsia" w:ascii="宋体" w:hAnsi="宋体" w:eastAsia="宋体" w:cs="宋体"/>
                <w:kern w:val="1"/>
                <w:sz w:val="28"/>
                <w:szCs w:val="28"/>
                <w:highlight w:val="none"/>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w:t>
            </w:r>
          </w:p>
        </w:tc>
        <w:tc>
          <w:tcPr>
            <w:tcW w:w="3595" w:type="dxa"/>
            <w:vAlign w:val="center"/>
          </w:tcPr>
          <w:p>
            <w:pPr>
              <w:spacing w:line="240" w:lineRule="auto"/>
              <w:jc w:val="center"/>
              <w:rPr>
                <w:rFonts w:hint="eastAsia" w:ascii="宋体" w:hAnsi="宋体" w:eastAsia="宋体" w:cs="宋体"/>
                <w:kern w:val="1"/>
                <w:sz w:val="28"/>
                <w:szCs w:val="28"/>
                <w:highlight w:val="none"/>
                <w:lang w:val="en-US" w:eastAsia="ar-SA" w:bidi="ar-SA"/>
              </w:rPr>
            </w:pPr>
            <w:r>
              <w:rPr>
                <w:rFonts w:hint="eastAsia" w:ascii="宋体" w:hAnsi="宋体" w:eastAsia="宋体" w:cs="宋体"/>
                <w:sz w:val="28"/>
                <w:szCs w:val="28"/>
                <w:highlight w:val="none"/>
              </w:rPr>
              <w:t>使用说明书</w:t>
            </w:r>
          </w:p>
        </w:tc>
        <w:tc>
          <w:tcPr>
            <w:tcW w:w="1853" w:type="dxa"/>
            <w:vAlign w:val="center"/>
          </w:tcPr>
          <w:p>
            <w:pPr>
              <w:widowControl/>
              <w:spacing w:before="120" w:after="120" w:line="240" w:lineRule="auto"/>
              <w:jc w:val="center"/>
              <w:rPr>
                <w:rFonts w:hint="default" w:ascii="宋体" w:hAnsi="宋体" w:eastAsia="宋体" w:cs="宋体"/>
                <w:kern w:val="1"/>
                <w:sz w:val="28"/>
                <w:szCs w:val="28"/>
                <w:highlight w:val="none"/>
                <w:lang w:val="en-US" w:eastAsia="zh-CN" w:bidi="ar-SA"/>
              </w:rPr>
            </w:pPr>
            <w:r>
              <w:rPr>
                <w:rFonts w:hint="eastAsia" w:ascii="宋体" w:hAnsi="宋体" w:eastAsia="宋体" w:cs="宋体"/>
                <w:kern w:val="1"/>
                <w:sz w:val="28"/>
                <w:szCs w:val="28"/>
                <w:highlight w:val="none"/>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w:t>
            </w:r>
          </w:p>
        </w:tc>
        <w:tc>
          <w:tcPr>
            <w:tcW w:w="3595" w:type="dxa"/>
            <w:vAlign w:val="center"/>
          </w:tcPr>
          <w:p>
            <w:pPr>
              <w:spacing w:line="240" w:lineRule="auto"/>
              <w:jc w:val="center"/>
              <w:rPr>
                <w:rFonts w:hint="eastAsia" w:ascii="宋体" w:hAnsi="宋体" w:eastAsia="宋体" w:cs="宋体"/>
                <w:kern w:val="1"/>
                <w:sz w:val="28"/>
                <w:szCs w:val="28"/>
                <w:highlight w:val="none"/>
                <w:lang w:val="en-US" w:eastAsia="ar-SA" w:bidi="ar-SA"/>
              </w:rPr>
            </w:pPr>
            <w:r>
              <w:rPr>
                <w:rFonts w:hint="eastAsia" w:ascii="宋体" w:hAnsi="宋体" w:eastAsia="宋体" w:cs="宋体"/>
                <w:sz w:val="28"/>
                <w:szCs w:val="28"/>
                <w:highlight w:val="none"/>
              </w:rPr>
              <w:t>检验证明</w:t>
            </w:r>
          </w:p>
        </w:tc>
        <w:tc>
          <w:tcPr>
            <w:tcW w:w="1853" w:type="dxa"/>
            <w:vAlign w:val="center"/>
          </w:tcPr>
          <w:p>
            <w:pPr>
              <w:widowControl/>
              <w:spacing w:before="120" w:after="120" w:line="240" w:lineRule="auto"/>
              <w:jc w:val="center"/>
              <w:rPr>
                <w:rFonts w:hint="default" w:ascii="宋体" w:hAnsi="宋体" w:eastAsia="宋体" w:cs="宋体"/>
                <w:kern w:val="1"/>
                <w:sz w:val="28"/>
                <w:szCs w:val="28"/>
                <w:highlight w:val="none"/>
                <w:lang w:val="en-US" w:eastAsia="zh-CN" w:bidi="ar-SA"/>
              </w:rPr>
            </w:pPr>
            <w:r>
              <w:rPr>
                <w:rFonts w:hint="eastAsia" w:ascii="宋体" w:hAnsi="宋体" w:eastAsia="宋体" w:cs="宋体"/>
                <w:kern w:val="1"/>
                <w:sz w:val="28"/>
                <w:szCs w:val="28"/>
                <w:highlight w:val="none"/>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w:t>
            </w:r>
          </w:p>
        </w:tc>
        <w:tc>
          <w:tcPr>
            <w:tcW w:w="3595" w:type="dxa"/>
            <w:vAlign w:val="center"/>
          </w:tcPr>
          <w:p>
            <w:pPr>
              <w:spacing w:line="240" w:lineRule="auto"/>
              <w:jc w:val="center"/>
              <w:rPr>
                <w:rFonts w:hint="eastAsia" w:ascii="宋体" w:hAnsi="宋体" w:eastAsia="宋体" w:cs="宋体"/>
                <w:kern w:val="1"/>
                <w:sz w:val="28"/>
                <w:szCs w:val="28"/>
                <w:highlight w:val="none"/>
                <w:lang w:val="en-US" w:eastAsia="ar-SA" w:bidi="ar-SA"/>
              </w:rPr>
            </w:pPr>
            <w:r>
              <w:rPr>
                <w:rFonts w:hint="eastAsia" w:ascii="宋体" w:hAnsi="宋体" w:eastAsia="宋体" w:cs="宋体"/>
                <w:sz w:val="28"/>
                <w:szCs w:val="28"/>
                <w:highlight w:val="none"/>
              </w:rPr>
              <w:t>装箱单</w:t>
            </w:r>
          </w:p>
        </w:tc>
        <w:tc>
          <w:tcPr>
            <w:tcW w:w="1853" w:type="dxa"/>
            <w:vAlign w:val="center"/>
          </w:tcPr>
          <w:p>
            <w:pPr>
              <w:widowControl/>
              <w:spacing w:before="120" w:after="120" w:line="240" w:lineRule="auto"/>
              <w:jc w:val="center"/>
              <w:rPr>
                <w:rFonts w:hint="default" w:ascii="宋体" w:hAnsi="宋体" w:eastAsia="宋体" w:cs="宋体"/>
                <w:kern w:val="1"/>
                <w:sz w:val="28"/>
                <w:szCs w:val="28"/>
                <w:highlight w:val="none"/>
                <w:lang w:val="en-US" w:eastAsia="zh-CN" w:bidi="ar-SA"/>
              </w:rPr>
            </w:pPr>
            <w:r>
              <w:rPr>
                <w:rFonts w:hint="eastAsia" w:ascii="宋体" w:hAnsi="宋体" w:eastAsia="宋体" w:cs="宋体"/>
                <w:kern w:val="1"/>
                <w:sz w:val="28"/>
                <w:szCs w:val="28"/>
                <w:highlight w:val="none"/>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份</w:t>
            </w:r>
          </w:p>
        </w:tc>
      </w:tr>
    </w:tbl>
    <w:p>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6348"/>
      <w:bookmarkStart w:id="12" w:name="_Toc28845"/>
      <w:bookmarkStart w:id="13" w:name="_Toc10357"/>
      <w:bookmarkStart w:id="14" w:name="_Toc22926"/>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5" w:name="_Toc23336"/>
      <w:bookmarkStart w:id="16" w:name="_Toc31053"/>
      <w:bookmarkStart w:id="17" w:name="_Toc11534"/>
      <w:bookmarkStart w:id="18" w:name="_Toc16264"/>
      <w:bookmarkStart w:id="19" w:name="_Toc18597"/>
      <w:bookmarkStart w:id="20" w:name="_Toc19111"/>
      <w:r>
        <w:rPr>
          <w:rFonts w:hint="default" w:ascii="Times New Roman" w:hAnsi="Times New Roman" w:eastAsia="宋体" w:cs="Times New Roman"/>
          <w:b/>
          <w:bCs w:val="0"/>
          <w:kern w:val="2"/>
          <w:sz w:val="30"/>
          <w:szCs w:val="30"/>
          <w:lang w:val="en-US" w:eastAsia="zh-CN" w:bidi="ar-SA"/>
        </w:rPr>
        <w:t>7 售后服务和技术培训</w:t>
      </w:r>
      <w:bookmarkStart w:id="21" w:name="_Toc390088690"/>
      <w:r>
        <w:rPr>
          <w:rFonts w:hint="default" w:ascii="Times New Roman" w:hAnsi="Times New Roman" w:eastAsia="宋体" w:cs="Times New Roman"/>
          <w:b/>
          <w:bCs w:val="0"/>
          <w:kern w:val="2"/>
          <w:sz w:val="30"/>
          <w:szCs w:val="30"/>
          <w:lang w:val="en-US" w:eastAsia="zh-CN" w:bidi="ar-SA"/>
        </w:rPr>
        <w:t>要求</w:t>
      </w:r>
      <w:bookmarkEnd w:id="15"/>
      <w:bookmarkEnd w:id="16"/>
      <w:bookmarkEnd w:id="17"/>
      <w:bookmarkEnd w:id="18"/>
      <w:bookmarkEnd w:id="19"/>
      <w:bookmarkEnd w:id="20"/>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2" w:name="_Toc29029"/>
      <w:bookmarkStart w:id="23" w:name="_Toc18435"/>
      <w:bookmarkStart w:id="24" w:name="_Toc3099"/>
      <w:bookmarkStart w:id="25" w:name="_Toc18060"/>
      <w:bookmarkStart w:id="26" w:name="_Toc16249"/>
      <w:bookmarkStart w:id="27" w:name="_Toc31014"/>
      <w:r>
        <w:rPr>
          <w:rFonts w:hint="default" w:ascii="Times New Roman" w:hAnsi="Times New Roman" w:eastAsia="宋体" w:cs="Times New Roman"/>
          <w:b/>
          <w:bCs/>
          <w:sz w:val="28"/>
          <w:szCs w:val="28"/>
          <w:lang w:val="en-US" w:eastAsia="zh-CN"/>
        </w:rPr>
        <w:t>7.1 售后服务</w:t>
      </w:r>
      <w:bookmarkEnd w:id="21"/>
      <w:bookmarkEnd w:id="22"/>
      <w:bookmarkEnd w:id="23"/>
      <w:bookmarkEnd w:id="24"/>
      <w:bookmarkEnd w:id="25"/>
      <w:bookmarkEnd w:id="26"/>
      <w:bookmarkEnd w:id="27"/>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28" w:name="OLE_LINK17"/>
      <w:r>
        <w:rPr>
          <w:rFonts w:hint="default" w:ascii="Times New Roman" w:hAnsi="Times New Roman" w:cs="Times New Roman"/>
          <w:sz w:val="28"/>
          <w:szCs w:val="28"/>
        </w:rPr>
        <w:t>投标方应保证系统投运之日起提供</w:t>
      </w:r>
      <w:bookmarkEnd w:id="28"/>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29"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0" w:name="_Toc17905"/>
      <w:bookmarkStart w:id="31" w:name="_Toc5683"/>
      <w:bookmarkStart w:id="32" w:name="_Toc4614"/>
      <w:bookmarkStart w:id="33" w:name="_Toc6783"/>
      <w:bookmarkStart w:id="34" w:name="_Toc12501"/>
      <w:bookmarkStart w:id="35" w:name="_Toc430"/>
      <w:bookmarkStart w:id="36" w:name="OLE_LINK22"/>
      <w:r>
        <w:rPr>
          <w:rFonts w:hint="default" w:ascii="Times New Roman" w:hAnsi="Times New Roman" w:eastAsia="宋体" w:cs="Times New Roman"/>
          <w:b/>
          <w:bCs/>
          <w:sz w:val="28"/>
          <w:szCs w:val="28"/>
          <w:lang w:val="en-US" w:eastAsia="zh-CN"/>
        </w:rPr>
        <w:t>7.2 技术培训</w:t>
      </w:r>
      <w:bookmarkEnd w:id="29"/>
      <w:bookmarkEnd w:id="30"/>
      <w:bookmarkEnd w:id="31"/>
      <w:bookmarkEnd w:id="32"/>
      <w:bookmarkEnd w:id="33"/>
      <w:bookmarkEnd w:id="34"/>
      <w:bookmarkEnd w:id="35"/>
    </w:p>
    <w:bookmarkEnd w:id="36"/>
    <w:p>
      <w:pPr>
        <w:pStyle w:val="35"/>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5"/>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37" w:name="OLE_LINK16"/>
      <w:r>
        <w:rPr>
          <w:rFonts w:hint="default" w:ascii="Times New Roman" w:hAnsi="Times New Roman" w:eastAsia="宋体" w:cs="Times New Roman"/>
          <w:sz w:val="28"/>
          <w:szCs w:val="28"/>
        </w:rPr>
        <w:t>不少于</w:t>
      </w:r>
      <w:bookmarkEnd w:id="37"/>
      <w:r>
        <w:rPr>
          <w:rFonts w:hint="default" w:ascii="Times New Roman" w:hAnsi="Times New Roman" w:eastAsia="宋体" w:cs="Times New Roman"/>
          <w:sz w:val="28"/>
          <w:szCs w:val="28"/>
        </w:rPr>
        <w:t>3天。其中，理论培训1天；实操不少于2天。</w:t>
      </w:r>
    </w:p>
    <w:p>
      <w:pPr>
        <w:pStyle w:val="35"/>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5"/>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38"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38"/>
    </w:p>
    <w:p>
      <w:pPr>
        <w:pStyle w:val="35"/>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5"/>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39" w:name="_Toc2928"/>
      <w:bookmarkStart w:id="40" w:name="_Toc3624"/>
      <w:bookmarkStart w:id="41" w:name="_Toc26867"/>
      <w:bookmarkStart w:id="42" w:name="_Toc25839"/>
      <w:bookmarkStart w:id="43" w:name="_Toc7428"/>
      <w:bookmarkStart w:id="44" w:name="_Toc10568"/>
      <w:r>
        <w:rPr>
          <w:rFonts w:hint="default" w:ascii="Times New Roman" w:hAnsi="Times New Roman" w:eastAsia="宋体" w:cs="Times New Roman"/>
          <w:b/>
          <w:bCs w:val="0"/>
          <w:kern w:val="2"/>
          <w:sz w:val="30"/>
          <w:szCs w:val="30"/>
          <w:lang w:val="en-US" w:eastAsia="zh-CN" w:bidi="ar-SA"/>
        </w:rPr>
        <w:t>8 验收</w:t>
      </w:r>
      <w:bookmarkStart w:id="45" w:name="_Toc387612874"/>
      <w:bookmarkStart w:id="46" w:name="_Toc390088694"/>
      <w:bookmarkStart w:id="47" w:name="_Toc291690060"/>
      <w:r>
        <w:rPr>
          <w:rFonts w:hint="default" w:ascii="Times New Roman" w:hAnsi="Times New Roman" w:eastAsia="宋体" w:cs="Times New Roman"/>
          <w:b/>
          <w:bCs w:val="0"/>
          <w:kern w:val="2"/>
          <w:sz w:val="30"/>
          <w:szCs w:val="30"/>
          <w:lang w:val="en-US" w:eastAsia="zh-CN" w:bidi="ar-SA"/>
        </w:rPr>
        <w:t>要求</w:t>
      </w:r>
      <w:bookmarkEnd w:id="39"/>
      <w:bookmarkEnd w:id="40"/>
      <w:bookmarkEnd w:id="41"/>
      <w:bookmarkEnd w:id="42"/>
      <w:bookmarkEnd w:id="43"/>
      <w:bookmarkEnd w:id="44"/>
    </w:p>
    <w:bookmarkEnd w:id="45"/>
    <w:bookmarkEnd w:id="46"/>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48" w:name="_Toc341535612"/>
      <w:bookmarkStart w:id="49" w:name="_Toc257812191"/>
      <w:bookmarkStart w:id="50"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1" w:name="_Toc19273"/>
      <w:bookmarkStart w:id="52" w:name="_Toc16533"/>
      <w:bookmarkStart w:id="53" w:name="_Toc22741"/>
      <w:bookmarkStart w:id="54" w:name="_Toc23903"/>
      <w:bookmarkStart w:id="55" w:name="_Toc27907"/>
      <w:bookmarkStart w:id="56" w:name="_Toc7867"/>
      <w:bookmarkStart w:id="57" w:name="OLE_LINK21"/>
      <w:r>
        <w:rPr>
          <w:rFonts w:hint="default" w:ascii="Times New Roman" w:hAnsi="Times New Roman" w:eastAsia="宋体" w:cs="Times New Roman"/>
          <w:b/>
          <w:bCs/>
          <w:kern w:val="0"/>
          <w:sz w:val="28"/>
          <w:szCs w:val="28"/>
          <w:lang w:val="en-US" w:eastAsia="zh-CN" w:bidi="ar-SA"/>
        </w:rPr>
        <w:t>8.1 到货验收</w:t>
      </w:r>
      <w:bookmarkEnd w:id="48"/>
      <w:bookmarkEnd w:id="49"/>
      <w:bookmarkEnd w:id="50"/>
      <w:bookmarkEnd w:id="51"/>
      <w:bookmarkEnd w:id="52"/>
      <w:bookmarkEnd w:id="53"/>
      <w:bookmarkEnd w:id="54"/>
      <w:bookmarkEnd w:id="55"/>
      <w:bookmarkEnd w:id="56"/>
    </w:p>
    <w:bookmarkEnd w:id="57"/>
    <w:p>
      <w:pPr>
        <w:pStyle w:val="35"/>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58" w:name="_Toc341535616"/>
      <w:bookmarkStart w:id="59" w:name="_Toc387612876"/>
      <w:bookmarkStart w:id="60" w:name="_Toc25781219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1" w:name="_Toc5236"/>
      <w:bookmarkStart w:id="62" w:name="_Toc17828"/>
      <w:bookmarkStart w:id="63" w:name="_Toc15384"/>
      <w:bookmarkStart w:id="64" w:name="_Toc9650"/>
      <w:bookmarkStart w:id="65" w:name="_Toc22068"/>
      <w:bookmarkStart w:id="66" w:name="_Toc1461"/>
      <w:r>
        <w:rPr>
          <w:rFonts w:hint="default" w:ascii="Times New Roman" w:hAnsi="Times New Roman" w:eastAsia="宋体" w:cs="Times New Roman"/>
          <w:b/>
          <w:bCs/>
          <w:kern w:val="0"/>
          <w:sz w:val="28"/>
          <w:szCs w:val="28"/>
          <w:lang w:val="en-US" w:eastAsia="zh-CN" w:bidi="ar-SA"/>
        </w:rPr>
        <w:t>8.2 现场验收</w:t>
      </w:r>
      <w:bookmarkEnd w:id="58"/>
      <w:bookmarkEnd w:id="59"/>
      <w:bookmarkEnd w:id="60"/>
      <w:bookmarkEnd w:id="61"/>
      <w:bookmarkEnd w:id="62"/>
      <w:bookmarkEnd w:id="63"/>
      <w:bookmarkEnd w:id="64"/>
      <w:bookmarkEnd w:id="65"/>
      <w:bookmarkEnd w:id="66"/>
    </w:p>
    <w:p>
      <w:pPr>
        <w:spacing w:line="360" w:lineRule="auto"/>
        <w:ind w:firstLine="560" w:firstLineChars="200"/>
        <w:rPr>
          <w:rFonts w:hint="eastAsia" w:ascii="宋体" w:hAnsi="宋体" w:eastAsia="宋体" w:cs="宋体"/>
          <w:sz w:val="28"/>
          <w:szCs w:val="28"/>
          <w:highlight w:val="none"/>
        </w:rPr>
      </w:pPr>
      <w:r>
        <w:rPr>
          <w:rFonts w:hint="default" w:ascii="Times New Roman" w:hAnsi="Times New Roman" w:eastAsia="宋体" w:cs="Times New Roman"/>
          <w:sz w:val="28"/>
          <w:szCs w:val="28"/>
        </w:rPr>
        <w:t>以投标方协助需方完成培训内容为标准进行验收</w:t>
      </w:r>
      <w:bookmarkEnd w:id="47"/>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变电专业变压器直流电阻测试仪技术规范书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1F2753D"/>
    <w:rsid w:val="021D332E"/>
    <w:rsid w:val="021F1CE9"/>
    <w:rsid w:val="03441254"/>
    <w:rsid w:val="039970F0"/>
    <w:rsid w:val="04B85A8C"/>
    <w:rsid w:val="06C83369"/>
    <w:rsid w:val="06F74250"/>
    <w:rsid w:val="06FC1FE4"/>
    <w:rsid w:val="073440CA"/>
    <w:rsid w:val="083B22E9"/>
    <w:rsid w:val="09912E73"/>
    <w:rsid w:val="09DA6CE5"/>
    <w:rsid w:val="0AA06A69"/>
    <w:rsid w:val="0B1D612C"/>
    <w:rsid w:val="0B9E7B3E"/>
    <w:rsid w:val="0BAC324C"/>
    <w:rsid w:val="0BBD0B5D"/>
    <w:rsid w:val="0BD92CA9"/>
    <w:rsid w:val="0C641B1E"/>
    <w:rsid w:val="0D09760B"/>
    <w:rsid w:val="0DF84B27"/>
    <w:rsid w:val="0E4C7BE5"/>
    <w:rsid w:val="0ED04650"/>
    <w:rsid w:val="0F4B632C"/>
    <w:rsid w:val="117656A1"/>
    <w:rsid w:val="11C76314"/>
    <w:rsid w:val="11F81621"/>
    <w:rsid w:val="121A5772"/>
    <w:rsid w:val="122703EF"/>
    <w:rsid w:val="1252421A"/>
    <w:rsid w:val="129375E2"/>
    <w:rsid w:val="1364719A"/>
    <w:rsid w:val="13A0311A"/>
    <w:rsid w:val="14AE74C4"/>
    <w:rsid w:val="152A59B2"/>
    <w:rsid w:val="157E633F"/>
    <w:rsid w:val="17247B54"/>
    <w:rsid w:val="17B22491"/>
    <w:rsid w:val="17E9578A"/>
    <w:rsid w:val="18593DD0"/>
    <w:rsid w:val="196A1CCC"/>
    <w:rsid w:val="19F05946"/>
    <w:rsid w:val="1A050DE8"/>
    <w:rsid w:val="1B5D7819"/>
    <w:rsid w:val="1B5F7121"/>
    <w:rsid w:val="1E476C31"/>
    <w:rsid w:val="20443504"/>
    <w:rsid w:val="206C32B1"/>
    <w:rsid w:val="20A85646"/>
    <w:rsid w:val="210C2DC4"/>
    <w:rsid w:val="22783F62"/>
    <w:rsid w:val="22F56ECA"/>
    <w:rsid w:val="23846F1A"/>
    <w:rsid w:val="26301520"/>
    <w:rsid w:val="264B09E7"/>
    <w:rsid w:val="281E05B5"/>
    <w:rsid w:val="29253C5F"/>
    <w:rsid w:val="292B071C"/>
    <w:rsid w:val="2A043C29"/>
    <w:rsid w:val="2D5F3BEA"/>
    <w:rsid w:val="2DAD1295"/>
    <w:rsid w:val="2F82055E"/>
    <w:rsid w:val="3015100B"/>
    <w:rsid w:val="30575940"/>
    <w:rsid w:val="32300AE3"/>
    <w:rsid w:val="32B02F4F"/>
    <w:rsid w:val="32ED7EDB"/>
    <w:rsid w:val="33515420"/>
    <w:rsid w:val="3459654B"/>
    <w:rsid w:val="35724440"/>
    <w:rsid w:val="35E67CC2"/>
    <w:rsid w:val="35EA73E3"/>
    <w:rsid w:val="370A7BEE"/>
    <w:rsid w:val="37130BEA"/>
    <w:rsid w:val="37CD4298"/>
    <w:rsid w:val="397E1DFD"/>
    <w:rsid w:val="398B33E3"/>
    <w:rsid w:val="3AF505AA"/>
    <w:rsid w:val="3B007723"/>
    <w:rsid w:val="3B3E176C"/>
    <w:rsid w:val="3BC03446"/>
    <w:rsid w:val="3EB65EA7"/>
    <w:rsid w:val="3F306184"/>
    <w:rsid w:val="407946F1"/>
    <w:rsid w:val="4592285F"/>
    <w:rsid w:val="45FA704D"/>
    <w:rsid w:val="461061B1"/>
    <w:rsid w:val="46122A69"/>
    <w:rsid w:val="48935017"/>
    <w:rsid w:val="49A73E15"/>
    <w:rsid w:val="49EC2CF1"/>
    <w:rsid w:val="4C2C0CD0"/>
    <w:rsid w:val="4C6B6707"/>
    <w:rsid w:val="4CC534FF"/>
    <w:rsid w:val="4CF47715"/>
    <w:rsid w:val="4D442103"/>
    <w:rsid w:val="4D605863"/>
    <w:rsid w:val="4D8F6BEF"/>
    <w:rsid w:val="4DE24485"/>
    <w:rsid w:val="4E803ED7"/>
    <w:rsid w:val="52873053"/>
    <w:rsid w:val="53176A9C"/>
    <w:rsid w:val="53C92214"/>
    <w:rsid w:val="53F40CBE"/>
    <w:rsid w:val="542A117B"/>
    <w:rsid w:val="546F3F6B"/>
    <w:rsid w:val="54824E31"/>
    <w:rsid w:val="548328B3"/>
    <w:rsid w:val="54F112A5"/>
    <w:rsid w:val="559336C4"/>
    <w:rsid w:val="56DD1F1C"/>
    <w:rsid w:val="585B5B7A"/>
    <w:rsid w:val="595744CF"/>
    <w:rsid w:val="5A7979FA"/>
    <w:rsid w:val="5C537622"/>
    <w:rsid w:val="5CDD10BF"/>
    <w:rsid w:val="5D3F5BD6"/>
    <w:rsid w:val="5E052881"/>
    <w:rsid w:val="5F273CAC"/>
    <w:rsid w:val="5F5027A2"/>
    <w:rsid w:val="61877856"/>
    <w:rsid w:val="61A62640"/>
    <w:rsid w:val="6249287A"/>
    <w:rsid w:val="63752383"/>
    <w:rsid w:val="64C90076"/>
    <w:rsid w:val="65F60B40"/>
    <w:rsid w:val="66042581"/>
    <w:rsid w:val="677E43FB"/>
    <w:rsid w:val="6A0D0A67"/>
    <w:rsid w:val="6A163E39"/>
    <w:rsid w:val="6A28027F"/>
    <w:rsid w:val="6A2E5D2C"/>
    <w:rsid w:val="6C4B4ADF"/>
    <w:rsid w:val="6C63752A"/>
    <w:rsid w:val="6D351FB7"/>
    <w:rsid w:val="6D4579BF"/>
    <w:rsid w:val="6D7935F9"/>
    <w:rsid w:val="6E06478D"/>
    <w:rsid w:val="6E322ED1"/>
    <w:rsid w:val="6FDC2C9B"/>
    <w:rsid w:val="7015325F"/>
    <w:rsid w:val="71E21A2C"/>
    <w:rsid w:val="738D6525"/>
    <w:rsid w:val="755358DC"/>
    <w:rsid w:val="75A504A5"/>
    <w:rsid w:val="76C635C6"/>
    <w:rsid w:val="77790D29"/>
    <w:rsid w:val="7836187F"/>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line="360" w:lineRule="exact"/>
    </w:pPr>
    <w:rPr>
      <w:rFonts w:ascii="黑体" w:eastAsia="黑体"/>
      <w:sz w:val="28"/>
      <w:szCs w:val="20"/>
    </w:rPr>
  </w:style>
  <w:style w:type="paragraph" w:styleId="3">
    <w:name w:val="Title"/>
    <w:basedOn w:val="1"/>
    <w:next w:val="1"/>
    <w:qFormat/>
    <w:uiPriority w:val="10"/>
    <w:pPr>
      <w:widowControl w:val="0"/>
      <w:spacing w:before="240" w:after="60" w:line="360" w:lineRule="auto"/>
      <w:ind w:firstLine="480" w:firstLineChars="200"/>
      <w:jc w:val="center"/>
      <w:outlineLvl w:val="0"/>
    </w:pPr>
    <w:rPr>
      <w:rFonts w:ascii="Arial" w:hAnsi="Arial" w:eastAsia="宋体" w:cs="Arial"/>
      <w:b/>
      <w:bCs/>
      <w:kern w:val="0"/>
      <w:sz w:val="32"/>
      <w:szCs w:val="32"/>
      <w:lang w:val="en-US" w:eastAsia="zh-CN" w:bidi="ar-SA"/>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qFormat/>
    <w:uiPriority w:val="0"/>
    <w:rPr>
      <w:rFonts w:ascii="宋体" w:hAnsi="Courier New"/>
      <w:szCs w:val="20"/>
    </w:rPr>
  </w:style>
  <w:style w:type="paragraph" w:styleId="10">
    <w:name w:val="Date"/>
    <w:basedOn w:val="1"/>
    <w:next w:val="1"/>
    <w:link w:val="22"/>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Normal (Web)"/>
    <w:basedOn w:val="1"/>
    <w:qFormat/>
    <w:uiPriority w:val="0"/>
    <w:pPr>
      <w:spacing w:before="100" w:beforeAutospacing="1" w:after="100" w:afterAutospacing="1"/>
      <w:jc w:val="left"/>
    </w:pPr>
    <w:rPr>
      <w:kern w:val="0"/>
      <w:sz w:val="24"/>
    </w:rPr>
  </w:style>
  <w:style w:type="paragraph" w:styleId="14">
    <w:name w:val="Body Text First Indent"/>
    <w:basedOn w:val="2"/>
    <w:unhideWhenUsed/>
    <w:qFormat/>
    <w:uiPriority w:val="99"/>
    <w:pPr>
      <w:ind w:firstLine="420" w:firstLineChars="1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character" w:styleId="19">
    <w:name w:val="page number"/>
    <w:basedOn w:val="17"/>
    <w:qFormat/>
    <w:uiPriority w:val="0"/>
  </w:style>
  <w:style w:type="character" w:styleId="20">
    <w:name w:val="Emphasis"/>
    <w:qFormat/>
    <w:uiPriority w:val="20"/>
    <w:rPr>
      <w:i/>
      <w:iCs/>
    </w:rPr>
  </w:style>
  <w:style w:type="character" w:styleId="21">
    <w:name w:val="Hyperlink"/>
    <w:basedOn w:val="17"/>
    <w:qFormat/>
    <w:uiPriority w:val="0"/>
    <w:rPr>
      <w:color w:val="0000FF"/>
      <w:u w:val="single"/>
    </w:rPr>
  </w:style>
  <w:style w:type="character" w:customStyle="1" w:styleId="22">
    <w:name w:val="日期 Char"/>
    <w:link w:val="10"/>
    <w:qFormat/>
    <w:uiPriority w:val="0"/>
    <w:rPr>
      <w:kern w:val="2"/>
      <w:sz w:val="21"/>
    </w:rPr>
  </w:style>
  <w:style w:type="character" w:customStyle="1" w:styleId="23">
    <w:name w:val="mark"/>
    <w:basedOn w:val="17"/>
    <w:qFormat/>
    <w:uiPriority w:val="0"/>
  </w:style>
  <w:style w:type="paragraph" w:customStyle="1" w:styleId="24">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5">
    <w:name w:val="Char Char Char Char"/>
    <w:basedOn w:val="1"/>
    <w:qFormat/>
    <w:uiPriority w:val="0"/>
  </w:style>
  <w:style w:type="paragraph" w:customStyle="1" w:styleId="26">
    <w:name w:val="Char Char Char Char Char Char"/>
    <w:basedOn w:val="7"/>
    <w:qFormat/>
    <w:uiPriority w:val="0"/>
    <w:rPr>
      <w:rFonts w:ascii="Tahoma" w:hAnsi="Tahoma"/>
      <w:sz w:val="24"/>
      <w:szCs w:val="24"/>
    </w:rPr>
  </w:style>
  <w:style w:type="paragraph" w:styleId="27">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8">
    <w:name w:val="msolistparagraph"/>
    <w:basedOn w:val="1"/>
    <w:qFormat/>
    <w:uiPriority w:val="0"/>
    <w:pPr>
      <w:spacing w:line="360" w:lineRule="auto"/>
      <w:ind w:firstLine="420" w:firstLineChars="200"/>
    </w:pPr>
    <w:rPr>
      <w:rFonts w:ascii="Calibri" w:hAnsi="Calibri" w:cs="Calibri"/>
      <w:szCs w:val="21"/>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样式 标题 2"/>
    <w:basedOn w:val="5"/>
    <w:qFormat/>
    <w:uiPriority w:val="0"/>
    <w:rPr>
      <w:b w:val="0"/>
    </w:rPr>
  </w:style>
  <w:style w:type="paragraph" w:customStyle="1" w:styleId="31">
    <w:name w:val="样式1"/>
    <w:basedOn w:val="1"/>
    <w:qFormat/>
    <w:uiPriority w:val="0"/>
    <w:pPr>
      <w:numPr>
        <w:ilvl w:val="2"/>
        <w:numId w:val="1"/>
      </w:numPr>
      <w:tabs>
        <w:tab w:val="left" w:pos="570"/>
      </w:tabs>
      <w:spacing w:line="360" w:lineRule="auto"/>
    </w:pPr>
    <w:rPr>
      <w:rFonts w:ascii="宋体"/>
      <w:sz w:val="24"/>
    </w:rPr>
  </w:style>
  <w:style w:type="paragraph" w:customStyle="1" w:styleId="32">
    <w:name w:val="正文1"/>
    <w:basedOn w:val="1"/>
    <w:qFormat/>
    <w:uiPriority w:val="0"/>
    <w:pPr>
      <w:autoSpaceDE w:val="0"/>
      <w:spacing w:line="276" w:lineRule="auto"/>
      <w:ind w:firstLine="480" w:firstLineChars="200"/>
    </w:pPr>
    <w:rPr>
      <w:kern w:val="0"/>
      <w:sz w:val="24"/>
      <w:szCs w:val="20"/>
    </w:rPr>
  </w:style>
  <w:style w:type="paragraph" w:customStyle="1" w:styleId="33">
    <w:name w:val="Char"/>
    <w:basedOn w:val="1"/>
    <w:qFormat/>
    <w:uiPriority w:val="0"/>
    <w:pPr>
      <w:widowControl/>
      <w:spacing w:line="348" w:lineRule="auto"/>
      <w:ind w:firstLine="560" w:firstLineChars="200"/>
    </w:pPr>
    <w:rPr>
      <w:rFonts w:eastAsia="仿宋_GB2312"/>
      <w:sz w:val="28"/>
    </w:rPr>
  </w:style>
  <w:style w:type="paragraph" w:customStyle="1" w:styleId="34">
    <w:name w:val="D1"/>
    <w:basedOn w:val="1"/>
    <w:qFormat/>
    <w:uiPriority w:val="0"/>
    <w:pPr>
      <w:spacing w:line="480" w:lineRule="auto"/>
    </w:pPr>
    <w:rPr>
      <w:rFonts w:ascii="EU-F1" w:eastAsia="黑体"/>
      <w:szCs w:val="21"/>
    </w:rPr>
  </w:style>
  <w:style w:type="paragraph" w:customStyle="1" w:styleId="35">
    <w:name w:val="p0"/>
    <w:basedOn w:val="1"/>
    <w:qFormat/>
    <w:uiPriority w:val="0"/>
    <w:pPr>
      <w:widowControl/>
      <w:jc w:val="left"/>
    </w:pPr>
    <w:rPr>
      <w:rFonts w:ascii="Calibri" w:hAnsi="Calibri" w:eastAsia="Arial Unicode MS"/>
      <w:kern w:val="0"/>
      <w:szCs w:val="20"/>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uiPriority w:val="0"/>
    <w:pPr>
      <w:ind w:leftChars="200"/>
    </w:pPr>
    <w:rPr>
      <w:rFonts w:ascii="Times New Roman" w:hAnsi="Times New Roman" w:eastAsia="宋体" w:cs="Times New Roman"/>
      <w:sz w:val="20"/>
      <w:szCs w:val="20"/>
    </w:rPr>
  </w:style>
  <w:style w:type="paragraph" w:styleId="38">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4</Pages>
  <Words>1667</Words>
  <Characters>1825</Characters>
  <Lines>16</Lines>
  <Paragraphs>4</Paragraphs>
  <TotalTime>2</TotalTime>
  <ScaleCrop>false</ScaleCrop>
  <LinksUpToDate>false</LinksUpToDate>
  <CharactersWithSpaces>1848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2025-07-23T10:02:13Z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eyJoZGlkIjoiZjVhNGJiMWVmZTg4ZjFhYWZhYWFiMzBkODkwYWRkZmUiLCJ1c2VySWQiOiIyMzY4MzE5NDEifQ==</vt:lpwstr>
  </property>
</Properties>
</file>