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宋体" w:hAnsi="宋体"/>
        </w:rPr>
      </w:pPr>
      <w:r>
        <w:rPr>
          <w:rFonts w:hint="eastAsia" w:ascii="宋体" w:hAnsi="宋体"/>
        </w:rPr>
        <w:drawing>
          <wp:anchor distT="0" distB="0" distL="114300" distR="114300" simplePos="0" relativeHeight="251660288" behindDoc="0" locked="0" layoutInCell="1" allowOverlap="1">
            <wp:simplePos x="0" y="0"/>
            <wp:positionH relativeFrom="column">
              <wp:posOffset>-1466850</wp:posOffset>
            </wp:positionH>
            <wp:positionV relativeFrom="paragraph">
              <wp:posOffset>-1080135</wp:posOffset>
            </wp:positionV>
            <wp:extent cx="8915400" cy="2736850"/>
            <wp:effectExtent l="19050" t="0" r="0" b="0"/>
            <wp:wrapNone/>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6"/>
                    <a:srcRect/>
                    <a:stretch>
                      <a:fillRect/>
                    </a:stretch>
                  </pic:blipFill>
                  <pic:spPr>
                    <a:xfrm>
                      <a:off x="0" y="0"/>
                      <a:ext cx="8915400" cy="2736850"/>
                    </a:xfrm>
                    <a:prstGeom prst="rect">
                      <a:avLst/>
                    </a:prstGeom>
                    <a:noFill/>
                    <a:ln w="9525" cmpd="sng">
                      <a:noFill/>
                      <a:miter lim="800000"/>
                      <a:headEnd/>
                      <a:tailEnd/>
                    </a:ln>
                  </pic:spPr>
                </pic:pic>
              </a:graphicData>
            </a:graphic>
          </wp:anchor>
        </w:drawing>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line="360" w:lineRule="auto"/>
        <w:jc w:val="center"/>
        <w:rPr>
          <w:rFonts w:hint="eastAsia" w:ascii="Times New Roman" w:hAnsi="Times New Roman" w:eastAsia="黑体" w:cs="Times New Roman"/>
          <w:b/>
          <w:bCs/>
          <w:sz w:val="56"/>
          <w:szCs w:val="56"/>
          <w:lang w:val="en-US" w:eastAsia="zh-CN"/>
        </w:rPr>
      </w:pPr>
      <w:r>
        <w:rPr>
          <w:rFonts w:hint="default" w:ascii="Times New Roman" w:hAnsi="Times New Roman" w:eastAsia="黑体" w:cs="Times New Roman"/>
          <w:b/>
          <w:bCs/>
          <w:sz w:val="56"/>
          <w:szCs w:val="56"/>
          <w:lang w:val="en-US" w:eastAsia="zh-CN"/>
        </w:rPr>
        <w:t>变电专业</w:t>
      </w:r>
      <w:r>
        <w:rPr>
          <w:rFonts w:hint="eastAsia" w:ascii="Times New Roman" w:hAnsi="Times New Roman" w:eastAsia="黑体" w:cs="Times New Roman"/>
          <w:b/>
          <w:bCs/>
          <w:sz w:val="56"/>
          <w:szCs w:val="56"/>
          <w:lang w:val="en-US" w:eastAsia="zh-CN"/>
        </w:rPr>
        <w:t>粉尘颗粒物空气质量</w:t>
      </w:r>
    </w:p>
    <w:p>
      <w:pPr>
        <w:spacing w:line="360" w:lineRule="auto"/>
        <w:jc w:val="center"/>
        <w:rPr>
          <w:rFonts w:hint="eastAsia" w:ascii="Times New Roman" w:hAnsi="Times New Roman" w:eastAsia="黑体" w:cs="Times New Roman"/>
          <w:b/>
          <w:bCs/>
          <w:sz w:val="56"/>
          <w:szCs w:val="56"/>
          <w:lang w:val="en-US" w:eastAsia="zh-CN"/>
        </w:rPr>
      </w:pPr>
      <w:r>
        <w:rPr>
          <w:rFonts w:hint="eastAsia" w:ascii="Times New Roman" w:hAnsi="Times New Roman" w:eastAsia="黑体" w:cs="Times New Roman"/>
          <w:b/>
          <w:bCs/>
          <w:sz w:val="56"/>
          <w:szCs w:val="56"/>
          <w:lang w:val="en-US" w:eastAsia="zh-CN"/>
        </w:rPr>
        <w:t>检测仪</w:t>
      </w:r>
      <w:r>
        <w:rPr>
          <w:rFonts w:hint="default" w:ascii="Times New Roman" w:hAnsi="Times New Roman" w:eastAsia="黑体" w:cs="Times New Roman"/>
          <w:b/>
          <w:bCs/>
          <w:sz w:val="56"/>
          <w:szCs w:val="56"/>
          <w:lang w:val="en-US" w:eastAsia="zh-CN"/>
        </w:rPr>
        <w:t>技术规范书</w:t>
      </w: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spacing w:line="360" w:lineRule="auto"/>
        <w:jc w:val="center"/>
        <w:rPr>
          <w:rFonts w:ascii="华文宋体" w:hAnsi="华文宋体" w:eastAsia="华文宋体"/>
          <w:b/>
          <w:sz w:val="32"/>
          <w:szCs w:val="32"/>
        </w:rPr>
      </w:pPr>
    </w:p>
    <w:p>
      <w:pPr>
        <w:pStyle w:val="2"/>
        <w:rPr>
          <w:rFonts w:ascii="华文宋体" w:hAnsi="华文宋体" w:eastAsia="华文宋体"/>
          <w:b/>
          <w:sz w:val="32"/>
          <w:szCs w:val="32"/>
        </w:rPr>
      </w:pPr>
    </w:p>
    <w:p>
      <w:pPr>
        <w:pStyle w:val="2"/>
        <w:rPr>
          <w:rFonts w:ascii="华文宋体" w:hAnsi="华文宋体" w:eastAsia="华文宋体"/>
          <w:b/>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sz w:val="36"/>
          <w:szCs w:val="36"/>
        </w:rPr>
      </w:pPr>
      <w:r>
        <w:rPr>
          <w:rFonts w:hint="default" w:ascii="Times New Roman" w:hAnsi="Times New Roman" w:eastAsia="黑体" w:cs="Times New Roman"/>
          <w:sz w:val="32"/>
          <w:szCs w:val="32"/>
        </w:rPr>
        <w:t>海南电网有限责任公司</w:t>
      </w:r>
    </w:p>
    <w:p>
      <w:pPr>
        <w:spacing w:line="360" w:lineRule="auto"/>
        <w:jc w:val="center"/>
        <w:rPr>
          <w:rFonts w:ascii="微软雅黑" w:hAnsi="微软雅黑" w:eastAsia="微软雅黑"/>
          <w:b/>
          <w:sz w:val="32"/>
          <w:szCs w:val="32"/>
        </w:rPr>
      </w:pP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O二五</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360" w:lineRule="auto"/>
        <w:jc w:val="center"/>
        <w:rPr>
          <w:rFonts w:ascii="微软雅黑" w:hAnsi="微软雅黑" w:eastAsia="微软雅黑"/>
          <w:b/>
          <w:sz w:val="32"/>
          <w:szCs w:val="32"/>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sectPr>
          <w:headerReference r:id="rId3" w:type="default"/>
          <w:pgSz w:w="12240" w:h="15840"/>
          <w:pgMar w:top="1440" w:right="1797" w:bottom="1440" w:left="1797" w:header="720" w:footer="720" w:gutter="0"/>
          <w:cols w:space="720" w:num="1"/>
          <w:docGrid w:linePitch="286" w:charSpace="0"/>
        </w:sectPr>
      </w:pPr>
    </w:p>
    <w:sdt>
      <w:sdtPr>
        <w:rPr>
          <w:rFonts w:ascii="宋体" w:hAnsi="宋体" w:eastAsia="宋体" w:cs="Times New Roman"/>
          <w:kern w:val="2"/>
          <w:sz w:val="21"/>
          <w:lang w:val="en-US" w:eastAsia="zh-CN" w:bidi="ar-SA"/>
        </w:rPr>
        <w:id w:val="147467776"/>
        <w15:color w:val="DBDBDB"/>
        <w:docPartObj>
          <w:docPartGallery w:val="Table of Contents"/>
          <w:docPartUnique/>
        </w:docPartObj>
      </w:sdtPr>
      <w:sdtEndPr>
        <w:rPr>
          <w:rFonts w:hint="eastAsia" w:ascii="宋体" w:hAnsi="宋体" w:eastAsia="宋体" w:cs="宋体"/>
          <w:b/>
          <w:kern w:val="2"/>
          <w:sz w:val="21"/>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36"/>
              <w:szCs w:val="36"/>
            </w:rPr>
          </w:pPr>
          <w:bookmarkStart w:id="74" w:name="_GoBack"/>
          <w:bookmarkEnd w:id="74"/>
          <w:r>
            <w:rPr>
              <w:rFonts w:ascii="宋体" w:hAnsi="宋体" w:eastAsia="宋体"/>
              <w:sz w:val="36"/>
              <w:szCs w:val="36"/>
            </w:rPr>
            <w:t>目</w:t>
          </w:r>
          <w:r>
            <w:rPr>
              <w:rFonts w:hint="eastAsia" w:ascii="宋体" w:hAnsi="宋体" w:eastAsia="宋体"/>
              <w:sz w:val="36"/>
              <w:szCs w:val="36"/>
              <w:lang w:val="en-US" w:eastAsia="zh-CN"/>
            </w:rPr>
            <w:t xml:space="preserve">   </w:t>
          </w:r>
          <w:r>
            <w:rPr>
              <w:rFonts w:ascii="宋体" w:hAnsi="宋体" w:eastAsia="宋体"/>
              <w:sz w:val="36"/>
              <w:szCs w:val="36"/>
            </w:rPr>
            <w:t>录</w:t>
          </w:r>
        </w:p>
        <w:p>
          <w:pPr>
            <w:pStyle w:val="2"/>
          </w:pPr>
        </w:p>
        <w:p>
          <w:pPr>
            <w:pStyle w:val="2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TOC \o "1-2" \h \u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_Toc5308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 xml:space="preserve">1 </w:t>
          </w:r>
          <w:r>
            <w:rPr>
              <w:rFonts w:hint="eastAsia" w:ascii="宋体" w:hAnsi="宋体" w:eastAsia="宋体" w:cs="宋体"/>
              <w:b w:val="0"/>
              <w:bCs/>
              <w:sz w:val="28"/>
              <w:szCs w:val="28"/>
            </w:rPr>
            <w:t>总则</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_Toc5308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_Toc22132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2 引用标准</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_Toc22132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2</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_Toc23409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3 使用环境条件要求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_Toc23409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_Toc24896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4 设备功能及技术要求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_Toc24896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_Toc30703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4.1功能要求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_Toc30703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3</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_Toc18494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rPr>
            <w:t>4.2 技术指标要求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_Toc18494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4</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_Toc13353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5 设备的供货范围要求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_Toc13353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_Toc19477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6 包装、运输和贮存</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_Toc19477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_Toc23229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7 售后服务和技术培训要求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_Toc23229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_Toc12078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7.1 售后服务</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_Toc12078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5</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_Toc26000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sz w:val="28"/>
              <w:szCs w:val="28"/>
              <w:lang w:val="en-US" w:eastAsia="zh-CN"/>
            </w:rPr>
            <w:t>7.2 技术培训</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_Toc26000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7"/>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_Toc18551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2"/>
              <w:sz w:val="28"/>
              <w:szCs w:val="28"/>
              <w:lang w:val="en-US" w:eastAsia="zh-CN" w:bidi="ar-SA"/>
            </w:rPr>
            <w:t>8 验收要求</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_Toc18551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_Toc27150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8.1 到货验收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_Toc27150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6</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pStyle w:val="28"/>
            <w:tabs>
              <w:tab w:val="right" w:leader="dot" w:pos="8646"/>
            </w:tabs>
            <w:spacing w:line="360" w:lineRule="auto"/>
            <w:rPr>
              <w:rFonts w:hint="eastAsia" w:ascii="宋体" w:hAnsi="宋体" w:eastAsia="宋体" w:cs="宋体"/>
              <w:b w:val="0"/>
              <w:bCs/>
              <w:sz w:val="28"/>
              <w:szCs w:val="28"/>
            </w:rPr>
          </w:pPr>
          <w:r>
            <w:rPr>
              <w:rFonts w:hint="eastAsia" w:ascii="宋体" w:hAnsi="宋体" w:eastAsia="宋体" w:cs="宋体"/>
              <w:b w:val="0"/>
              <w:bCs/>
              <w:sz w:val="28"/>
              <w:szCs w:val="28"/>
              <w:lang w:val="en-US" w:eastAsia="zh-CN"/>
            </w:rPr>
            <w:fldChar w:fldCharType="begin"/>
          </w:r>
          <w:r>
            <w:rPr>
              <w:rFonts w:hint="eastAsia" w:ascii="宋体" w:hAnsi="宋体" w:eastAsia="宋体" w:cs="宋体"/>
              <w:b w:val="0"/>
              <w:bCs/>
              <w:sz w:val="28"/>
              <w:szCs w:val="28"/>
              <w:lang w:val="en-US" w:eastAsia="zh-CN"/>
            </w:rPr>
            <w:instrText xml:space="preserve"> HYPERLINK \l _Toc20758 </w:instrText>
          </w:r>
          <w:r>
            <w:rPr>
              <w:rFonts w:hint="eastAsia" w:ascii="宋体" w:hAnsi="宋体" w:eastAsia="宋体" w:cs="宋体"/>
              <w:b w:val="0"/>
              <w:bCs/>
              <w:sz w:val="28"/>
              <w:szCs w:val="28"/>
              <w:lang w:val="en-US" w:eastAsia="zh-CN"/>
            </w:rPr>
            <w:fldChar w:fldCharType="separate"/>
          </w:r>
          <w:r>
            <w:rPr>
              <w:rFonts w:hint="eastAsia" w:ascii="宋体" w:hAnsi="宋体" w:eastAsia="宋体" w:cs="宋体"/>
              <w:b w:val="0"/>
              <w:bCs/>
              <w:kern w:val="0"/>
              <w:sz w:val="28"/>
              <w:szCs w:val="28"/>
              <w:lang w:val="en-US" w:eastAsia="zh-CN" w:bidi="ar-SA"/>
            </w:rPr>
            <w:t>8.2 现场验收</w:t>
          </w:r>
          <w:r>
            <w:rPr>
              <w:rFonts w:hint="eastAsia" w:ascii="宋体" w:hAnsi="宋体" w:eastAsia="宋体" w:cs="宋体"/>
              <w:b w:val="0"/>
              <w:bCs/>
              <w:sz w:val="28"/>
              <w:szCs w:val="28"/>
            </w:rPr>
            <w:tab/>
          </w:r>
          <w:r>
            <w:rPr>
              <w:rFonts w:hint="eastAsia" w:ascii="宋体" w:hAnsi="宋体" w:eastAsia="宋体" w:cs="宋体"/>
              <w:b w:val="0"/>
              <w:bCs/>
              <w:sz w:val="28"/>
              <w:szCs w:val="28"/>
            </w:rPr>
            <w:fldChar w:fldCharType="begin"/>
          </w:r>
          <w:r>
            <w:rPr>
              <w:rFonts w:hint="eastAsia" w:ascii="宋体" w:hAnsi="宋体" w:eastAsia="宋体" w:cs="宋体"/>
              <w:b w:val="0"/>
              <w:bCs/>
              <w:sz w:val="28"/>
              <w:szCs w:val="28"/>
            </w:rPr>
            <w:instrText xml:space="preserve"> PAGEREF _Toc20758 \h </w:instrText>
          </w:r>
          <w:r>
            <w:rPr>
              <w:rFonts w:hint="eastAsia" w:ascii="宋体" w:hAnsi="宋体" w:eastAsia="宋体" w:cs="宋体"/>
              <w:b w:val="0"/>
              <w:bCs/>
              <w:sz w:val="28"/>
              <w:szCs w:val="28"/>
            </w:rPr>
            <w:fldChar w:fldCharType="separate"/>
          </w:r>
          <w:r>
            <w:rPr>
              <w:rFonts w:hint="eastAsia" w:ascii="宋体" w:hAnsi="宋体" w:eastAsia="宋体" w:cs="宋体"/>
              <w:b w:val="0"/>
              <w:bCs/>
              <w:sz w:val="28"/>
              <w:szCs w:val="28"/>
            </w:rPr>
            <w:t>7</w:t>
          </w:r>
          <w:r>
            <w:rPr>
              <w:rFonts w:hint="eastAsia" w:ascii="宋体" w:hAnsi="宋体" w:eastAsia="宋体" w:cs="宋体"/>
              <w:b w:val="0"/>
              <w:bCs/>
              <w:sz w:val="28"/>
              <w:szCs w:val="28"/>
            </w:rPr>
            <w:fldChar w:fldCharType="end"/>
          </w: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fldChar w:fldCharType="end"/>
          </w: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val="0"/>
              <w:bCs/>
              <w:sz w:val="28"/>
              <w:szCs w:val="28"/>
              <w:lang w:val="en-US" w:eastAsia="zh-CN"/>
            </w:rPr>
          </w:pPr>
        </w:p>
        <w:p>
          <w:pPr>
            <w:numPr>
              <w:numId w:val="0"/>
            </w:numPr>
            <w:spacing w:line="360" w:lineRule="auto"/>
            <w:ind w:leftChars="0"/>
            <w:rPr>
              <w:rFonts w:hint="eastAsia" w:ascii="宋体" w:hAnsi="宋体" w:eastAsia="宋体" w:cs="宋体"/>
              <w:b/>
              <w:sz w:val="30"/>
              <w:szCs w:val="30"/>
              <w:lang w:val="en-US" w:eastAsia="zh-CN"/>
            </w:rPr>
          </w:pPr>
        </w:p>
      </w:sdtContent>
    </w:sdt>
    <w:p>
      <w:pPr>
        <w:numPr>
          <w:numId w:val="0"/>
        </w:numPr>
        <w:spacing w:line="360" w:lineRule="auto"/>
        <w:ind w:leftChars="0"/>
        <w:outlineLvl w:val="0"/>
        <w:rPr>
          <w:rFonts w:hint="eastAsia" w:ascii="宋体" w:hAnsi="宋体" w:eastAsia="宋体" w:cs="宋体"/>
          <w:b/>
          <w:sz w:val="30"/>
          <w:szCs w:val="30"/>
        </w:rPr>
      </w:pPr>
      <w:bookmarkStart w:id="0" w:name="_Toc5308"/>
      <w:r>
        <w:rPr>
          <w:rFonts w:hint="eastAsia" w:ascii="宋体" w:hAnsi="宋体" w:eastAsia="宋体" w:cs="宋体"/>
          <w:b/>
          <w:sz w:val="30"/>
          <w:szCs w:val="30"/>
          <w:lang w:val="en-US" w:eastAsia="zh-CN"/>
        </w:rPr>
        <w:t xml:space="preserve">1 </w:t>
      </w:r>
      <w:r>
        <w:rPr>
          <w:rFonts w:hint="eastAsia" w:ascii="宋体" w:hAnsi="宋体" w:eastAsia="宋体" w:cs="宋体"/>
          <w:b/>
          <w:sz w:val="30"/>
          <w:szCs w:val="30"/>
        </w:rPr>
        <w:t>总则</w:t>
      </w:r>
      <w:bookmarkEnd w:id="0"/>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1.1 </w:t>
      </w:r>
      <w:r>
        <w:rPr>
          <w:rFonts w:hint="eastAsia" w:ascii="宋体" w:hAnsi="宋体" w:eastAsia="宋体" w:cs="宋体"/>
          <w:sz w:val="28"/>
          <w:szCs w:val="28"/>
        </w:rPr>
        <w:t>本规范书适用于粉尘颗粒物空气质量检测仪的招标，它提出设备的功能、结构、性能、安装和试验等方面的技术要求。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1.2 </w:t>
      </w:r>
      <w:r>
        <w:rPr>
          <w:rFonts w:hint="eastAsia" w:ascii="宋体" w:hAnsi="宋体" w:eastAsia="宋体" w:cs="宋体"/>
          <w:sz w:val="28"/>
          <w:szCs w:val="28"/>
        </w:rPr>
        <w:t>招标方在本规范书中提出了设备所应满足的主要功能要求和基本性能指标，且为最低限度，并未罗列所有的技术要求和适用标准，投标方应提供一套既满足本规范书和所列标准要求、又符合相关国际和行业标准的高质量产品，并提供相应服务。对国家有关安全、环保等强制性标准，必须满足其要求。</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1.3 </w:t>
      </w:r>
      <w:r>
        <w:rPr>
          <w:rFonts w:hint="eastAsia" w:ascii="宋体" w:hAnsi="宋体" w:eastAsia="宋体" w:cs="宋体"/>
          <w:sz w:val="28"/>
          <w:szCs w:val="28"/>
        </w:rPr>
        <w:t>投标方必须对本招标文件的每一款作出明确答复，并写出具体技术数据和指标，否则视该条回答无效。如未对本规范书提出偏差，将认为投标方同意提供的设备符合规范书和标准的要求。偏差（无论多少）都必须清楚地表示在投标文件中的“偏差表”中。</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1.4 </w:t>
      </w:r>
      <w:r>
        <w:rPr>
          <w:rFonts w:hint="eastAsia" w:ascii="宋体" w:hAnsi="宋体" w:eastAsia="宋体" w:cs="宋体"/>
          <w:sz w:val="28"/>
          <w:szCs w:val="28"/>
        </w:rPr>
        <w:t>投标方须执行招标书技术部分所列标准，有矛盾时，按较高标准执行。</w:t>
      </w:r>
    </w:p>
    <w:p>
      <w:pPr>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1.5 </w:t>
      </w:r>
      <w:r>
        <w:rPr>
          <w:rFonts w:hint="eastAsia" w:ascii="宋体" w:hAnsi="宋体" w:eastAsia="宋体" w:cs="宋体"/>
          <w:sz w:val="28"/>
          <w:szCs w:val="28"/>
        </w:rPr>
        <w:t>投标人资格</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投标人必须具备相关产品的设计、制造经验，并有质检部门的认可文件或相关的检测报告、ISO-9001质量认证书或相当的认证文件。投标的设备必须提供在电力系统商业运行的良好记录，投标人提供的设备必须是在国内生产制造。</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1" w:name="_Toc22132"/>
      <w:r>
        <w:rPr>
          <w:rFonts w:hint="eastAsia" w:ascii="宋体" w:hAnsi="宋体" w:eastAsia="宋体" w:cs="宋体"/>
          <w:b/>
          <w:sz w:val="30"/>
          <w:szCs w:val="30"/>
          <w:lang w:val="en-US" w:eastAsia="zh-CN"/>
        </w:rPr>
        <w:t>2 引用标准</w:t>
      </w:r>
      <w:bookmarkEnd w:id="1"/>
    </w:p>
    <w:p>
      <w:pPr>
        <w:spacing w:line="360" w:lineRule="auto"/>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rPr>
        <w:t>除本规范书特殊规定外，投标方所提供的设备均应按下列标准和规定进行设计、制造、检验和安装。所用的标准必须是最新版本的标准。如果这些标准内容矛盾时，应按最高标准的条款执行或按双方商定的标准执行。如果投标方选用标书规定以外的标准时，需提交与这种替换标准相当的或优于标书规定标准的证明。</w:t>
      </w:r>
      <w:r>
        <w:rPr>
          <w:rFonts w:hint="eastAsia" w:ascii="宋体" w:hAnsi="宋体" w:eastAsia="宋体" w:cs="宋体"/>
          <w:sz w:val="28"/>
          <w:szCs w:val="28"/>
          <w:lang w:val="en-US" w:eastAsia="zh-CN"/>
        </w:rPr>
        <w:t>主要引用标准如下：</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 4793.1  测量、控制和实验室用电气设备的安全要求 第1部分：通用要求</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DL/T 596  电力设备预防性试验规程</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GB/T 6592  电工和电子测量设备性能表示</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GB/T 6593  电子测量仪器质量检验规则</w:t>
      </w:r>
    </w:p>
    <w:p>
      <w:pPr>
        <w:numPr>
          <w:ilvl w:val="0"/>
          <w:numId w:val="0"/>
        </w:numPr>
        <w:spacing w:line="360" w:lineRule="auto"/>
        <w:ind w:leftChars="0"/>
        <w:outlineLvl w:val="0"/>
        <w:rPr>
          <w:rFonts w:hint="eastAsia" w:ascii="宋体" w:hAnsi="宋体" w:eastAsia="宋体" w:cs="宋体"/>
          <w:b/>
          <w:sz w:val="30"/>
          <w:szCs w:val="30"/>
          <w:lang w:val="en-US" w:eastAsia="zh-CN"/>
        </w:rPr>
      </w:pPr>
      <w:bookmarkStart w:id="2" w:name="_Toc23409"/>
      <w:r>
        <w:rPr>
          <w:rFonts w:hint="eastAsia" w:ascii="宋体" w:hAnsi="宋体" w:eastAsia="宋体" w:cs="宋体"/>
          <w:b/>
          <w:sz w:val="30"/>
          <w:szCs w:val="30"/>
          <w:lang w:val="en-US" w:eastAsia="zh-CN"/>
        </w:rPr>
        <w:t>3 使用环境条件要求</w:t>
      </w:r>
      <w:bookmarkEnd w:id="2"/>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环境温度</w:t>
      </w:r>
      <w:r>
        <w:rPr>
          <w:rFonts w:hint="eastAsia" w:ascii="宋体" w:hAnsi="宋体" w:eastAsia="宋体" w:cs="宋体"/>
          <w:sz w:val="28"/>
          <w:szCs w:val="28"/>
          <w:lang w:eastAsia="zh-CN"/>
        </w:rPr>
        <w:t>：</w:t>
      </w:r>
      <w:r>
        <w:rPr>
          <w:rFonts w:hint="eastAsia" w:ascii="宋体" w:hAnsi="宋体" w:eastAsia="宋体" w:cs="宋体"/>
          <w:sz w:val="28"/>
          <w:szCs w:val="28"/>
        </w:rPr>
        <w:t>0℃</w:t>
      </w:r>
      <w:r>
        <w:rPr>
          <w:rFonts w:hint="eastAsia" w:ascii="宋体" w:hAnsi="宋体" w:eastAsia="宋体" w:cs="宋体"/>
          <w:sz w:val="28"/>
          <w:szCs w:val="28"/>
          <w:lang w:val="en-US" w:eastAsia="zh-CN"/>
        </w:rPr>
        <w:t>~5</w:t>
      </w:r>
      <w:r>
        <w:rPr>
          <w:rFonts w:hint="eastAsia" w:ascii="宋体" w:hAnsi="宋体" w:eastAsia="宋体" w:cs="宋体"/>
          <w:sz w:val="28"/>
          <w:szCs w:val="28"/>
        </w:rPr>
        <w:t>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环境湿度：≤</w:t>
      </w:r>
      <w:r>
        <w:rPr>
          <w:rFonts w:hint="eastAsia" w:ascii="宋体" w:hAnsi="宋体" w:eastAsia="宋体" w:cs="宋体"/>
          <w:sz w:val="28"/>
          <w:szCs w:val="28"/>
          <w:lang w:val="en-US" w:eastAsia="zh-CN"/>
        </w:rPr>
        <w:t>9</w:t>
      </w:r>
      <w:r>
        <w:rPr>
          <w:rFonts w:hint="eastAsia" w:ascii="宋体" w:hAnsi="宋体" w:eastAsia="宋体" w:cs="宋体"/>
          <w:sz w:val="28"/>
          <w:szCs w:val="28"/>
        </w:rPr>
        <w:t>0%RH</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使用地点：室外</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海拔高度</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rPr>
        <w:t>000米以下</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最大日温差</w:t>
      </w:r>
      <w:r>
        <w:rPr>
          <w:rFonts w:hint="eastAsia" w:ascii="宋体" w:hAnsi="宋体" w:eastAsia="宋体" w:cs="宋体"/>
          <w:sz w:val="28"/>
          <w:szCs w:val="28"/>
          <w:lang w:eastAsia="zh-CN"/>
        </w:rPr>
        <w:t>：</w:t>
      </w:r>
      <w:r>
        <w:rPr>
          <w:rFonts w:hint="eastAsia" w:ascii="宋体" w:hAnsi="宋体" w:eastAsia="宋体" w:cs="宋体"/>
          <w:sz w:val="28"/>
          <w:szCs w:val="28"/>
        </w:rPr>
        <w:t>30℃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最大风速</w:t>
      </w:r>
      <w:r>
        <w:rPr>
          <w:rFonts w:hint="eastAsia" w:ascii="宋体" w:hAnsi="宋体" w:eastAsia="宋体" w:cs="宋体"/>
          <w:sz w:val="28"/>
          <w:szCs w:val="28"/>
          <w:lang w:eastAsia="zh-CN"/>
        </w:rPr>
        <w:t>：</w:t>
      </w:r>
      <w:r>
        <w:rPr>
          <w:rFonts w:hint="eastAsia" w:ascii="宋体" w:hAnsi="宋体" w:eastAsia="宋体" w:cs="宋体"/>
          <w:sz w:val="28"/>
          <w:szCs w:val="28"/>
        </w:rPr>
        <w:t>35m</w:t>
      </w:r>
      <w:r>
        <w:rPr>
          <w:rFonts w:hint="eastAsia" w:ascii="宋体" w:hAnsi="宋体" w:eastAsia="宋体" w:cs="宋体"/>
          <w:sz w:val="28"/>
          <w:szCs w:val="28"/>
          <w:lang w:val="en-US" w:eastAsia="zh-CN"/>
        </w:rPr>
        <w:t>/</w:t>
      </w:r>
      <w:r>
        <w:rPr>
          <w:rFonts w:hint="eastAsia" w:ascii="宋体" w:hAnsi="宋体" w:eastAsia="宋体" w:cs="宋体"/>
          <w:sz w:val="28"/>
          <w:szCs w:val="28"/>
        </w:rPr>
        <w:t>s</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工作电源：AC</w:t>
      </w:r>
      <w:r>
        <w:rPr>
          <w:rFonts w:hint="eastAsia" w:ascii="宋体" w:hAnsi="宋体" w:eastAsia="宋体" w:cs="宋体"/>
          <w:sz w:val="28"/>
          <w:szCs w:val="28"/>
          <w:lang w:val="en-US" w:eastAsia="zh-CN"/>
        </w:rPr>
        <w:t>22</w:t>
      </w:r>
      <w:r>
        <w:rPr>
          <w:rFonts w:hint="eastAsia" w:ascii="宋体" w:hAnsi="宋体" w:eastAsia="宋体" w:cs="宋体"/>
          <w:sz w:val="28"/>
          <w:szCs w:val="28"/>
        </w:rPr>
        <w:t>0V±10%</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电源频率：(50±1)Hz</w:t>
      </w:r>
    </w:p>
    <w:p>
      <w:pPr>
        <w:numPr>
          <w:ilvl w:val="0"/>
          <w:numId w:val="0"/>
        </w:numPr>
        <w:spacing w:line="360" w:lineRule="auto"/>
        <w:outlineLvl w:val="0"/>
        <w:rPr>
          <w:rFonts w:hint="eastAsia" w:ascii="宋体" w:hAnsi="宋体" w:eastAsia="宋体" w:cs="宋体"/>
          <w:b/>
          <w:sz w:val="30"/>
          <w:szCs w:val="30"/>
          <w:lang w:val="en-US" w:eastAsia="zh-CN"/>
        </w:rPr>
      </w:pPr>
      <w:bookmarkStart w:id="3" w:name="_Toc24896"/>
      <w:r>
        <w:rPr>
          <w:rFonts w:hint="eastAsia" w:ascii="宋体" w:hAnsi="宋体" w:eastAsia="宋体" w:cs="宋体"/>
          <w:b/>
          <w:sz w:val="30"/>
          <w:szCs w:val="30"/>
          <w:lang w:val="en-US" w:eastAsia="zh-CN"/>
        </w:rPr>
        <w:t>4 设备功能及技术要求</w:t>
      </w:r>
      <w:bookmarkEnd w:id="3"/>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以下规定了本次所需采购的技术要求。投标方所提出的任何替代指标应不低于本技术规范书的要求。</w:t>
      </w:r>
    </w:p>
    <w:p>
      <w:pPr>
        <w:tabs>
          <w:tab w:val="left" w:pos="1125"/>
          <w:tab w:val="left" w:pos="3960"/>
        </w:tabs>
        <w:spacing w:line="360" w:lineRule="auto"/>
        <w:outlineLvl w:val="1"/>
        <w:rPr>
          <w:rFonts w:hint="eastAsia" w:ascii="宋体" w:hAnsi="宋体" w:eastAsia="宋体" w:cs="宋体"/>
          <w:b/>
          <w:kern w:val="2"/>
          <w:sz w:val="28"/>
          <w:szCs w:val="28"/>
          <w:lang w:val="en-US" w:eastAsia="zh-CN" w:bidi="ar-SA"/>
        </w:rPr>
      </w:pPr>
      <w:bookmarkStart w:id="4" w:name="_Toc30703"/>
      <w:r>
        <w:rPr>
          <w:rFonts w:hint="eastAsia" w:ascii="宋体" w:hAnsi="宋体" w:eastAsia="宋体" w:cs="宋体"/>
          <w:b/>
          <w:kern w:val="2"/>
          <w:sz w:val="28"/>
          <w:szCs w:val="28"/>
          <w:lang w:val="en-US" w:eastAsia="zh-CN" w:bidi="ar-SA"/>
        </w:rPr>
        <w:t>4.1功能要求</w:t>
      </w:r>
      <w:bookmarkEnd w:id="4"/>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bookmarkStart w:id="5" w:name="_Toc4556"/>
      <w:bookmarkStart w:id="6" w:name="_Toc200511818"/>
      <w:bookmarkStart w:id="7" w:name="_Toc167008908"/>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操作简单、携带方便</w:t>
      </w:r>
      <w:r>
        <w:rPr>
          <w:rFonts w:hint="eastAsia" w:ascii="宋体" w:hAnsi="宋体" w:eastAsia="宋体" w:cs="宋体"/>
          <w:sz w:val="28"/>
          <w:szCs w:val="28"/>
          <w:lang w:eastAsia="zh-CN"/>
        </w:rPr>
        <w:t>。</w:t>
      </w:r>
      <w:r>
        <w:rPr>
          <w:rFonts w:hint="eastAsia" w:ascii="宋体" w:hAnsi="宋体" w:eastAsia="宋体" w:cs="宋体"/>
          <w:sz w:val="28"/>
          <w:szCs w:val="28"/>
        </w:rPr>
        <w:t>全智能化，抗污染、抗干扰，</w:t>
      </w:r>
      <w:r>
        <w:rPr>
          <w:rFonts w:hint="eastAsia" w:ascii="宋体" w:hAnsi="宋体" w:eastAsia="宋体" w:cs="宋体"/>
          <w:sz w:val="28"/>
          <w:szCs w:val="28"/>
          <w:lang w:eastAsia="zh-CN"/>
        </w:rPr>
        <w:t>具备</w:t>
      </w:r>
      <w:r>
        <w:rPr>
          <w:rFonts w:hint="eastAsia" w:ascii="宋体" w:hAnsi="宋体" w:eastAsia="宋体" w:cs="宋体"/>
          <w:sz w:val="28"/>
          <w:szCs w:val="28"/>
        </w:rPr>
        <w:t>六通道空气粉尘粒子计数、温湿度测量、露点温度测量</w:t>
      </w:r>
      <w:r>
        <w:rPr>
          <w:rFonts w:hint="eastAsia" w:ascii="宋体" w:hAnsi="宋体" w:eastAsia="宋体" w:cs="宋体"/>
          <w:sz w:val="28"/>
          <w:szCs w:val="28"/>
          <w:lang w:eastAsia="zh-CN"/>
        </w:rPr>
        <w:t>功能</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应</w:t>
      </w:r>
      <w:r>
        <w:rPr>
          <w:rFonts w:hint="eastAsia" w:ascii="宋体" w:hAnsi="宋体" w:eastAsia="宋体" w:cs="宋体"/>
          <w:sz w:val="28"/>
          <w:szCs w:val="28"/>
          <w:lang w:eastAsia="zh-CN"/>
        </w:rPr>
        <w:t>配置粒子传感器及温湿度传感器，具备</w:t>
      </w:r>
      <w:r>
        <w:rPr>
          <w:rFonts w:hint="eastAsia" w:ascii="宋体" w:hAnsi="宋体" w:eastAsia="宋体" w:cs="宋体"/>
          <w:sz w:val="28"/>
          <w:szCs w:val="28"/>
        </w:rPr>
        <w:t>粉尘粒子测量</w:t>
      </w:r>
      <w:r>
        <w:rPr>
          <w:rFonts w:hint="eastAsia" w:ascii="宋体" w:hAnsi="宋体" w:eastAsia="宋体" w:cs="宋体"/>
          <w:sz w:val="28"/>
          <w:szCs w:val="28"/>
          <w:lang w:eastAsia="zh-CN"/>
        </w:rPr>
        <w:t>功能，</w:t>
      </w:r>
      <w:r>
        <w:rPr>
          <w:rFonts w:hint="eastAsia" w:ascii="宋体" w:hAnsi="宋体" w:eastAsia="宋体" w:cs="宋体"/>
          <w:sz w:val="28"/>
          <w:szCs w:val="28"/>
        </w:rPr>
        <w:t>六通道同时测量显示</w:t>
      </w:r>
      <w:r>
        <w:rPr>
          <w:rFonts w:hint="eastAsia" w:ascii="宋体" w:hAnsi="宋体" w:eastAsia="宋体" w:cs="宋体"/>
          <w:sz w:val="28"/>
          <w:szCs w:val="28"/>
          <w:lang w:val="en-US" w:eastAsia="zh-CN"/>
        </w:rPr>
        <w:t>。</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）交互界面采用</w:t>
      </w:r>
      <w:r>
        <w:rPr>
          <w:rFonts w:hint="eastAsia" w:ascii="宋体" w:hAnsi="宋体" w:eastAsia="宋体" w:cs="宋体"/>
          <w:sz w:val="28"/>
          <w:szCs w:val="28"/>
        </w:rPr>
        <w:t>彩色液晶屏</w:t>
      </w:r>
      <w:r>
        <w:rPr>
          <w:rFonts w:hint="eastAsia" w:ascii="宋体" w:hAnsi="宋体" w:eastAsia="宋体" w:cs="宋体"/>
          <w:sz w:val="28"/>
          <w:szCs w:val="28"/>
          <w:lang w:eastAsia="zh-CN"/>
        </w:rPr>
        <w:t>显示</w:t>
      </w:r>
      <w:r>
        <w:rPr>
          <w:rFonts w:hint="eastAsia" w:ascii="宋体" w:hAnsi="宋体" w:eastAsia="宋体" w:cs="宋体"/>
          <w:sz w:val="28"/>
          <w:szCs w:val="28"/>
        </w:rPr>
        <w:t>。</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应</w:t>
      </w:r>
      <w:r>
        <w:rPr>
          <w:rFonts w:hint="eastAsia" w:ascii="宋体" w:hAnsi="宋体" w:eastAsia="宋体" w:cs="宋体"/>
          <w:sz w:val="28"/>
          <w:szCs w:val="28"/>
          <w:lang w:eastAsia="zh-CN"/>
        </w:rPr>
        <w:t>具备</w:t>
      </w:r>
      <w:r>
        <w:rPr>
          <w:rFonts w:hint="eastAsia" w:ascii="宋体" w:hAnsi="宋体" w:eastAsia="宋体" w:cs="宋体"/>
          <w:sz w:val="28"/>
          <w:szCs w:val="28"/>
        </w:rPr>
        <w:t>USB电脑接入技术</w:t>
      </w:r>
      <w:r>
        <w:rPr>
          <w:rFonts w:hint="eastAsia" w:ascii="宋体" w:hAnsi="宋体" w:eastAsia="宋体" w:cs="宋体"/>
          <w:sz w:val="28"/>
          <w:szCs w:val="28"/>
          <w:lang w:eastAsia="zh-CN"/>
        </w:rPr>
        <w:t>或</w:t>
      </w:r>
      <w:r>
        <w:rPr>
          <w:rFonts w:hint="eastAsia" w:ascii="宋体" w:hAnsi="宋体" w:eastAsia="宋体" w:cs="宋体"/>
          <w:sz w:val="28"/>
          <w:szCs w:val="28"/>
        </w:rPr>
        <w:t>MicroSD记忆卡</w:t>
      </w:r>
      <w:r>
        <w:rPr>
          <w:rFonts w:hint="eastAsia" w:ascii="宋体" w:hAnsi="宋体" w:eastAsia="宋体" w:cs="宋体"/>
          <w:sz w:val="28"/>
          <w:szCs w:val="28"/>
          <w:lang w:eastAsia="zh-CN"/>
        </w:rPr>
        <w:t>存储功能</w:t>
      </w:r>
      <w:r>
        <w:rPr>
          <w:rFonts w:hint="eastAsia" w:ascii="宋体" w:hAnsi="宋体" w:eastAsia="宋体" w:cs="宋体"/>
          <w:sz w:val="28"/>
          <w:szCs w:val="28"/>
        </w:rPr>
        <w:t>。</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）应提供专用的便于手持的</w:t>
      </w:r>
      <w:r>
        <w:rPr>
          <w:rFonts w:hint="eastAsia" w:ascii="宋体" w:hAnsi="宋体" w:eastAsia="宋体" w:cs="宋体"/>
          <w:sz w:val="28"/>
          <w:szCs w:val="28"/>
        </w:rPr>
        <w:t>携带盒。</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（6）可</w:t>
      </w:r>
      <w:r>
        <w:rPr>
          <w:rFonts w:hint="eastAsia" w:ascii="宋体" w:hAnsi="宋体" w:eastAsia="宋体" w:cs="宋体"/>
          <w:sz w:val="28"/>
          <w:szCs w:val="28"/>
        </w:rPr>
        <w:t>采用内部充电电池</w:t>
      </w:r>
      <w:r>
        <w:rPr>
          <w:rFonts w:hint="eastAsia" w:ascii="宋体" w:hAnsi="宋体" w:eastAsia="宋体" w:cs="宋体"/>
          <w:sz w:val="28"/>
          <w:szCs w:val="28"/>
          <w:lang w:val="en-US" w:eastAsia="zh-CN"/>
        </w:rPr>
        <w:t>及外接电源</w:t>
      </w:r>
      <w:r>
        <w:rPr>
          <w:rFonts w:hint="eastAsia" w:ascii="宋体" w:hAnsi="宋体" w:eastAsia="宋体" w:cs="宋体"/>
          <w:sz w:val="28"/>
          <w:szCs w:val="28"/>
        </w:rPr>
        <w:t>供电，</w:t>
      </w:r>
      <w:r>
        <w:rPr>
          <w:rFonts w:hint="eastAsia" w:ascii="宋体" w:hAnsi="宋体" w:eastAsia="宋体" w:cs="宋体"/>
          <w:sz w:val="28"/>
          <w:szCs w:val="28"/>
          <w:lang w:val="en-US" w:eastAsia="zh-CN"/>
        </w:rPr>
        <w:t>其中</w:t>
      </w:r>
      <w:r>
        <w:rPr>
          <w:rFonts w:hint="eastAsia" w:ascii="宋体" w:hAnsi="宋体" w:eastAsia="宋体" w:cs="宋体"/>
          <w:sz w:val="28"/>
          <w:szCs w:val="28"/>
        </w:rPr>
        <w:t>电池容量</w:t>
      </w:r>
      <w:r>
        <w:rPr>
          <w:rFonts w:hint="eastAsia" w:ascii="宋体" w:hAnsi="宋体" w:eastAsia="宋体" w:cs="宋体"/>
          <w:sz w:val="28"/>
          <w:szCs w:val="28"/>
          <w:lang w:val="en-US" w:eastAsia="zh-CN"/>
        </w:rPr>
        <w:t>不小于</w:t>
      </w:r>
      <w:r>
        <w:rPr>
          <w:rFonts w:hint="eastAsia" w:ascii="宋体" w:hAnsi="宋体" w:eastAsia="宋体" w:cs="宋体"/>
          <w:sz w:val="28"/>
          <w:szCs w:val="28"/>
        </w:rPr>
        <w:t>10Ah。</w:t>
      </w:r>
    </w:p>
    <w:p>
      <w:pPr>
        <w:tabs>
          <w:tab w:val="left" w:pos="1125"/>
          <w:tab w:val="left" w:pos="396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7</w:t>
      </w:r>
      <w:r>
        <w:rPr>
          <w:rFonts w:hint="eastAsia" w:ascii="宋体" w:hAnsi="宋体" w:eastAsia="宋体" w:cs="宋体"/>
          <w:sz w:val="28"/>
          <w:szCs w:val="28"/>
          <w:lang w:eastAsia="zh-CN"/>
        </w:rPr>
        <w:t>）</w:t>
      </w:r>
      <w:r>
        <w:rPr>
          <w:rFonts w:hint="eastAsia" w:ascii="宋体" w:hAnsi="宋体" w:eastAsia="宋体" w:cs="宋体"/>
          <w:sz w:val="28"/>
          <w:szCs w:val="28"/>
        </w:rPr>
        <w:t>充电电池持续工作时间：在电量完全充满的情况下，连续工作时间</w:t>
      </w:r>
      <w:r>
        <w:rPr>
          <w:rFonts w:hint="eastAsia" w:ascii="宋体" w:hAnsi="宋体" w:eastAsia="宋体" w:cs="宋体"/>
          <w:sz w:val="28"/>
          <w:szCs w:val="28"/>
          <w:lang w:val="en-US" w:eastAsia="zh-CN"/>
        </w:rPr>
        <w:t>大于3</w:t>
      </w:r>
      <w:r>
        <w:rPr>
          <w:rFonts w:hint="eastAsia" w:ascii="宋体" w:hAnsi="宋体" w:eastAsia="宋体" w:cs="宋体"/>
          <w:sz w:val="28"/>
          <w:szCs w:val="28"/>
        </w:rPr>
        <w:t>小</w:t>
      </w:r>
      <w:r>
        <w:rPr>
          <w:rFonts w:hint="eastAsia" w:ascii="宋体" w:hAnsi="宋体" w:eastAsia="宋体" w:cs="宋体"/>
          <w:sz w:val="28"/>
          <w:szCs w:val="28"/>
          <w:lang w:val="en-US" w:eastAsia="zh-CN"/>
        </w:rPr>
        <w:t>时</w:t>
      </w:r>
      <w:r>
        <w:rPr>
          <w:rFonts w:hint="eastAsia" w:ascii="宋体" w:hAnsi="宋体" w:eastAsia="宋体" w:cs="宋体"/>
          <w:sz w:val="28"/>
          <w:szCs w:val="28"/>
        </w:rPr>
        <w:t>。</w:t>
      </w:r>
    </w:p>
    <w:p>
      <w:pPr>
        <w:pStyle w:val="5"/>
        <w:tabs>
          <w:tab w:val="clear" w:pos="3276"/>
        </w:tabs>
        <w:spacing w:beforeLines="50" w:afterLines="50" w:line="360" w:lineRule="auto"/>
        <w:ind w:left="0" w:firstLine="0"/>
        <w:rPr>
          <w:rFonts w:hint="eastAsia" w:ascii="宋体" w:hAnsi="宋体" w:eastAsia="宋体" w:cs="宋体"/>
          <w:sz w:val="28"/>
          <w:szCs w:val="28"/>
        </w:rPr>
      </w:pPr>
      <w:bookmarkStart w:id="8" w:name="_Toc18494"/>
      <w:r>
        <w:rPr>
          <w:rFonts w:hint="eastAsia" w:ascii="宋体" w:hAnsi="宋体" w:eastAsia="宋体" w:cs="宋体"/>
          <w:sz w:val="28"/>
          <w:szCs w:val="28"/>
        </w:rPr>
        <w:t>4.2 技术指标要求</w:t>
      </w:r>
      <w:bookmarkEnd w:id="5"/>
      <w:bookmarkEnd w:id="6"/>
      <w:bookmarkEnd w:id="7"/>
      <w:bookmarkEnd w:id="8"/>
    </w:p>
    <w:tbl>
      <w:tblPr>
        <w:tblStyle w:val="12"/>
        <w:tblW w:w="8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1"/>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spacing w:line="240" w:lineRule="auto"/>
              <w:jc w:val="center"/>
              <w:rPr>
                <w:rFonts w:hint="eastAsia" w:ascii="宋体" w:hAnsi="宋体" w:eastAsia="宋体" w:cs="宋体"/>
                <w:b/>
                <w:sz w:val="28"/>
                <w:szCs w:val="28"/>
              </w:rPr>
            </w:pPr>
            <w:r>
              <w:rPr>
                <w:rFonts w:hint="eastAsia" w:ascii="宋体" w:hAnsi="宋体" w:eastAsia="宋体" w:cs="宋体"/>
                <w:b/>
                <w:sz w:val="28"/>
                <w:szCs w:val="28"/>
                <w:lang w:eastAsia="zh-CN"/>
              </w:rPr>
              <w:t>名称</w:t>
            </w:r>
          </w:p>
        </w:tc>
        <w:tc>
          <w:tcPr>
            <w:tcW w:w="6842" w:type="dxa"/>
            <w:vAlign w:val="center"/>
          </w:tcPr>
          <w:p>
            <w:pPr>
              <w:spacing w:line="240" w:lineRule="auto"/>
              <w:jc w:val="center"/>
              <w:rPr>
                <w:rFonts w:hint="eastAsia" w:ascii="宋体" w:hAnsi="宋体" w:eastAsia="宋体" w:cs="宋体"/>
                <w:b/>
                <w:kern w:val="0"/>
                <w:sz w:val="28"/>
                <w:szCs w:val="28"/>
              </w:rPr>
            </w:pPr>
            <w:r>
              <w:rPr>
                <w:rFonts w:hint="eastAsia" w:ascii="宋体" w:hAnsi="宋体" w:eastAsia="宋体" w:cs="宋体"/>
                <w:b/>
                <w:sz w:val="28"/>
                <w:szCs w:val="28"/>
                <w:lang w:eastAsia="zh-CN"/>
              </w:rPr>
              <w:t>标准参数值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粒子通道</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0.3/0.5/1.0/2.5/5.0/10um六通道粒径同时计数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采样流量</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2.83L/min（0.1立方英尺）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重复误差</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0.5%，2000000粒/立方英尺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数据存储</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大于</w:t>
            </w:r>
            <w:r>
              <w:rPr>
                <w:rFonts w:hint="eastAsia" w:ascii="宋体" w:hAnsi="宋体" w:eastAsia="宋体" w:cs="宋体"/>
                <w:sz w:val="28"/>
                <w:szCs w:val="28"/>
                <w:lang w:val="en-US" w:eastAsia="zh-CN"/>
              </w:rPr>
              <w:t>100组采样数据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采样时间和次数</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可设置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计数模式</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累计值</w:t>
            </w:r>
            <w:r>
              <w:rPr>
                <w:rFonts w:hint="eastAsia" w:ascii="宋体" w:hAnsi="宋体" w:eastAsia="宋体" w:cs="宋体"/>
                <w:sz w:val="28"/>
                <w:szCs w:val="28"/>
                <w:lang w:val="en-US" w:eastAsia="zh-CN"/>
              </w:rPr>
              <w:t>/差分值/浓度值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自动延时</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可设置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空气温度测试范围及精度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0-50℃；±0.5℃（10-40℃）；±1℃（其他）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露点温度测试范围及精度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0-50℃；±0.5℃（10-40℃）；±1℃（其他）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相对湿度测试范围范围及精度</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0-100%Rh；±3%Rh（40%-60%）；&lt;5%Rh（其他）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时间设置功能</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可设置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语言设置功能</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可设置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显示屏幕</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不小于2.5寸；不小于320*240彩色LED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电池工作时间</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连续工作不小于3h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1"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eastAsia="zh-CN"/>
              </w:rPr>
              <w:t>尺寸</w:t>
            </w:r>
          </w:p>
        </w:tc>
        <w:tc>
          <w:tcPr>
            <w:tcW w:w="6842" w:type="dxa"/>
            <w:vAlign w:val="center"/>
          </w:tcPr>
          <w:p>
            <w:pPr>
              <w:tabs>
                <w:tab w:val="left" w:pos="1125"/>
                <w:tab w:val="left" w:pos="3960"/>
              </w:tabs>
              <w:spacing w:line="240" w:lineRule="auto"/>
              <w:jc w:val="center"/>
              <w:rPr>
                <w:rFonts w:hint="eastAsia" w:ascii="宋体" w:hAnsi="宋体" w:eastAsia="宋体" w:cs="宋体"/>
                <w:sz w:val="28"/>
                <w:szCs w:val="28"/>
              </w:rPr>
            </w:pPr>
            <w:r>
              <w:rPr>
                <w:rFonts w:hint="eastAsia" w:ascii="宋体" w:hAnsi="宋体" w:eastAsia="宋体" w:cs="宋体"/>
                <w:sz w:val="28"/>
                <w:szCs w:val="28"/>
                <w:lang w:val="en-US" w:eastAsia="zh-CN"/>
              </w:rPr>
              <w:t>不大于300mm*100mm*100mm</w:t>
            </w:r>
          </w:p>
        </w:tc>
      </w:tr>
    </w:tbl>
    <w:p>
      <w:pPr>
        <w:numPr>
          <w:ilvl w:val="0"/>
          <w:numId w:val="0"/>
        </w:numPr>
        <w:spacing w:line="360" w:lineRule="auto"/>
        <w:outlineLvl w:val="0"/>
        <w:rPr>
          <w:rFonts w:hint="eastAsia" w:ascii="宋体" w:hAnsi="宋体" w:eastAsia="宋体" w:cs="宋体"/>
          <w:b/>
          <w:sz w:val="30"/>
          <w:szCs w:val="30"/>
          <w:lang w:val="en-US" w:eastAsia="zh-CN"/>
        </w:rPr>
      </w:pPr>
      <w:bookmarkStart w:id="9" w:name="_Toc13353"/>
      <w:r>
        <w:rPr>
          <w:rFonts w:hint="eastAsia" w:ascii="宋体" w:hAnsi="宋体" w:eastAsia="宋体" w:cs="宋体"/>
          <w:b/>
          <w:sz w:val="30"/>
          <w:szCs w:val="30"/>
          <w:lang w:val="en-US" w:eastAsia="zh-CN"/>
        </w:rPr>
        <w:t>5 设备的供货范围要求</w:t>
      </w:r>
      <w:bookmarkEnd w:id="9"/>
    </w:p>
    <w:p>
      <w:pPr>
        <w:tabs>
          <w:tab w:val="left" w:pos="900"/>
        </w:tabs>
        <w:spacing w:line="360" w:lineRule="auto"/>
        <w:ind w:firstLine="560" w:firstLineChars="200"/>
        <w:rPr>
          <w:rFonts w:hint="eastAsia" w:ascii="宋体" w:hAnsi="宋体" w:eastAsia="宋体" w:cs="宋体"/>
          <w:snapToGrid w:val="0"/>
          <w:sz w:val="28"/>
          <w:szCs w:val="28"/>
          <w:lang w:val="en-US" w:eastAsia="zh-CN"/>
        </w:rPr>
      </w:pPr>
      <w:r>
        <w:rPr>
          <w:rFonts w:hint="eastAsia" w:ascii="宋体" w:hAnsi="宋体" w:eastAsia="宋体" w:cs="宋体"/>
          <w:snapToGrid w:val="0"/>
          <w:sz w:val="28"/>
          <w:szCs w:val="28"/>
        </w:rPr>
        <w:t>单套供货清单</w:t>
      </w:r>
      <w:r>
        <w:rPr>
          <w:rFonts w:hint="eastAsia" w:ascii="宋体" w:hAnsi="宋体" w:eastAsia="宋体" w:cs="宋体"/>
          <w:snapToGrid w:val="0"/>
          <w:sz w:val="28"/>
          <w:szCs w:val="28"/>
          <w:lang w:val="en-US" w:eastAsia="zh-CN"/>
        </w:rPr>
        <w:t>如下：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3595"/>
        <w:gridCol w:w="185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序号</w:t>
            </w:r>
          </w:p>
        </w:tc>
        <w:tc>
          <w:tcPr>
            <w:tcW w:w="3595"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供货设备</w:t>
            </w:r>
          </w:p>
        </w:tc>
        <w:tc>
          <w:tcPr>
            <w:tcW w:w="1853"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型号</w:t>
            </w:r>
          </w:p>
        </w:tc>
        <w:tc>
          <w:tcPr>
            <w:tcW w:w="2214" w:type="dxa"/>
            <w:vAlign w:val="center"/>
          </w:tcPr>
          <w:p>
            <w:pPr>
              <w:pStyle w:val="19"/>
              <w:widowControl w:val="0"/>
              <w:suppressAutoHyphens/>
              <w:spacing w:line="240" w:lineRule="auto"/>
              <w:rPr>
                <w:rFonts w:hint="eastAsia" w:ascii="宋体" w:hAnsi="宋体" w:eastAsia="宋体" w:cs="宋体"/>
                <w:b/>
                <w:bCs/>
                <w:sz w:val="28"/>
                <w:szCs w:val="28"/>
              </w:rPr>
            </w:pPr>
            <w:r>
              <w:rPr>
                <w:rFonts w:hint="eastAsia" w:ascii="宋体" w:hAnsi="宋体" w:eastAsia="宋体" w:cs="宋体"/>
                <w:b/>
                <w:bCs/>
                <w:sz w:val="28"/>
                <w:szCs w:val="2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rPr>
            </w:pPr>
            <w:r>
              <w:rPr>
                <w:rFonts w:hint="eastAsia" w:ascii="宋体" w:hAnsi="宋体" w:eastAsia="宋体" w:cs="宋体"/>
                <w:sz w:val="28"/>
                <w:szCs w:val="28"/>
              </w:rPr>
              <w:t>1</w:t>
            </w:r>
          </w:p>
        </w:tc>
        <w:tc>
          <w:tcPr>
            <w:tcW w:w="3595"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rPr>
              <w:t>粉尘颗粒物空气质量检测仪</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spacing w:line="240" w:lineRule="auto"/>
              <w:jc w:val="center"/>
              <w:rPr>
                <w:rFonts w:hint="eastAsia" w:ascii="宋体" w:hAnsi="宋体" w:eastAsia="宋体" w:cs="宋体"/>
                <w:sz w:val="28"/>
                <w:szCs w:val="28"/>
                <w:lang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p>
        </w:tc>
        <w:tc>
          <w:tcPr>
            <w:tcW w:w="3595" w:type="dxa"/>
            <w:vAlign w:val="center"/>
          </w:tcPr>
          <w:p>
            <w:pPr>
              <w:spacing w:line="240" w:lineRule="auto"/>
              <w:jc w:val="center"/>
              <w:rPr>
                <w:rFonts w:hint="eastAsia" w:ascii="宋体" w:hAnsi="宋体" w:eastAsia="宋体" w:cs="宋体"/>
                <w:sz w:val="28"/>
                <w:szCs w:val="28"/>
                <w:lang w:eastAsia="zh-CN"/>
              </w:rPr>
            </w:pPr>
            <w:r>
              <w:rPr>
                <w:rFonts w:hint="eastAsia" w:ascii="宋体" w:hAnsi="宋体" w:eastAsia="宋体" w:cs="宋体"/>
                <w:color w:val="auto"/>
                <w:sz w:val="28"/>
                <w:szCs w:val="28"/>
                <w:lang w:eastAsia="zh-CN"/>
              </w:rPr>
              <w:t>充电器及电池</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spacing w:line="240" w:lineRule="auto"/>
              <w:jc w:val="center"/>
              <w:rPr>
                <w:rFonts w:hint="eastAsia" w:ascii="宋体" w:hAnsi="宋体" w:eastAsia="宋体" w:cs="宋体"/>
                <w:sz w:val="28"/>
                <w:szCs w:val="28"/>
                <w:lang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595" w:type="dxa"/>
            <w:vAlign w:val="center"/>
          </w:tcPr>
          <w:p>
            <w:pPr>
              <w:spacing w:line="240" w:lineRule="auto"/>
              <w:jc w:val="center"/>
              <w:rPr>
                <w:rFonts w:hint="eastAsia" w:ascii="宋体" w:hAnsi="宋体" w:eastAsia="宋体" w:cs="宋体"/>
                <w:sz w:val="28"/>
                <w:szCs w:val="28"/>
                <w:lang w:eastAsia="zh-CN"/>
              </w:rPr>
            </w:pPr>
            <w:r>
              <w:rPr>
                <w:rFonts w:hint="eastAsia" w:ascii="宋体" w:hAnsi="宋体" w:eastAsia="宋体" w:cs="宋体"/>
                <w:color w:val="auto"/>
                <w:sz w:val="28"/>
                <w:szCs w:val="28"/>
                <w:lang w:eastAsia="zh-CN"/>
              </w:rPr>
              <w:t>数据线</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spacing w:line="240" w:lineRule="auto"/>
              <w:jc w:val="center"/>
              <w:rPr>
                <w:rFonts w:hint="eastAsia" w:ascii="宋体" w:hAnsi="宋体" w:eastAsia="宋体" w:cs="宋体"/>
                <w:sz w:val="28"/>
                <w:szCs w:val="28"/>
                <w:lang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595" w:type="dxa"/>
            <w:vAlign w:val="center"/>
          </w:tcPr>
          <w:p>
            <w:pPr>
              <w:spacing w:line="240" w:lineRule="auto"/>
              <w:jc w:val="center"/>
              <w:rPr>
                <w:rFonts w:hint="eastAsia" w:ascii="宋体" w:hAnsi="宋体" w:eastAsia="宋体" w:cs="宋体"/>
                <w:sz w:val="28"/>
                <w:szCs w:val="28"/>
                <w:lang w:eastAsia="zh-CN"/>
              </w:rPr>
            </w:pPr>
            <w:r>
              <w:rPr>
                <w:rFonts w:hint="eastAsia" w:ascii="宋体" w:hAnsi="宋体" w:eastAsia="宋体" w:cs="宋体"/>
                <w:color w:val="auto"/>
                <w:sz w:val="28"/>
                <w:szCs w:val="28"/>
                <w:lang w:eastAsia="zh-CN"/>
              </w:rPr>
              <w:t>定位三脚架</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spacing w:line="240" w:lineRule="auto"/>
              <w:jc w:val="center"/>
              <w:rPr>
                <w:rFonts w:hint="eastAsia" w:ascii="宋体" w:hAnsi="宋体" w:eastAsia="宋体" w:cs="宋体"/>
                <w:sz w:val="28"/>
                <w:szCs w:val="28"/>
                <w:lang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595"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lang w:eastAsia="zh-CN"/>
              </w:rPr>
              <w:t>工具箱</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spacing w:line="240" w:lineRule="auto"/>
              <w:jc w:val="center"/>
              <w:rPr>
                <w:rFonts w:hint="eastAsia" w:ascii="宋体" w:hAnsi="宋体" w:eastAsia="宋体" w:cs="宋体"/>
                <w:sz w:val="28"/>
                <w:szCs w:val="28"/>
                <w:lang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lang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595"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rPr>
              <w:t>产品</w:t>
            </w:r>
            <w:r>
              <w:rPr>
                <w:rFonts w:hint="eastAsia" w:ascii="宋体" w:hAnsi="宋体" w:eastAsia="宋体" w:cs="宋体"/>
                <w:color w:val="auto"/>
                <w:sz w:val="28"/>
                <w:szCs w:val="28"/>
                <w:lang w:eastAsia="zh-CN"/>
              </w:rPr>
              <w:t>合格证</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spacing w:line="240" w:lineRule="auto"/>
              <w:jc w:val="center"/>
              <w:rPr>
                <w:rFonts w:hint="eastAsia" w:ascii="宋体" w:hAnsi="宋体" w:eastAsia="宋体" w:cs="宋体"/>
                <w:sz w:val="28"/>
                <w:szCs w:val="28"/>
                <w:lang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pPr>
              <w:pStyle w:val="19"/>
              <w:widowControl w:val="0"/>
              <w:suppressAutoHyphens/>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w:t>
            </w:r>
          </w:p>
        </w:tc>
        <w:tc>
          <w:tcPr>
            <w:tcW w:w="3595" w:type="dxa"/>
            <w:vAlign w:val="center"/>
          </w:tcPr>
          <w:p>
            <w:pPr>
              <w:spacing w:line="240" w:lineRule="auto"/>
              <w:jc w:val="center"/>
              <w:rPr>
                <w:rFonts w:hint="eastAsia" w:ascii="宋体" w:hAnsi="宋体" w:eastAsia="宋体" w:cs="宋体"/>
                <w:sz w:val="28"/>
                <w:szCs w:val="28"/>
                <w:lang w:val="en-US" w:eastAsia="zh-CN"/>
              </w:rPr>
            </w:pPr>
            <w:r>
              <w:rPr>
                <w:rFonts w:hint="eastAsia" w:ascii="宋体" w:hAnsi="宋体" w:eastAsia="宋体" w:cs="宋体"/>
                <w:color w:val="auto"/>
                <w:sz w:val="28"/>
                <w:szCs w:val="28"/>
                <w:lang w:eastAsia="zh-CN"/>
              </w:rPr>
              <w:t>使用说明书</w:t>
            </w:r>
          </w:p>
        </w:tc>
        <w:tc>
          <w:tcPr>
            <w:tcW w:w="1853" w:type="dxa"/>
            <w:vAlign w:val="center"/>
          </w:tcPr>
          <w:p>
            <w:pPr>
              <w:pStyle w:val="19"/>
              <w:widowControl w:val="0"/>
              <w:suppressAutoHyphens/>
              <w:spacing w:line="24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w:t>
            </w:r>
          </w:p>
        </w:tc>
        <w:tc>
          <w:tcPr>
            <w:tcW w:w="2214" w:type="dxa"/>
            <w:vAlign w:val="center"/>
          </w:tcPr>
          <w:p>
            <w:pPr>
              <w:spacing w:line="240" w:lineRule="auto"/>
              <w:jc w:val="center"/>
              <w:rPr>
                <w:rFonts w:hint="eastAsia" w:ascii="宋体" w:hAnsi="宋体" w:eastAsia="宋体" w:cs="宋体"/>
                <w:sz w:val="28"/>
                <w:szCs w:val="28"/>
                <w:lang w:eastAsia="zh-CN"/>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本</w:t>
            </w:r>
          </w:p>
        </w:tc>
      </w:tr>
    </w:tbl>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以上为供货验收清单，若不满足做退货并取消合同处理。</w:t>
      </w:r>
    </w:p>
    <w:p>
      <w:pPr>
        <w:pageBreakBefore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宋体" w:cs="Times New Roman"/>
          <w:b/>
          <w:kern w:val="2"/>
          <w:sz w:val="30"/>
          <w:szCs w:val="30"/>
          <w:lang w:val="en-US" w:eastAsia="zh-CN" w:bidi="ar-SA"/>
        </w:rPr>
      </w:pPr>
      <w:bookmarkStart w:id="10" w:name="_Toc6348"/>
      <w:bookmarkStart w:id="11" w:name="_Toc12038"/>
      <w:bookmarkStart w:id="12" w:name="_Toc10357"/>
      <w:bookmarkStart w:id="13" w:name="_Toc22926"/>
      <w:bookmarkStart w:id="14" w:name="_Toc28845"/>
      <w:bookmarkStart w:id="15" w:name="_Toc19477"/>
      <w:r>
        <w:rPr>
          <w:rFonts w:hint="default" w:ascii="Times New Roman" w:hAnsi="Times New Roman" w:eastAsia="宋体" w:cs="Times New Roman"/>
          <w:b/>
          <w:kern w:val="2"/>
          <w:sz w:val="30"/>
          <w:szCs w:val="30"/>
          <w:lang w:val="en-US" w:eastAsia="zh-CN" w:bidi="ar-SA"/>
        </w:rPr>
        <w:t>6 包装、运输和贮存</w:t>
      </w:r>
      <w:bookmarkEnd w:id="10"/>
      <w:bookmarkEnd w:id="11"/>
      <w:bookmarkEnd w:id="12"/>
      <w:bookmarkEnd w:id="13"/>
      <w:bookmarkEnd w:id="14"/>
      <w:bookmarkEnd w:id="15"/>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设备制造完成并通过试验后应及时包装</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应得到切实的保护</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确保其不受污损。</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lang w:eastAsia="zh-CN"/>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所有部件经妥善包装或装箱后</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在运输过程中应采取其它防护措施</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以免散失损坏或被盗</w:t>
      </w:r>
      <w:r>
        <w:rPr>
          <w:rFonts w:hint="default" w:ascii="Times New Roman" w:hAnsi="Times New Roman" w:eastAsia="宋体" w:cs="Times New Roman"/>
          <w:sz w:val="28"/>
          <w:szCs w:val="28"/>
          <w:lang w:eastAsia="zh-CN"/>
        </w:rPr>
        <w:t>。</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在包装箱外应标明需方的订货号、发货号。</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各种包装应能确保各零部件在运输过程中不致遭到损坏、丢失、变形、受潮和腐蚀。</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包装箱上应有明显的包装储运图示标志(按GB191)。</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整体产品或分别运输的部件都要适合运输和装载的要求。</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随产品提供的技术资料应完整无缺</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rPr>
        <w:t>提供份额符合GB11032的要求。</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16" w:name="_Toc16264"/>
      <w:bookmarkStart w:id="17" w:name="_Toc11534"/>
      <w:bookmarkStart w:id="18" w:name="_Toc19111"/>
      <w:bookmarkStart w:id="19" w:name="_Toc31053"/>
      <w:bookmarkStart w:id="20" w:name="_Toc23336"/>
      <w:bookmarkStart w:id="21" w:name="_Toc18597"/>
      <w:bookmarkStart w:id="22" w:name="_Toc23229"/>
      <w:r>
        <w:rPr>
          <w:rFonts w:hint="default" w:ascii="Times New Roman" w:hAnsi="Times New Roman" w:eastAsia="宋体" w:cs="Times New Roman"/>
          <w:b/>
          <w:bCs w:val="0"/>
          <w:kern w:val="2"/>
          <w:sz w:val="30"/>
          <w:szCs w:val="30"/>
          <w:lang w:val="en-US" w:eastAsia="zh-CN" w:bidi="ar-SA"/>
        </w:rPr>
        <w:t>7 售后服务和技术培训</w:t>
      </w:r>
      <w:bookmarkStart w:id="23" w:name="_Toc390088690"/>
      <w:r>
        <w:rPr>
          <w:rFonts w:hint="default" w:ascii="Times New Roman" w:hAnsi="Times New Roman" w:eastAsia="宋体" w:cs="Times New Roman"/>
          <w:b/>
          <w:bCs w:val="0"/>
          <w:kern w:val="2"/>
          <w:sz w:val="30"/>
          <w:szCs w:val="30"/>
          <w:lang w:val="en-US" w:eastAsia="zh-CN" w:bidi="ar-SA"/>
        </w:rPr>
        <w:t>要求</w:t>
      </w:r>
      <w:bookmarkEnd w:id="16"/>
      <w:bookmarkEnd w:id="17"/>
      <w:bookmarkEnd w:id="18"/>
      <w:bookmarkEnd w:id="19"/>
      <w:bookmarkEnd w:id="20"/>
      <w:bookmarkEnd w:id="21"/>
      <w:bookmarkEnd w:id="2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24" w:name="_Toc18060"/>
      <w:bookmarkStart w:id="25" w:name="_Toc31014"/>
      <w:bookmarkStart w:id="26" w:name="_Toc29029"/>
      <w:bookmarkStart w:id="27" w:name="_Toc16249"/>
      <w:bookmarkStart w:id="28" w:name="_Toc3099"/>
      <w:bookmarkStart w:id="29" w:name="_Toc18435"/>
      <w:bookmarkStart w:id="30" w:name="_Toc12078"/>
      <w:r>
        <w:rPr>
          <w:rFonts w:hint="default" w:ascii="Times New Roman" w:hAnsi="Times New Roman" w:eastAsia="宋体" w:cs="Times New Roman"/>
          <w:b/>
          <w:bCs/>
          <w:sz w:val="28"/>
          <w:szCs w:val="28"/>
          <w:lang w:val="en-US" w:eastAsia="zh-CN"/>
        </w:rPr>
        <w:t>7.1 售后服务</w:t>
      </w:r>
      <w:bookmarkEnd w:id="23"/>
      <w:bookmarkEnd w:id="24"/>
      <w:bookmarkEnd w:id="25"/>
      <w:bookmarkEnd w:id="26"/>
      <w:bookmarkEnd w:id="27"/>
      <w:bookmarkEnd w:id="28"/>
      <w:bookmarkEnd w:id="29"/>
      <w:bookmarkEnd w:id="30"/>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w:t>
      </w:r>
      <w:bookmarkStart w:id="31" w:name="OLE_LINK17"/>
      <w:r>
        <w:rPr>
          <w:rFonts w:hint="default" w:ascii="Times New Roman" w:hAnsi="Times New Roman" w:cs="Times New Roman"/>
          <w:sz w:val="28"/>
          <w:szCs w:val="28"/>
        </w:rPr>
        <w:t>投标方应保证系统投运之日起提供</w:t>
      </w:r>
      <w:bookmarkEnd w:id="31"/>
      <w:r>
        <w:rPr>
          <w:rFonts w:hint="default" w:ascii="Times New Roman" w:hAnsi="Times New Roman" w:cs="Times New Roman"/>
          <w:sz w:val="28"/>
          <w:szCs w:val="28"/>
        </w:rPr>
        <w:t>终身免费软件服务：免费技术支持、免费给予版本升级（不限次数）；</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（2）投标方应保证系统投运之日起提供：</w:t>
      </w:r>
      <w:r>
        <w:rPr>
          <w:rFonts w:hint="eastAsia" w:cs="Times New Roman"/>
          <w:sz w:val="28"/>
          <w:szCs w:val="28"/>
          <w:lang w:val="en-US" w:eastAsia="zh-CN"/>
        </w:rPr>
        <w:t>三</w:t>
      </w:r>
      <w:r>
        <w:rPr>
          <w:rFonts w:hint="default" w:ascii="Times New Roman" w:hAnsi="Times New Roman" w:cs="Times New Roman"/>
          <w:sz w:val="28"/>
          <w:szCs w:val="28"/>
        </w:rPr>
        <w:t>年保修（含人工费用），终身维护；</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w:t>
      </w:r>
      <w:bookmarkStart w:id="32" w:name="_Toc390088691"/>
      <w:r>
        <w:rPr>
          <w:rFonts w:hint="default" w:ascii="Times New Roman" w:hAnsi="Times New Roman" w:cs="Times New Roman"/>
          <w:sz w:val="28"/>
          <w:szCs w:val="28"/>
        </w:rPr>
        <w:t>投标方对软件提供7×24小时技术支持服务；</w:t>
      </w:r>
    </w:p>
    <w:p>
      <w:pPr>
        <w:spacing w:line="360" w:lineRule="auto"/>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（4）系统运行过程中，如出现软件故障，投标方须在接到用户报告提出维护要求4小时内作出响应，24小时内提交故障分析报告和解决方案。</w:t>
      </w:r>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sz w:val="28"/>
          <w:szCs w:val="28"/>
          <w:lang w:val="en-US" w:eastAsia="zh-CN"/>
        </w:rPr>
      </w:pPr>
      <w:bookmarkStart w:id="33" w:name="_Toc12501"/>
      <w:bookmarkStart w:id="34" w:name="_Toc430"/>
      <w:bookmarkStart w:id="35" w:name="_Toc4614"/>
      <w:bookmarkStart w:id="36" w:name="_Toc5683"/>
      <w:bookmarkStart w:id="37" w:name="_Toc17905"/>
      <w:bookmarkStart w:id="38" w:name="_Toc6783"/>
      <w:bookmarkStart w:id="39" w:name="_Toc26000"/>
      <w:bookmarkStart w:id="40" w:name="OLE_LINK22"/>
      <w:r>
        <w:rPr>
          <w:rFonts w:hint="default" w:ascii="Times New Roman" w:hAnsi="Times New Roman" w:eastAsia="宋体" w:cs="Times New Roman"/>
          <w:b/>
          <w:bCs/>
          <w:sz w:val="28"/>
          <w:szCs w:val="28"/>
          <w:lang w:val="en-US" w:eastAsia="zh-CN"/>
        </w:rPr>
        <w:t>7.2 技术培训</w:t>
      </w:r>
      <w:bookmarkEnd w:id="32"/>
      <w:bookmarkEnd w:id="33"/>
      <w:bookmarkEnd w:id="34"/>
      <w:bookmarkEnd w:id="35"/>
      <w:bookmarkEnd w:id="36"/>
      <w:bookmarkEnd w:id="37"/>
      <w:bookmarkEnd w:id="38"/>
      <w:bookmarkEnd w:id="39"/>
    </w:p>
    <w:bookmarkEnd w:id="40"/>
    <w:p>
      <w:pPr>
        <w:pStyle w:val="26"/>
        <w:spacing w:line="360" w:lineRule="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.2.1</w:t>
      </w:r>
      <w:r>
        <w:rPr>
          <w:rFonts w:hint="default" w:ascii="Times New Roman" w:hAnsi="Times New Roman" w:eastAsia="宋体" w:cs="Times New Roman"/>
          <w:b/>
          <w:bCs/>
          <w:sz w:val="28"/>
          <w:szCs w:val="28"/>
          <w:lang w:val="en-US" w:eastAsia="zh-CN"/>
        </w:rPr>
        <w:t xml:space="preserve"> </w:t>
      </w:r>
      <w:r>
        <w:rPr>
          <w:rFonts w:hint="default" w:ascii="Times New Roman" w:hAnsi="Times New Roman" w:eastAsia="宋体" w:cs="Times New Roman"/>
          <w:b/>
          <w:bCs/>
          <w:sz w:val="28"/>
          <w:szCs w:val="28"/>
        </w:rPr>
        <w:t>培训要求</w:t>
      </w:r>
    </w:p>
    <w:p>
      <w:pPr>
        <w:pStyle w:val="26"/>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（1）投标方须免费提供现场的集中培训，时间</w:t>
      </w:r>
      <w:bookmarkStart w:id="41" w:name="OLE_LINK16"/>
      <w:r>
        <w:rPr>
          <w:rFonts w:hint="default" w:ascii="Times New Roman" w:hAnsi="Times New Roman" w:eastAsia="宋体" w:cs="Times New Roman"/>
          <w:sz w:val="28"/>
          <w:szCs w:val="28"/>
        </w:rPr>
        <w:t>不少于</w:t>
      </w:r>
      <w:bookmarkEnd w:id="41"/>
      <w:r>
        <w:rPr>
          <w:rFonts w:hint="default" w:ascii="Times New Roman" w:hAnsi="Times New Roman" w:eastAsia="宋体" w:cs="Times New Roman"/>
          <w:sz w:val="28"/>
          <w:szCs w:val="28"/>
        </w:rPr>
        <w:t>3天。其中，理论培训1天；实操不少于2天。</w:t>
      </w:r>
    </w:p>
    <w:p>
      <w:pPr>
        <w:pStyle w:val="26"/>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（2）招标方的技术人员在理论和操作方面得到培训，熟悉和掌握仪器的使用和检测结果的评定。</w:t>
      </w:r>
    </w:p>
    <w:p>
      <w:pPr>
        <w:pStyle w:val="26"/>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（3）投标方须向受训人员提供相关操作手册等技术资料。</w:t>
      </w:r>
    </w:p>
    <w:p>
      <w:pPr>
        <w:autoSpaceDE w:val="0"/>
        <w:autoSpaceDN w:val="0"/>
        <w:adjustRightInd w:val="0"/>
        <w:snapToGrid w:val="0"/>
        <w:spacing w:line="360" w:lineRule="auto"/>
        <w:rPr>
          <w:rFonts w:hint="default" w:ascii="Times New Roman" w:hAnsi="Times New Roman" w:cs="Times New Roman"/>
          <w:kern w:val="0"/>
          <w:sz w:val="28"/>
          <w:szCs w:val="28"/>
        </w:rPr>
      </w:pPr>
      <w:bookmarkStart w:id="42" w:name="_Toc341535610"/>
      <w:r>
        <w:rPr>
          <w:rFonts w:hint="default" w:ascii="Times New Roman" w:hAnsi="Times New Roman" w:cs="Times New Roman"/>
          <w:b/>
          <w:bCs/>
          <w:kern w:val="0"/>
          <w:sz w:val="28"/>
          <w:szCs w:val="28"/>
          <w:lang w:val="en-US" w:eastAsia="zh-CN"/>
        </w:rPr>
        <w:t>7</w:t>
      </w:r>
      <w:r>
        <w:rPr>
          <w:rFonts w:hint="default" w:ascii="Times New Roman" w:hAnsi="Times New Roman" w:cs="Times New Roman"/>
          <w:b/>
          <w:bCs/>
          <w:kern w:val="0"/>
          <w:sz w:val="28"/>
          <w:szCs w:val="28"/>
        </w:rPr>
        <w:t>.2.2</w:t>
      </w:r>
      <w:r>
        <w:rPr>
          <w:rFonts w:hint="default" w:ascii="Times New Roman" w:hAnsi="Times New Roman" w:cs="Times New Roman"/>
          <w:b/>
          <w:bCs/>
          <w:kern w:val="0"/>
          <w:sz w:val="28"/>
          <w:szCs w:val="28"/>
          <w:lang w:val="en-US" w:eastAsia="zh-CN"/>
        </w:rPr>
        <w:t xml:space="preserve"> </w:t>
      </w:r>
      <w:r>
        <w:rPr>
          <w:rFonts w:hint="default" w:ascii="Times New Roman" w:hAnsi="Times New Roman" w:cs="Times New Roman"/>
          <w:b/>
          <w:bCs/>
          <w:kern w:val="0"/>
          <w:sz w:val="28"/>
          <w:szCs w:val="28"/>
        </w:rPr>
        <w:t>培训内容</w:t>
      </w:r>
      <w:bookmarkEnd w:id="42"/>
    </w:p>
    <w:p>
      <w:pPr>
        <w:pStyle w:val="26"/>
        <w:spacing w:line="360" w:lineRule="auto"/>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（1）理论培训：技术原理</w:t>
      </w:r>
      <w:r>
        <w:rPr>
          <w:rFonts w:hint="default" w:ascii="Times New Roman" w:hAnsi="Times New Roman" w:eastAsia="宋体" w:cs="Times New Roman"/>
          <w:sz w:val="28"/>
          <w:szCs w:val="28"/>
          <w:lang w:eastAsia="zh-CN"/>
        </w:rPr>
        <w:t>、</w:t>
      </w:r>
      <w:r>
        <w:rPr>
          <w:rFonts w:hint="default" w:ascii="Times New Roman" w:hAnsi="Times New Roman" w:eastAsia="宋体" w:cs="Times New Roman"/>
          <w:sz w:val="28"/>
          <w:szCs w:val="28"/>
          <w:lang w:val="en-US" w:eastAsia="zh-CN"/>
        </w:rPr>
        <w:t>设备使用方法</w:t>
      </w:r>
      <w:r>
        <w:rPr>
          <w:rFonts w:hint="default" w:ascii="Times New Roman" w:hAnsi="Times New Roman" w:eastAsia="宋体" w:cs="Times New Roman"/>
          <w:sz w:val="28"/>
          <w:szCs w:val="28"/>
        </w:rPr>
        <w:t>等；</w:t>
      </w:r>
    </w:p>
    <w:p>
      <w:pPr>
        <w:pStyle w:val="26"/>
        <w:spacing w:line="360" w:lineRule="auto"/>
        <w:ind w:firstLine="560" w:firstLineChars="200"/>
        <w:rPr>
          <w:rFonts w:hint="default" w:ascii="Times New Roman" w:hAnsi="Times New Roman" w:eastAsia="宋体" w:cs="Times New Roman"/>
          <w:b/>
          <w:kern w:val="2"/>
          <w:sz w:val="30"/>
          <w:szCs w:val="30"/>
          <w:lang w:val="en-US" w:eastAsia="zh-CN" w:bidi="ar-SA"/>
        </w:rPr>
      </w:pP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en-US" w:eastAsia="zh-CN"/>
        </w:rPr>
        <w:t>实操</w:t>
      </w:r>
      <w:r>
        <w:rPr>
          <w:rFonts w:hint="default" w:ascii="Times New Roman" w:hAnsi="Times New Roman" w:eastAsia="宋体" w:cs="Times New Roman"/>
          <w:sz w:val="28"/>
          <w:szCs w:val="28"/>
        </w:rPr>
        <w:t>培训：根据需方的安排，开展一座变电站相关设备等一次检测。</w:t>
      </w:r>
    </w:p>
    <w:p>
      <w:pPr>
        <w:pStyle w:val="4"/>
        <w:keepNext/>
        <w:keepLines/>
        <w:pageBreakBefore w:val="0"/>
        <w:widowControl w:val="0"/>
        <w:tabs>
          <w:tab w:val="left" w:pos="2085"/>
        </w:tabs>
        <w:kinsoku/>
        <w:wordWrap/>
        <w:overflowPunct/>
        <w:topLinePunct w:val="0"/>
        <w:autoSpaceDE/>
        <w:autoSpaceDN/>
        <w:bidi w:val="0"/>
        <w:adjustRightInd/>
        <w:snapToGrid/>
        <w:spacing w:before="0" w:after="0" w:line="360" w:lineRule="auto"/>
        <w:textAlignment w:val="auto"/>
        <w:rPr>
          <w:rFonts w:hint="default" w:ascii="Times New Roman" w:hAnsi="Times New Roman" w:eastAsia="宋体" w:cs="Times New Roman"/>
          <w:b/>
          <w:bCs w:val="0"/>
          <w:kern w:val="2"/>
          <w:sz w:val="30"/>
          <w:szCs w:val="30"/>
          <w:lang w:val="en-US" w:eastAsia="zh-CN" w:bidi="ar-SA"/>
        </w:rPr>
      </w:pPr>
      <w:bookmarkStart w:id="43" w:name="_Toc3624"/>
      <w:bookmarkStart w:id="44" w:name="_Toc7428"/>
      <w:bookmarkStart w:id="45" w:name="_Toc26867"/>
      <w:bookmarkStart w:id="46" w:name="_Toc2928"/>
      <w:bookmarkStart w:id="47" w:name="_Toc25839"/>
      <w:bookmarkStart w:id="48" w:name="_Toc10568"/>
      <w:bookmarkStart w:id="49" w:name="_Toc18551"/>
      <w:r>
        <w:rPr>
          <w:rFonts w:hint="default" w:ascii="Times New Roman" w:hAnsi="Times New Roman" w:eastAsia="宋体" w:cs="Times New Roman"/>
          <w:b/>
          <w:bCs w:val="0"/>
          <w:kern w:val="2"/>
          <w:sz w:val="30"/>
          <w:szCs w:val="30"/>
          <w:lang w:val="en-US" w:eastAsia="zh-CN" w:bidi="ar-SA"/>
        </w:rPr>
        <w:t>8 验收</w:t>
      </w:r>
      <w:bookmarkStart w:id="50" w:name="_Toc390088694"/>
      <w:bookmarkStart w:id="51" w:name="_Toc387612874"/>
      <w:bookmarkStart w:id="52" w:name="_Toc291690060"/>
      <w:r>
        <w:rPr>
          <w:rFonts w:hint="default" w:ascii="Times New Roman" w:hAnsi="Times New Roman" w:eastAsia="宋体" w:cs="Times New Roman"/>
          <w:b/>
          <w:bCs w:val="0"/>
          <w:kern w:val="2"/>
          <w:sz w:val="30"/>
          <w:szCs w:val="30"/>
          <w:lang w:val="en-US" w:eastAsia="zh-CN" w:bidi="ar-SA"/>
        </w:rPr>
        <w:t>要求</w:t>
      </w:r>
      <w:bookmarkEnd w:id="43"/>
      <w:bookmarkEnd w:id="44"/>
      <w:bookmarkEnd w:id="45"/>
      <w:bookmarkEnd w:id="46"/>
      <w:bookmarkEnd w:id="47"/>
      <w:bookmarkEnd w:id="48"/>
      <w:bookmarkEnd w:id="49"/>
    </w:p>
    <w:bookmarkEnd w:id="50"/>
    <w:bookmarkEnd w:id="51"/>
    <w:p>
      <w:pPr>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t>系统测试验收划分为二个阶段，即到货验收、现场验收。</w:t>
      </w:r>
      <w:bookmarkStart w:id="53" w:name="_Toc257812191"/>
      <w:bookmarkStart w:id="54" w:name="_Toc387612875"/>
      <w:bookmarkStart w:id="55" w:name="_Toc34153561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56" w:name="_Toc7867"/>
      <w:bookmarkStart w:id="57" w:name="_Toc22741"/>
      <w:bookmarkStart w:id="58" w:name="_Toc23903"/>
      <w:bookmarkStart w:id="59" w:name="_Toc19273"/>
      <w:bookmarkStart w:id="60" w:name="_Toc16533"/>
      <w:bookmarkStart w:id="61" w:name="_Toc27907"/>
      <w:bookmarkStart w:id="62" w:name="_Toc27150"/>
      <w:bookmarkStart w:id="63" w:name="OLE_LINK21"/>
      <w:r>
        <w:rPr>
          <w:rFonts w:hint="default" w:ascii="Times New Roman" w:hAnsi="Times New Roman" w:eastAsia="宋体" w:cs="Times New Roman"/>
          <w:b/>
          <w:bCs/>
          <w:kern w:val="0"/>
          <w:sz w:val="28"/>
          <w:szCs w:val="28"/>
          <w:lang w:val="en-US" w:eastAsia="zh-CN" w:bidi="ar-SA"/>
        </w:rPr>
        <w:t>8.1 到货验收</w:t>
      </w:r>
      <w:bookmarkEnd w:id="53"/>
      <w:bookmarkEnd w:id="54"/>
      <w:bookmarkEnd w:id="55"/>
      <w:bookmarkEnd w:id="56"/>
      <w:bookmarkEnd w:id="57"/>
      <w:bookmarkEnd w:id="58"/>
      <w:bookmarkEnd w:id="59"/>
      <w:bookmarkEnd w:id="60"/>
      <w:bookmarkEnd w:id="61"/>
      <w:bookmarkEnd w:id="62"/>
    </w:p>
    <w:bookmarkEnd w:id="63"/>
    <w:p>
      <w:pPr>
        <w:pStyle w:val="26"/>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到货验收包括对硬件的型号、数量以及详细参数进行验收，检查软件是否已安装进系统。</w:t>
      </w:r>
      <w:bookmarkStart w:id="64" w:name="_Toc341535616"/>
      <w:bookmarkStart w:id="65" w:name="_Toc387612876"/>
      <w:bookmarkStart w:id="66" w:name="_Toc257812192"/>
    </w:p>
    <w:p>
      <w:pPr>
        <w:pStyle w:val="5"/>
        <w:keepNext/>
        <w:keepLines/>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default" w:ascii="Times New Roman" w:hAnsi="Times New Roman" w:eastAsia="宋体" w:cs="Times New Roman"/>
          <w:b/>
          <w:bCs/>
          <w:kern w:val="0"/>
          <w:sz w:val="28"/>
          <w:szCs w:val="28"/>
          <w:lang w:val="en-US" w:eastAsia="zh-CN" w:bidi="ar-SA"/>
        </w:rPr>
      </w:pPr>
      <w:bookmarkStart w:id="67" w:name="_Toc1461"/>
      <w:bookmarkStart w:id="68" w:name="_Toc22068"/>
      <w:bookmarkStart w:id="69" w:name="_Toc17828"/>
      <w:bookmarkStart w:id="70" w:name="_Toc9650"/>
      <w:bookmarkStart w:id="71" w:name="_Toc5236"/>
      <w:bookmarkStart w:id="72" w:name="_Toc15384"/>
      <w:bookmarkStart w:id="73" w:name="_Toc20758"/>
      <w:r>
        <w:rPr>
          <w:rFonts w:hint="default" w:ascii="Times New Roman" w:hAnsi="Times New Roman" w:eastAsia="宋体" w:cs="Times New Roman"/>
          <w:b/>
          <w:bCs/>
          <w:kern w:val="0"/>
          <w:sz w:val="28"/>
          <w:szCs w:val="28"/>
          <w:lang w:val="en-US" w:eastAsia="zh-CN" w:bidi="ar-SA"/>
        </w:rPr>
        <w:t>8.2 现场验收</w:t>
      </w:r>
      <w:bookmarkEnd w:id="64"/>
      <w:bookmarkEnd w:id="65"/>
      <w:bookmarkEnd w:id="66"/>
      <w:bookmarkEnd w:id="67"/>
      <w:bookmarkEnd w:id="68"/>
      <w:bookmarkEnd w:id="69"/>
      <w:bookmarkEnd w:id="70"/>
      <w:bookmarkEnd w:id="71"/>
      <w:bookmarkEnd w:id="72"/>
      <w:bookmarkEnd w:id="73"/>
    </w:p>
    <w:p>
      <w:pPr>
        <w:spacing w:line="360" w:lineRule="auto"/>
        <w:ind w:firstLine="560" w:firstLineChars="200"/>
        <w:rPr>
          <w:rFonts w:hint="eastAsia" w:ascii="宋体" w:hAnsi="宋体" w:eastAsia="宋体" w:cs="宋体"/>
          <w:sz w:val="28"/>
          <w:szCs w:val="28"/>
        </w:rPr>
      </w:pPr>
      <w:r>
        <w:rPr>
          <w:rFonts w:hint="default" w:ascii="Times New Roman" w:hAnsi="Times New Roman" w:eastAsia="宋体" w:cs="Times New Roman"/>
          <w:sz w:val="28"/>
          <w:szCs w:val="28"/>
        </w:rPr>
        <w:t>以投标方协助需方完成培训内容为标准进行验收</w:t>
      </w:r>
      <w:bookmarkEnd w:id="52"/>
      <w:r>
        <w:rPr>
          <w:rFonts w:hint="default" w:ascii="Times New Roman" w:hAnsi="Times New Roman" w:eastAsia="宋体" w:cs="Times New Roman"/>
          <w:sz w:val="28"/>
          <w:szCs w:val="28"/>
          <w:lang w:eastAsia="zh-CN"/>
        </w:rPr>
        <w:t>。</w:t>
      </w:r>
    </w:p>
    <w:sectPr>
      <w:footerReference r:id="rId4" w:type="default"/>
      <w:pgSz w:w="12240" w:h="15840"/>
      <w:pgMar w:top="1440" w:right="1797" w:bottom="1440" w:left="1797" w:header="720" w:footer="720" w:gutter="0"/>
      <w:pgNumType w:fmt="decimal" w:start="1"/>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宋体">
    <w:altName w:val="宋体"/>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2880" w:firstLineChars="1600"/>
      <w:jc w:val="both"/>
      <w:rPr>
        <w:rFonts w:hint="default" w:ascii="宋体" w:hAnsi="宋体" w:eastAsia="宋体"/>
        <w:lang w:val="en-US" w:eastAsia="zh-CN"/>
      </w:rPr>
    </w:pPr>
    <w:r>
      <w:rPr>
        <w:rFonts w:hint="eastAsia" w:ascii="宋体" w:hAnsi="宋体"/>
      </w:rPr>
      <w:t xml:space="preserve">                      </w:t>
    </w:r>
    <w:r>
      <w:rPr>
        <w:rFonts w:hint="eastAsia" w:ascii="宋体" w:hAnsi="宋体"/>
        <w:lang w:val="en-US" w:eastAsia="zh-CN"/>
      </w:rPr>
      <w:t>变电专业粉尘颗粒物空气质量检测仪技术规范书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gutterAtTop/>
  <w:documentProtection w:enforcement="0"/>
  <w:defaultTabStop w:val="420"/>
  <w:drawingGridHorizontalSpacing w:val="105"/>
  <w:drawingGridVerticalSpacing w:val="143"/>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35E1"/>
    <w:rsid w:val="00022BDE"/>
    <w:rsid w:val="000242F6"/>
    <w:rsid w:val="00027BF9"/>
    <w:rsid w:val="0005282D"/>
    <w:rsid w:val="00054B15"/>
    <w:rsid w:val="0007361B"/>
    <w:rsid w:val="00083FF4"/>
    <w:rsid w:val="000929A6"/>
    <w:rsid w:val="0009426D"/>
    <w:rsid w:val="000B212F"/>
    <w:rsid w:val="000D060D"/>
    <w:rsid w:val="000E0B6B"/>
    <w:rsid w:val="000E3A0F"/>
    <w:rsid w:val="00133AF7"/>
    <w:rsid w:val="00142319"/>
    <w:rsid w:val="00172A27"/>
    <w:rsid w:val="00187370"/>
    <w:rsid w:val="001E0CF1"/>
    <w:rsid w:val="00212B1F"/>
    <w:rsid w:val="00214840"/>
    <w:rsid w:val="002550D5"/>
    <w:rsid w:val="00274732"/>
    <w:rsid w:val="0027656D"/>
    <w:rsid w:val="00286C41"/>
    <w:rsid w:val="00291B33"/>
    <w:rsid w:val="002A1D5D"/>
    <w:rsid w:val="002A593A"/>
    <w:rsid w:val="002A7143"/>
    <w:rsid w:val="002B1D6E"/>
    <w:rsid w:val="002B5F07"/>
    <w:rsid w:val="002B78D0"/>
    <w:rsid w:val="002C018F"/>
    <w:rsid w:val="002F0F8B"/>
    <w:rsid w:val="002F625C"/>
    <w:rsid w:val="00302818"/>
    <w:rsid w:val="00312008"/>
    <w:rsid w:val="00334ED3"/>
    <w:rsid w:val="0036262E"/>
    <w:rsid w:val="00372DF9"/>
    <w:rsid w:val="00374B10"/>
    <w:rsid w:val="00397BEF"/>
    <w:rsid w:val="003C63C7"/>
    <w:rsid w:val="003F1B09"/>
    <w:rsid w:val="00404BFF"/>
    <w:rsid w:val="004054C8"/>
    <w:rsid w:val="00411A58"/>
    <w:rsid w:val="00421AF0"/>
    <w:rsid w:val="0044464B"/>
    <w:rsid w:val="00453089"/>
    <w:rsid w:val="0045545B"/>
    <w:rsid w:val="00475D99"/>
    <w:rsid w:val="00476D30"/>
    <w:rsid w:val="004861F1"/>
    <w:rsid w:val="00490D38"/>
    <w:rsid w:val="004A5264"/>
    <w:rsid w:val="004F0BBD"/>
    <w:rsid w:val="00515503"/>
    <w:rsid w:val="00530101"/>
    <w:rsid w:val="00545565"/>
    <w:rsid w:val="005516AD"/>
    <w:rsid w:val="005673D2"/>
    <w:rsid w:val="005718DB"/>
    <w:rsid w:val="00572083"/>
    <w:rsid w:val="00575854"/>
    <w:rsid w:val="005B3C3E"/>
    <w:rsid w:val="005C06BF"/>
    <w:rsid w:val="005C5FD4"/>
    <w:rsid w:val="005D7D51"/>
    <w:rsid w:val="0060183B"/>
    <w:rsid w:val="006109C8"/>
    <w:rsid w:val="00614DD7"/>
    <w:rsid w:val="00620FA0"/>
    <w:rsid w:val="0062366D"/>
    <w:rsid w:val="00653640"/>
    <w:rsid w:val="00660130"/>
    <w:rsid w:val="00662556"/>
    <w:rsid w:val="006671D4"/>
    <w:rsid w:val="006A5858"/>
    <w:rsid w:val="006C13B5"/>
    <w:rsid w:val="006D0825"/>
    <w:rsid w:val="006E4A3B"/>
    <w:rsid w:val="006F15E7"/>
    <w:rsid w:val="006F356C"/>
    <w:rsid w:val="006F5FD0"/>
    <w:rsid w:val="006F615E"/>
    <w:rsid w:val="00715F97"/>
    <w:rsid w:val="00720314"/>
    <w:rsid w:val="0072357D"/>
    <w:rsid w:val="00723D38"/>
    <w:rsid w:val="00744B2E"/>
    <w:rsid w:val="00757DDB"/>
    <w:rsid w:val="00766FCC"/>
    <w:rsid w:val="00767DC9"/>
    <w:rsid w:val="0077422F"/>
    <w:rsid w:val="007903FA"/>
    <w:rsid w:val="007A6AF8"/>
    <w:rsid w:val="007E150A"/>
    <w:rsid w:val="00811D27"/>
    <w:rsid w:val="0083606F"/>
    <w:rsid w:val="00853ACF"/>
    <w:rsid w:val="00861E03"/>
    <w:rsid w:val="00885066"/>
    <w:rsid w:val="00897E2F"/>
    <w:rsid w:val="008A13EB"/>
    <w:rsid w:val="008B3ED1"/>
    <w:rsid w:val="008B7D17"/>
    <w:rsid w:val="008C550E"/>
    <w:rsid w:val="00903147"/>
    <w:rsid w:val="0091574D"/>
    <w:rsid w:val="00926765"/>
    <w:rsid w:val="00932C8D"/>
    <w:rsid w:val="00962C65"/>
    <w:rsid w:val="0098104B"/>
    <w:rsid w:val="00A03D85"/>
    <w:rsid w:val="00A205B9"/>
    <w:rsid w:val="00A257B6"/>
    <w:rsid w:val="00A46A9F"/>
    <w:rsid w:val="00A51B42"/>
    <w:rsid w:val="00A528D2"/>
    <w:rsid w:val="00A545C9"/>
    <w:rsid w:val="00AC41D5"/>
    <w:rsid w:val="00AD26D5"/>
    <w:rsid w:val="00AE2150"/>
    <w:rsid w:val="00AE64D2"/>
    <w:rsid w:val="00B61CFA"/>
    <w:rsid w:val="00B87E6E"/>
    <w:rsid w:val="00B96D3D"/>
    <w:rsid w:val="00BB09DA"/>
    <w:rsid w:val="00BB5AA6"/>
    <w:rsid w:val="00BE0618"/>
    <w:rsid w:val="00BE3D18"/>
    <w:rsid w:val="00C153E3"/>
    <w:rsid w:val="00C55880"/>
    <w:rsid w:val="00C7290C"/>
    <w:rsid w:val="00C92FF8"/>
    <w:rsid w:val="00CA36A1"/>
    <w:rsid w:val="00CA4ED3"/>
    <w:rsid w:val="00CB23DB"/>
    <w:rsid w:val="00CB4B8C"/>
    <w:rsid w:val="00CC2321"/>
    <w:rsid w:val="00CC597B"/>
    <w:rsid w:val="00CE048D"/>
    <w:rsid w:val="00CE4DFB"/>
    <w:rsid w:val="00CE4E80"/>
    <w:rsid w:val="00CF4840"/>
    <w:rsid w:val="00CF72D4"/>
    <w:rsid w:val="00D30360"/>
    <w:rsid w:val="00D350E2"/>
    <w:rsid w:val="00D976F8"/>
    <w:rsid w:val="00DC730E"/>
    <w:rsid w:val="00DD1D78"/>
    <w:rsid w:val="00DE7114"/>
    <w:rsid w:val="00DF482B"/>
    <w:rsid w:val="00E34AF7"/>
    <w:rsid w:val="00E64616"/>
    <w:rsid w:val="00E92E57"/>
    <w:rsid w:val="00EA3EEA"/>
    <w:rsid w:val="00EA6DC9"/>
    <w:rsid w:val="00EC1566"/>
    <w:rsid w:val="00EE47FC"/>
    <w:rsid w:val="00F00BE3"/>
    <w:rsid w:val="00F00F8D"/>
    <w:rsid w:val="00F22B91"/>
    <w:rsid w:val="00F24602"/>
    <w:rsid w:val="00F5425B"/>
    <w:rsid w:val="00F57B66"/>
    <w:rsid w:val="00F749C6"/>
    <w:rsid w:val="00F8005A"/>
    <w:rsid w:val="00FA2B19"/>
    <w:rsid w:val="00FB3D25"/>
    <w:rsid w:val="00FD37FD"/>
    <w:rsid w:val="00FF0701"/>
    <w:rsid w:val="00FF31C9"/>
    <w:rsid w:val="01216BCF"/>
    <w:rsid w:val="021D332E"/>
    <w:rsid w:val="039970F0"/>
    <w:rsid w:val="04B85A8C"/>
    <w:rsid w:val="06C83369"/>
    <w:rsid w:val="06F74250"/>
    <w:rsid w:val="06FC1FE4"/>
    <w:rsid w:val="073440CA"/>
    <w:rsid w:val="083B22E9"/>
    <w:rsid w:val="0AA06A69"/>
    <w:rsid w:val="0B1D612C"/>
    <w:rsid w:val="0B9E7B3E"/>
    <w:rsid w:val="0BAC324C"/>
    <w:rsid w:val="0BBD0B5D"/>
    <w:rsid w:val="0D09760B"/>
    <w:rsid w:val="0DF84B27"/>
    <w:rsid w:val="0E4C7BE5"/>
    <w:rsid w:val="117656A1"/>
    <w:rsid w:val="11C76314"/>
    <w:rsid w:val="11F81621"/>
    <w:rsid w:val="121A5772"/>
    <w:rsid w:val="122703EF"/>
    <w:rsid w:val="129375E2"/>
    <w:rsid w:val="1364719A"/>
    <w:rsid w:val="13A0311A"/>
    <w:rsid w:val="14AE74C4"/>
    <w:rsid w:val="157E633F"/>
    <w:rsid w:val="167B20FE"/>
    <w:rsid w:val="17247B54"/>
    <w:rsid w:val="17E9578A"/>
    <w:rsid w:val="196A1CCC"/>
    <w:rsid w:val="1A050DE8"/>
    <w:rsid w:val="1E476C31"/>
    <w:rsid w:val="206C32B1"/>
    <w:rsid w:val="20A85646"/>
    <w:rsid w:val="22783F62"/>
    <w:rsid w:val="22F56ECA"/>
    <w:rsid w:val="23846F1A"/>
    <w:rsid w:val="26301520"/>
    <w:rsid w:val="264B09E7"/>
    <w:rsid w:val="292B071C"/>
    <w:rsid w:val="2D5F3BEA"/>
    <w:rsid w:val="2DAD1295"/>
    <w:rsid w:val="2F82055E"/>
    <w:rsid w:val="3015100B"/>
    <w:rsid w:val="32B02F4F"/>
    <w:rsid w:val="33515420"/>
    <w:rsid w:val="3459654B"/>
    <w:rsid w:val="35E67CC2"/>
    <w:rsid w:val="35EA73E3"/>
    <w:rsid w:val="37130BEA"/>
    <w:rsid w:val="397E1DFD"/>
    <w:rsid w:val="398B33E3"/>
    <w:rsid w:val="3B007723"/>
    <w:rsid w:val="3B3E176C"/>
    <w:rsid w:val="3EB65EA7"/>
    <w:rsid w:val="3F306184"/>
    <w:rsid w:val="407946F1"/>
    <w:rsid w:val="4592285F"/>
    <w:rsid w:val="45FA704D"/>
    <w:rsid w:val="461061B1"/>
    <w:rsid w:val="46122A69"/>
    <w:rsid w:val="48935017"/>
    <w:rsid w:val="49A73E15"/>
    <w:rsid w:val="4C2C0CD0"/>
    <w:rsid w:val="4C6B6707"/>
    <w:rsid w:val="4CC534FF"/>
    <w:rsid w:val="4CF47715"/>
    <w:rsid w:val="4D442103"/>
    <w:rsid w:val="4D605863"/>
    <w:rsid w:val="4DE24485"/>
    <w:rsid w:val="4E7505BB"/>
    <w:rsid w:val="52873053"/>
    <w:rsid w:val="53176A9C"/>
    <w:rsid w:val="53F40CBE"/>
    <w:rsid w:val="542A117B"/>
    <w:rsid w:val="546F3F6B"/>
    <w:rsid w:val="54F112A5"/>
    <w:rsid w:val="559336C4"/>
    <w:rsid w:val="560520B9"/>
    <w:rsid w:val="56DD1F1C"/>
    <w:rsid w:val="585B5B7A"/>
    <w:rsid w:val="595744CF"/>
    <w:rsid w:val="5CDD10BF"/>
    <w:rsid w:val="5E052881"/>
    <w:rsid w:val="5F273CAC"/>
    <w:rsid w:val="5F5027A2"/>
    <w:rsid w:val="6249287A"/>
    <w:rsid w:val="64C90076"/>
    <w:rsid w:val="65F60B40"/>
    <w:rsid w:val="66042581"/>
    <w:rsid w:val="669F2151"/>
    <w:rsid w:val="677E43FB"/>
    <w:rsid w:val="6A0D0A67"/>
    <w:rsid w:val="6A163E39"/>
    <w:rsid w:val="6A2E5D2C"/>
    <w:rsid w:val="6C4B4ADF"/>
    <w:rsid w:val="6C63752A"/>
    <w:rsid w:val="6D4579BF"/>
    <w:rsid w:val="6D7935F9"/>
    <w:rsid w:val="6E322ED1"/>
    <w:rsid w:val="6FDC2C9B"/>
    <w:rsid w:val="7015325F"/>
    <w:rsid w:val="71E21A2C"/>
    <w:rsid w:val="738D6525"/>
    <w:rsid w:val="755358DC"/>
    <w:rsid w:val="75A504A5"/>
    <w:rsid w:val="76C635C6"/>
    <w:rsid w:val="77790D29"/>
    <w:rsid w:val="792225EC"/>
    <w:rsid w:val="79C60827"/>
    <w:rsid w:val="7A0343B8"/>
    <w:rsid w:val="7A292D70"/>
    <w:rsid w:val="7B235383"/>
    <w:rsid w:val="7BF917C8"/>
    <w:rsid w:val="7F984CE1"/>
    <w:rsid w:val="7FE21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tabs>
        <w:tab w:val="left" w:pos="576"/>
        <w:tab w:val="left" w:pos="3276"/>
      </w:tabs>
      <w:spacing w:before="260" w:after="260" w:line="415" w:lineRule="auto"/>
      <w:ind w:left="3276" w:hanging="576"/>
      <w:outlineLvl w:val="1"/>
    </w:pPr>
    <w:rPr>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line="360" w:lineRule="exact"/>
    </w:pPr>
    <w:rPr>
      <w:rFonts w:ascii="黑体" w:eastAsia="黑体"/>
      <w:sz w:val="28"/>
      <w:szCs w:val="20"/>
    </w:rPr>
  </w:style>
  <w:style w:type="paragraph" w:styleId="6">
    <w:name w:val="Document Map"/>
    <w:basedOn w:val="1"/>
    <w:semiHidden/>
    <w:qFormat/>
    <w:uiPriority w:val="0"/>
    <w:pPr>
      <w:shd w:val="clear" w:color="auto" w:fill="000080"/>
    </w:pPr>
  </w:style>
  <w:style w:type="paragraph" w:styleId="7">
    <w:name w:val="Body Text Indent"/>
    <w:basedOn w:val="1"/>
    <w:qFormat/>
    <w:uiPriority w:val="0"/>
    <w:pPr>
      <w:spacing w:line="360" w:lineRule="auto"/>
      <w:ind w:firstLine="480" w:firstLineChars="200"/>
    </w:pPr>
    <w:rPr>
      <w:sz w:val="24"/>
    </w:rPr>
  </w:style>
  <w:style w:type="paragraph" w:styleId="8">
    <w:name w:val="Date"/>
    <w:basedOn w:val="1"/>
    <w:next w:val="1"/>
    <w:link w:val="17"/>
    <w:qFormat/>
    <w:uiPriority w:val="0"/>
    <w:pPr>
      <w:ind w:left="100" w:leftChars="25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Normal (Web)"/>
    <w:basedOn w:val="1"/>
    <w:qFormat/>
    <w:uiPriority w:val="0"/>
    <w:pPr>
      <w:spacing w:before="100" w:beforeAutospacing="1" w:after="100" w:afterAutospacing="1"/>
      <w:jc w:val="left"/>
    </w:pPr>
    <w:rPr>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style>
  <w:style w:type="character" w:styleId="16">
    <w:name w:val="Emphasis"/>
    <w:qFormat/>
    <w:uiPriority w:val="20"/>
    <w:rPr>
      <w:i/>
      <w:iCs/>
    </w:rPr>
  </w:style>
  <w:style w:type="character" w:customStyle="1" w:styleId="17">
    <w:name w:val="日期 Char"/>
    <w:link w:val="8"/>
    <w:qFormat/>
    <w:uiPriority w:val="0"/>
    <w:rPr>
      <w:kern w:val="2"/>
      <w:sz w:val="21"/>
    </w:rPr>
  </w:style>
  <w:style w:type="character" w:customStyle="1" w:styleId="18">
    <w:name w:val="mark"/>
    <w:basedOn w:val="14"/>
    <w:qFormat/>
    <w:uiPriority w:val="0"/>
  </w:style>
  <w:style w:type="paragraph" w:customStyle="1" w:styleId="19">
    <w:name w:val="表"/>
    <w:qFormat/>
    <w:uiPriority w:val="0"/>
    <w:pPr>
      <w:snapToGrid w:val="0"/>
      <w:spacing w:line="440" w:lineRule="exact"/>
      <w:jc w:val="center"/>
    </w:pPr>
    <w:rPr>
      <w:rFonts w:ascii="Times New Roman" w:hAnsi="Times New Roman" w:eastAsia="宋体" w:cs="Times New Roman"/>
      <w:kern w:val="1"/>
      <w:sz w:val="24"/>
      <w:szCs w:val="24"/>
      <w:lang w:val="en-US" w:eastAsia="ar-SA" w:bidi="ar-SA"/>
    </w:rPr>
  </w:style>
  <w:style w:type="paragraph" w:customStyle="1" w:styleId="20">
    <w:name w:val="Char Char Char Char"/>
    <w:basedOn w:val="1"/>
    <w:qFormat/>
    <w:uiPriority w:val="0"/>
  </w:style>
  <w:style w:type="paragraph" w:customStyle="1" w:styleId="21">
    <w:name w:val="Char Char Char Char Char Char"/>
    <w:basedOn w:val="6"/>
    <w:qFormat/>
    <w:uiPriority w:val="0"/>
    <w:rPr>
      <w:rFonts w:ascii="Tahoma" w:hAnsi="Tahoma"/>
      <w:sz w:val="24"/>
      <w:szCs w:val="24"/>
    </w:rPr>
  </w:style>
  <w:style w:type="paragraph" w:styleId="22">
    <w:name w:val="No Spacing"/>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3">
    <w:name w:val="msolistparagraph"/>
    <w:basedOn w:val="1"/>
    <w:qFormat/>
    <w:uiPriority w:val="0"/>
    <w:pPr>
      <w:spacing w:line="360" w:lineRule="auto"/>
      <w:ind w:firstLine="420" w:firstLineChars="200"/>
    </w:pPr>
    <w:rPr>
      <w:rFonts w:ascii="Calibri" w:hAnsi="Calibri" w:cs="Calibri"/>
      <w:szCs w:val="21"/>
    </w:rPr>
  </w:style>
  <w:style w:type="paragraph" w:customStyle="1" w:styleId="2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5">
    <w:name w:val="样式 标题 2"/>
    <w:basedOn w:val="5"/>
    <w:qFormat/>
    <w:uiPriority w:val="0"/>
    <w:rPr>
      <w:b w:val="0"/>
    </w:rPr>
  </w:style>
  <w:style w:type="paragraph" w:customStyle="1" w:styleId="26">
    <w:name w:val="p0"/>
    <w:basedOn w:val="1"/>
    <w:qFormat/>
    <w:uiPriority w:val="0"/>
    <w:pPr>
      <w:widowControl/>
      <w:jc w:val="left"/>
    </w:pPr>
    <w:rPr>
      <w:rFonts w:ascii="Calibri" w:hAnsi="Calibri" w:eastAsia="Arial Unicode MS"/>
      <w:kern w:val="0"/>
      <w:szCs w:val="20"/>
    </w:rPr>
  </w:style>
  <w:style w:type="paragraph" w:customStyle="1" w:styleId="27">
    <w:name w:val="WPSOffice手动目录 1"/>
    <w:uiPriority w:val="0"/>
    <w:pPr>
      <w:ind w:leftChars="0"/>
    </w:pPr>
    <w:rPr>
      <w:sz w:val="20"/>
      <w:szCs w:val="20"/>
    </w:rPr>
  </w:style>
  <w:style w:type="paragraph" w:customStyle="1" w:styleId="28">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gold</Company>
  <Pages>5</Pages>
  <Words>1749</Words>
  <Characters>1908</Characters>
  <Lines>16</Lines>
  <Paragraphs>4</Paragraphs>
  <TotalTime>0</TotalTime>
  <ScaleCrop>false</ScaleCrop>
  <LinksUpToDate>false</LinksUpToDate>
  <CharactersWithSpaces>1971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2023-08-28T01:24:00Z</dcterms:created>
  <dc:creator>zmc</dc:creator>
  <cp:lastModifiedBy>hncsg</cp:lastModifiedBy>
  <dcterms:modified xsi:type="dcterms:W3CDTF">2025-07-22T15:32:39Z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BB8AACC7C288468990F0ADBDA38A0836</vt:lpwstr>
  </property>
  <property fmtid="{D5CDD505-2E9C-101B-9397-08002B2CF9AE}" pid="4" name="KSOTemplateDocerSaveRecord">
    <vt:lpwstr>eyJoZGlkIjoiOTBlYjA3MDdlMDk3ZGI0NzBiYjVmM2FlZjkyNzAwNmEiLCJ1c2VySWQiOiIyNDcxNDIxMjAifQ==</vt:lpwstr>
  </property>
</Properties>
</file>