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手持式合金分析仪</w:t>
      </w:r>
    </w:p>
    <w:p>
      <w:pPr>
        <w:spacing w:line="360" w:lineRule="auto"/>
        <w:jc w:val="center"/>
        <w:rPr>
          <w:rFonts w:hint="eastAsia"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pStyle w:val="2"/>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7118"/>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75" w:name="_GoBack"/>
          <w:bookmarkEnd w:id="75"/>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_Toc22114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_Toc22114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_Toc3855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2 </w:t>
          </w:r>
          <w:r>
            <w:rPr>
              <w:rFonts w:hint="eastAsia" w:ascii="宋体" w:hAnsi="宋体" w:eastAsia="宋体" w:cs="宋体"/>
              <w:b w:val="0"/>
              <w:bCs/>
              <w:sz w:val="28"/>
              <w:szCs w:val="28"/>
            </w:rPr>
            <w:t>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_Toc3855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_Toc1451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3 </w:t>
          </w:r>
          <w:r>
            <w:rPr>
              <w:rFonts w:hint="eastAsia" w:ascii="宋体" w:hAnsi="宋体" w:eastAsia="宋体" w:cs="宋体"/>
              <w:b w:val="0"/>
              <w:bCs/>
              <w:sz w:val="28"/>
              <w:szCs w:val="28"/>
            </w:rPr>
            <w:t>使用环境条件要求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_Toc1451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_Toc16472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4 </w:t>
          </w:r>
          <w:r>
            <w:rPr>
              <w:rFonts w:hint="eastAsia" w:ascii="宋体" w:hAnsi="宋体" w:eastAsia="宋体" w:cs="宋体"/>
              <w:b w:val="0"/>
              <w:bCs/>
              <w:sz w:val="28"/>
              <w:szCs w:val="28"/>
            </w:rPr>
            <w:t>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_Toc16472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_Toc29571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_Toc29571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_Toc13408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_Toc13408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_Toc5852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5 </w:t>
          </w:r>
          <w:r>
            <w:rPr>
              <w:rFonts w:hint="eastAsia" w:ascii="宋体" w:hAnsi="宋体" w:eastAsia="宋体" w:cs="宋体"/>
              <w:b w:val="0"/>
              <w:bCs/>
              <w:sz w:val="28"/>
              <w:szCs w:val="28"/>
            </w:rPr>
            <w:t>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_Toc5852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_Toc9120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_Toc9120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_Toc13911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_Toc13911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_Toc4634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_Toc4634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_Toc17997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_Toc17997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_Toc2483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_Toc2483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_Toc15411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_Toc15411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0"/>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_Toc6284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_Toc6284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22114"/>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本规范书适用于手持式合金分析仪的招标，它提出设备的功能、结构、性能、安装和试验等方面的技术要求。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rPr>
      </w:pPr>
      <w:bookmarkStart w:id="1" w:name="_Toc3855"/>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GB 4793.1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测量、控制和实验室用电气设备的安全要求第 1 部分：通用要求</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GB 9969.1   工业产品使用说明书总则</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QJ 2859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手持式合金分析仪操作使用方法与判定规则</w:t>
      </w:r>
    </w:p>
    <w:p>
      <w:pPr>
        <w:numPr>
          <w:ilvl w:val="0"/>
          <w:numId w:val="0"/>
        </w:numPr>
        <w:spacing w:line="360" w:lineRule="auto"/>
        <w:ind w:leftChars="0"/>
        <w:outlineLvl w:val="0"/>
        <w:rPr>
          <w:rFonts w:hint="eastAsia" w:ascii="宋体" w:hAnsi="宋体" w:eastAsia="宋体" w:cs="宋体"/>
          <w:b/>
          <w:sz w:val="30"/>
          <w:szCs w:val="30"/>
        </w:rPr>
      </w:pPr>
      <w:bookmarkStart w:id="2" w:name="_Toc1451"/>
      <w:r>
        <w:rPr>
          <w:rFonts w:hint="eastAsia" w:ascii="宋体" w:hAnsi="宋体" w:eastAsia="宋体" w:cs="宋体"/>
          <w:b/>
          <w:sz w:val="30"/>
          <w:szCs w:val="30"/>
          <w:lang w:val="en-US" w:eastAsia="zh-CN"/>
        </w:rPr>
        <w:t xml:space="preserve">3 </w:t>
      </w:r>
      <w:r>
        <w:rPr>
          <w:rFonts w:hint="eastAsia" w:ascii="宋体" w:hAnsi="宋体" w:eastAsia="宋体" w:cs="宋体"/>
          <w:b/>
          <w:sz w:val="30"/>
          <w:szCs w:val="30"/>
        </w:rPr>
        <w:t>使用环境条件要求</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rPr>
        <w:t>-20℃～＋</w:t>
      </w:r>
      <w:r>
        <w:rPr>
          <w:rFonts w:hint="eastAsia" w:ascii="宋体" w:hAnsi="宋体" w:eastAsia="宋体" w:cs="宋体"/>
          <w:sz w:val="28"/>
          <w:szCs w:val="28"/>
          <w:lang w:val="en-US" w:eastAsia="zh-CN"/>
        </w:rPr>
        <w:t>55</w:t>
      </w:r>
      <w:r>
        <w:rPr>
          <w:rFonts w:hint="eastAsia" w:ascii="宋体" w:hAnsi="宋体" w:eastAsia="宋体" w:cs="宋体"/>
          <w:sz w:val="28"/>
          <w:szCs w:val="28"/>
        </w:rPr>
        <w:t>℃</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环境湿度：≤90%，无凝露</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使用地点：室内外</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rPr>
      </w:pPr>
      <w:bookmarkStart w:id="3" w:name="_Toc16472"/>
      <w:r>
        <w:rPr>
          <w:rFonts w:hint="eastAsia" w:ascii="宋体" w:hAnsi="宋体" w:eastAsia="宋体" w:cs="宋体"/>
          <w:b/>
          <w:sz w:val="30"/>
          <w:szCs w:val="30"/>
          <w:lang w:val="en-US" w:eastAsia="zh-CN"/>
        </w:rPr>
        <w:t xml:space="preserve">4 </w:t>
      </w:r>
      <w:r>
        <w:rPr>
          <w:rFonts w:hint="eastAsia" w:ascii="宋体" w:hAnsi="宋体" w:eastAsia="宋体" w:cs="宋体"/>
          <w:b/>
          <w:sz w:val="30"/>
          <w:szCs w:val="30"/>
        </w:rPr>
        <w:t>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b/>
          <w:sz w:val="28"/>
          <w:szCs w:val="28"/>
        </w:rPr>
      </w:pPr>
      <w:bookmarkStart w:id="4" w:name="_Toc29571"/>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200511818"/>
      <w:bookmarkStart w:id="6" w:name="_Toc167008908"/>
      <w:bookmarkStart w:id="7" w:name="_Toc4556"/>
      <w:r>
        <w:rPr>
          <w:rFonts w:hint="eastAsia" w:ascii="宋体" w:hAnsi="宋体" w:eastAsia="宋体" w:cs="宋体"/>
          <w:bCs/>
          <w:sz w:val="28"/>
          <w:szCs w:val="28"/>
          <w:lang w:eastAsia="zh-CN"/>
        </w:rPr>
        <w:t>（</w:t>
      </w:r>
      <w:r>
        <w:rPr>
          <w:rFonts w:hint="eastAsia" w:ascii="宋体" w:hAnsi="宋体" w:eastAsia="宋体" w:cs="宋体"/>
          <w:bCs/>
          <w:sz w:val="28"/>
          <w:szCs w:val="28"/>
          <w:lang w:val="en-US" w:eastAsia="zh-CN"/>
        </w:rPr>
        <w:t>1</w:t>
      </w:r>
      <w:r>
        <w:rPr>
          <w:rFonts w:hint="eastAsia" w:ascii="宋体" w:hAnsi="宋体" w:eastAsia="宋体" w:cs="宋体"/>
          <w:bCs/>
          <w:sz w:val="28"/>
          <w:szCs w:val="28"/>
          <w:lang w:eastAsia="zh-CN"/>
        </w:rPr>
        <w:t>）</w:t>
      </w:r>
      <w:r>
        <w:rPr>
          <w:rFonts w:hint="eastAsia" w:ascii="宋体" w:hAnsi="宋体" w:eastAsia="宋体" w:cs="宋体"/>
          <w:bCs/>
          <w:sz w:val="28"/>
          <w:szCs w:val="28"/>
        </w:rPr>
        <w:t>仪器体积小、重量轻，易于使用</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bCs/>
          <w:sz w:val="28"/>
          <w:szCs w:val="28"/>
          <w:lang w:eastAsia="zh-CN"/>
        </w:rPr>
        <w:t>（</w:t>
      </w:r>
      <w:r>
        <w:rPr>
          <w:rFonts w:hint="eastAsia" w:ascii="宋体" w:hAnsi="宋体" w:eastAsia="宋体" w:cs="宋体"/>
          <w:bCs/>
          <w:sz w:val="28"/>
          <w:szCs w:val="28"/>
          <w:lang w:val="en-US" w:eastAsia="zh-CN"/>
        </w:rPr>
        <w:t>2</w:t>
      </w:r>
      <w:r>
        <w:rPr>
          <w:rFonts w:hint="eastAsia" w:ascii="宋体" w:hAnsi="宋体" w:eastAsia="宋体" w:cs="宋体"/>
          <w:bCs/>
          <w:sz w:val="28"/>
          <w:szCs w:val="28"/>
          <w:lang w:eastAsia="zh-CN"/>
        </w:rPr>
        <w:t>）</w:t>
      </w:r>
      <w:r>
        <w:rPr>
          <w:rFonts w:hint="eastAsia" w:ascii="宋体" w:hAnsi="宋体" w:eastAsia="宋体" w:cs="宋体"/>
          <w:bCs/>
          <w:sz w:val="28"/>
          <w:szCs w:val="28"/>
        </w:rPr>
        <w:t>测试速度快、精度高、重复性好、抗干扰能力强</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13408"/>
      <w:r>
        <w:rPr>
          <w:rFonts w:hint="eastAsia" w:ascii="宋体" w:hAnsi="宋体" w:eastAsia="宋体" w:cs="宋体"/>
          <w:sz w:val="28"/>
          <w:szCs w:val="28"/>
        </w:rPr>
        <w:t>4.2 技术指标要求</w:t>
      </w:r>
      <w:bookmarkEnd w:id="5"/>
      <w:bookmarkEnd w:id="6"/>
      <w:bookmarkEnd w:id="7"/>
      <w:bookmarkEnd w:id="8"/>
    </w:p>
    <w:tbl>
      <w:tblPr>
        <w:tblStyle w:val="12"/>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合金模式可测试元素</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Cd、Ti、V、Cr、Mn、Fe、Se、Co、Ni、Cu、Zn、Zr、Nb、Mo、Pd、Ag、Sn、Sb、Hf、Ta、W、Re、Pb、Bi、Al、Si、S、P、Mg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模式</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每个模式每条光束有8个位置的自动选择过滤器。（投标文件须提供官网截图证明8种以上滤光片位置）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靶材和电压</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大功率4W微型直板电子X射线管（铑靶），8kV-40kV多段可选择的电压,对Al、Si、S、P、Mg等轻元素具有更好的稳定性 ，最大电流200μA。（投标时须提供官网截图证明靶材和电压）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恒温冷却系统</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采用Peltier恒温冷却系统，控测器在-35℃下工作，保证仪器的检测精度，和不受外界温度的影响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启动测试方式</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具备一键式触发测试和触屏点击测试两种启动测试方式，无需长时间按扳机，长时间工作无疲劳感，方便复杂现场工作。</w:t>
            </w:r>
            <w:bookmarkStart w:id="9" w:name="_Hlk133524056"/>
            <w:r>
              <w:rPr>
                <w:rFonts w:hint="eastAsia" w:ascii="宋体" w:hAnsi="宋体" w:eastAsia="宋体" w:cs="宋体"/>
                <w:bCs/>
                <w:sz w:val="28"/>
                <w:szCs w:val="28"/>
              </w:rPr>
              <w:t>（投标文件须提供设备实物图佐证两种测试方式）</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散热</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除通过机体采用铝合金外壳设计进行散热外，仪器底部配备有内置风扇，使散热更加有效，延长机器寿命。（投标文件须提供设备实物图散热风扇窗口证明）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一体化设计</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800 × 480 (WVGA)液晶电容式触摸屏，可使用手指进行控制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内存</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1GB内存，可存储75000组数据、图像与光谱，并且允许用户再扩容（每增加1G可增加75000组数据存储量）。具备是智能时间管理系统，数据自动按照年、月、日的方式进行进行归类，方便查找。数据删除允许用户对某一条数据进行删除。（投标时须提供仪器智能时间管理系统照片佐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显示</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百分比（%）显示元素含量并显示测试样品牌号限定值；元素显示允许用户自定义等方式排序,可统计多次测试的平均值,可接台式电脑显示；测试样品谱图、样品信息及测试位置可在同一界面显示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数据传输</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USB电缆、无线蓝牙、SD卡、U盘及WIFI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智能省电模式</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1分钟不使用自动进入省电模式。电池自带电池电量显示功能；独有的充电底座可满足2块可循环使用的充电锂电池供电，并可在不关机机状态下更换电池，延长持续使用时间。（投标文件须设备实物可同时充两块电池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工业牌号</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预装工业牌号超过1000种（包含美标、日标、欧标、国标电力牌号），能分析的合金高达万种。允许用户对现有牌号库进行编辑和添加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摄像头</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仪器配有瞄准摄像头和全景摄像头两个摄像头，用户可以记录测试样品位置也可以记录被测样品的整体环境图片。（投标文件须提供官网截图证明具备两个摄像头）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镀层模式</w:t>
            </w:r>
          </w:p>
        </w:tc>
        <w:tc>
          <w:tcPr>
            <w:tcW w:w="6842" w:type="dxa"/>
            <w:vAlign w:val="center"/>
          </w:tcPr>
          <w:p>
            <w:pPr>
              <w:tabs>
                <w:tab w:val="left" w:pos="1125"/>
                <w:tab w:val="left" w:pos="3960"/>
              </w:tabs>
              <w:spacing w:line="240" w:lineRule="auto"/>
              <w:jc w:val="center"/>
              <w:rPr>
                <w:rFonts w:hint="eastAsia" w:ascii="宋体" w:hAnsi="宋体" w:eastAsia="宋体" w:cs="宋体"/>
                <w:bCs/>
                <w:sz w:val="28"/>
                <w:szCs w:val="28"/>
              </w:rPr>
            </w:pPr>
            <w:r>
              <w:rPr>
                <w:rFonts w:hint="eastAsia" w:ascii="宋体" w:hAnsi="宋体" w:eastAsia="宋体" w:cs="宋体"/>
                <w:bCs/>
                <w:sz w:val="28"/>
                <w:szCs w:val="28"/>
              </w:rPr>
              <w:t>可测试铜镀银（0-60μm）、铁镀锡（0-80μm））、铜镀锌（0-50μm）、铝镀银（0-60μm）等各基体单层金属镀层及各基体的复合镀层（最多可测试3层）</w:t>
            </w:r>
          </w:p>
        </w:tc>
      </w:tr>
    </w:tbl>
    <w:p>
      <w:pPr>
        <w:numPr>
          <w:ilvl w:val="0"/>
          <w:numId w:val="0"/>
        </w:numPr>
        <w:spacing w:line="360" w:lineRule="auto"/>
        <w:ind w:leftChars="0"/>
        <w:rPr>
          <w:rFonts w:hint="eastAsia" w:ascii="宋体" w:hAnsi="宋体" w:eastAsia="宋体" w:cs="宋体"/>
          <w:b/>
          <w:sz w:val="30"/>
          <w:szCs w:val="30"/>
        </w:rPr>
      </w:pPr>
    </w:p>
    <w:p>
      <w:pPr>
        <w:numPr>
          <w:ilvl w:val="0"/>
          <w:numId w:val="0"/>
        </w:numPr>
        <w:spacing w:line="360" w:lineRule="auto"/>
        <w:ind w:leftChars="0"/>
        <w:outlineLvl w:val="0"/>
        <w:rPr>
          <w:rFonts w:hint="eastAsia" w:ascii="宋体" w:hAnsi="宋体" w:eastAsia="宋体" w:cs="宋体"/>
          <w:b/>
          <w:sz w:val="30"/>
          <w:szCs w:val="30"/>
        </w:rPr>
      </w:pPr>
      <w:bookmarkStart w:id="10" w:name="_Toc5852"/>
      <w:r>
        <w:rPr>
          <w:rFonts w:hint="eastAsia" w:ascii="宋体" w:hAnsi="宋体" w:eastAsia="宋体" w:cs="宋体"/>
          <w:b/>
          <w:sz w:val="30"/>
          <w:szCs w:val="30"/>
          <w:lang w:val="en-US" w:eastAsia="zh-CN"/>
        </w:rPr>
        <w:t xml:space="preserve">5 </w:t>
      </w:r>
      <w:r>
        <w:rPr>
          <w:rFonts w:hint="eastAsia" w:ascii="宋体" w:hAnsi="宋体" w:eastAsia="宋体" w:cs="宋体"/>
          <w:b/>
          <w:sz w:val="30"/>
          <w:szCs w:val="30"/>
        </w:rPr>
        <w:t>设备的供货范围要求</w:t>
      </w:r>
      <w:bookmarkEnd w:id="10"/>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rPr>
              <w:t>手持式</w:t>
            </w:r>
            <w:r>
              <w:rPr>
                <w:rFonts w:hint="eastAsia" w:ascii="宋体" w:hAnsi="宋体" w:eastAsia="宋体" w:cs="宋体"/>
                <w:sz w:val="28"/>
                <w:szCs w:val="28"/>
                <w:lang w:val="en-US" w:eastAsia="zh-CN"/>
              </w:rPr>
              <w:t>合金分析</w:t>
            </w:r>
            <w:r>
              <w:rPr>
                <w:rFonts w:hint="eastAsia" w:ascii="宋体" w:hAnsi="宋体" w:eastAsia="宋体" w:cs="宋体"/>
                <w:sz w:val="28"/>
                <w:szCs w:val="28"/>
              </w:rPr>
              <w:t>仪</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rPr>
              <w:t>防水手提箱</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rPr>
              <w:t>锂离子电池</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rPr>
              <w:t>用户手册及快速入门指南</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rPr>
              <w:t>迷你USB线</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rPr>
              <w:t>分析仪安全腕带</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595"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rPr>
              <w:t>窗口保护膜</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10</w:t>
            </w:r>
            <w:r>
              <w:rPr>
                <w:rFonts w:hint="eastAsia" w:ascii="宋体" w:hAnsi="宋体" w:eastAsia="宋体" w:cs="宋体"/>
                <w:sz w:val="28"/>
                <w:szCs w:val="28"/>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3595"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rPr>
              <w:t>PC软件（U盘）</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w:t>
            </w:r>
          </w:p>
        </w:tc>
        <w:tc>
          <w:tcPr>
            <w:tcW w:w="3595"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rPr>
              <w:t>充电底座</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个</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1" w:name="_Toc22926"/>
      <w:bookmarkStart w:id="12" w:name="_Toc28845"/>
      <w:bookmarkStart w:id="13" w:name="_Toc12038"/>
      <w:bookmarkStart w:id="14" w:name="_Toc6348"/>
      <w:bookmarkStart w:id="15" w:name="_Toc10357"/>
      <w:bookmarkStart w:id="16" w:name="_Toc9120"/>
      <w:r>
        <w:rPr>
          <w:rFonts w:hint="default" w:ascii="Times New Roman" w:hAnsi="Times New Roman" w:eastAsia="宋体" w:cs="Times New Roman"/>
          <w:b/>
          <w:kern w:val="2"/>
          <w:sz w:val="30"/>
          <w:szCs w:val="30"/>
          <w:lang w:val="en-US" w:eastAsia="zh-CN" w:bidi="ar-SA"/>
        </w:rPr>
        <w:t>6 包装、运输和贮存</w:t>
      </w:r>
      <w:bookmarkEnd w:id="11"/>
      <w:bookmarkEnd w:id="12"/>
      <w:bookmarkEnd w:id="13"/>
      <w:bookmarkEnd w:id="14"/>
      <w:bookmarkEnd w:id="15"/>
      <w:bookmarkEnd w:id="16"/>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7" w:name="_Toc31053"/>
      <w:bookmarkStart w:id="18" w:name="_Toc23336"/>
      <w:bookmarkStart w:id="19" w:name="_Toc19111"/>
      <w:bookmarkStart w:id="20" w:name="_Toc18597"/>
      <w:bookmarkStart w:id="21" w:name="_Toc11534"/>
      <w:bookmarkStart w:id="22" w:name="_Toc16264"/>
      <w:bookmarkStart w:id="23" w:name="_Toc13911"/>
      <w:r>
        <w:rPr>
          <w:rFonts w:hint="default" w:ascii="Times New Roman" w:hAnsi="Times New Roman" w:eastAsia="宋体" w:cs="Times New Roman"/>
          <w:b/>
          <w:bCs w:val="0"/>
          <w:kern w:val="2"/>
          <w:sz w:val="30"/>
          <w:szCs w:val="30"/>
          <w:lang w:val="en-US" w:eastAsia="zh-CN" w:bidi="ar-SA"/>
        </w:rPr>
        <w:t>7 售后服务和技术培训</w:t>
      </w:r>
      <w:bookmarkStart w:id="24" w:name="_Toc390088690"/>
      <w:r>
        <w:rPr>
          <w:rFonts w:hint="default" w:ascii="Times New Roman" w:hAnsi="Times New Roman" w:eastAsia="宋体" w:cs="Times New Roman"/>
          <w:b/>
          <w:bCs w:val="0"/>
          <w:kern w:val="2"/>
          <w:sz w:val="30"/>
          <w:szCs w:val="30"/>
          <w:lang w:val="en-US" w:eastAsia="zh-CN" w:bidi="ar-SA"/>
        </w:rPr>
        <w:t>要求</w:t>
      </w:r>
      <w:bookmarkEnd w:id="17"/>
      <w:bookmarkEnd w:id="18"/>
      <w:bookmarkEnd w:id="19"/>
      <w:bookmarkEnd w:id="20"/>
      <w:bookmarkEnd w:id="21"/>
      <w:bookmarkEnd w:id="22"/>
      <w:bookmarkEnd w:id="23"/>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5" w:name="_Toc3099"/>
      <w:bookmarkStart w:id="26" w:name="_Toc18435"/>
      <w:bookmarkStart w:id="27" w:name="_Toc31014"/>
      <w:bookmarkStart w:id="28" w:name="_Toc16249"/>
      <w:bookmarkStart w:id="29" w:name="_Toc18060"/>
      <w:bookmarkStart w:id="30" w:name="_Toc29029"/>
      <w:bookmarkStart w:id="31" w:name="_Toc4634"/>
      <w:r>
        <w:rPr>
          <w:rFonts w:hint="default" w:ascii="Times New Roman" w:hAnsi="Times New Roman" w:eastAsia="宋体" w:cs="Times New Roman"/>
          <w:b/>
          <w:bCs/>
          <w:sz w:val="28"/>
          <w:szCs w:val="28"/>
          <w:lang w:val="en-US" w:eastAsia="zh-CN"/>
        </w:rPr>
        <w:t>7.1 售后服务</w:t>
      </w:r>
      <w:bookmarkEnd w:id="24"/>
      <w:bookmarkEnd w:id="25"/>
      <w:bookmarkEnd w:id="26"/>
      <w:bookmarkEnd w:id="27"/>
      <w:bookmarkEnd w:id="28"/>
      <w:bookmarkEnd w:id="29"/>
      <w:bookmarkEnd w:id="30"/>
      <w:bookmarkEnd w:id="31"/>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2" w:name="OLE_LINK17"/>
      <w:r>
        <w:rPr>
          <w:rFonts w:hint="default" w:ascii="Times New Roman" w:hAnsi="Times New Roman" w:cs="Times New Roman"/>
          <w:sz w:val="28"/>
          <w:szCs w:val="28"/>
        </w:rPr>
        <w:t>投标方应保证系统投运之日起提供</w:t>
      </w:r>
      <w:bookmarkEnd w:id="32"/>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3"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4" w:name="_Toc17905"/>
      <w:bookmarkStart w:id="35" w:name="_Toc6783"/>
      <w:bookmarkStart w:id="36" w:name="_Toc4614"/>
      <w:bookmarkStart w:id="37" w:name="_Toc5683"/>
      <w:bookmarkStart w:id="38" w:name="_Toc430"/>
      <w:bookmarkStart w:id="39" w:name="_Toc12501"/>
      <w:bookmarkStart w:id="40" w:name="_Toc17997"/>
      <w:bookmarkStart w:id="41" w:name="OLE_LINK22"/>
      <w:r>
        <w:rPr>
          <w:rFonts w:hint="default" w:ascii="Times New Roman" w:hAnsi="Times New Roman" w:eastAsia="宋体" w:cs="Times New Roman"/>
          <w:b/>
          <w:bCs/>
          <w:sz w:val="28"/>
          <w:szCs w:val="28"/>
          <w:lang w:val="en-US" w:eastAsia="zh-CN"/>
        </w:rPr>
        <w:t>7.2 技术培训</w:t>
      </w:r>
      <w:bookmarkEnd w:id="33"/>
      <w:bookmarkEnd w:id="34"/>
      <w:bookmarkEnd w:id="35"/>
      <w:bookmarkEnd w:id="36"/>
      <w:bookmarkEnd w:id="37"/>
      <w:bookmarkEnd w:id="38"/>
      <w:bookmarkEnd w:id="39"/>
      <w:bookmarkEnd w:id="40"/>
    </w:p>
    <w:bookmarkEnd w:id="41"/>
    <w:p>
      <w:pPr>
        <w:pStyle w:val="28"/>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28"/>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2" w:name="OLE_LINK16"/>
      <w:r>
        <w:rPr>
          <w:rFonts w:hint="default" w:ascii="Times New Roman" w:hAnsi="Times New Roman" w:eastAsia="宋体" w:cs="Times New Roman"/>
          <w:sz w:val="28"/>
          <w:szCs w:val="28"/>
        </w:rPr>
        <w:t>不少于</w:t>
      </w:r>
      <w:bookmarkEnd w:id="42"/>
      <w:r>
        <w:rPr>
          <w:rFonts w:hint="default" w:ascii="Times New Roman" w:hAnsi="Times New Roman" w:eastAsia="宋体" w:cs="Times New Roman"/>
          <w:sz w:val="28"/>
          <w:szCs w:val="28"/>
        </w:rPr>
        <w:t>3天。其中，理论培训1天；实操不少于2天。</w:t>
      </w:r>
    </w:p>
    <w:p>
      <w:pPr>
        <w:pStyle w:val="28"/>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28"/>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3"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3"/>
    </w:p>
    <w:p>
      <w:pPr>
        <w:pStyle w:val="28"/>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28"/>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4" w:name="_Toc10568"/>
      <w:bookmarkStart w:id="45" w:name="_Toc2928"/>
      <w:bookmarkStart w:id="46" w:name="_Toc25839"/>
      <w:bookmarkStart w:id="47" w:name="_Toc26867"/>
      <w:bookmarkStart w:id="48" w:name="_Toc7428"/>
      <w:bookmarkStart w:id="49" w:name="_Toc3624"/>
      <w:bookmarkStart w:id="50" w:name="_Toc2483"/>
      <w:r>
        <w:rPr>
          <w:rFonts w:hint="default" w:ascii="Times New Roman" w:hAnsi="Times New Roman" w:eastAsia="宋体" w:cs="Times New Roman"/>
          <w:b/>
          <w:bCs w:val="0"/>
          <w:kern w:val="2"/>
          <w:sz w:val="30"/>
          <w:szCs w:val="30"/>
          <w:lang w:val="en-US" w:eastAsia="zh-CN" w:bidi="ar-SA"/>
        </w:rPr>
        <w:t>8 验收</w:t>
      </w:r>
      <w:bookmarkStart w:id="51" w:name="_Toc390088694"/>
      <w:bookmarkStart w:id="52" w:name="_Toc387612874"/>
      <w:bookmarkStart w:id="53" w:name="_Toc291690060"/>
      <w:r>
        <w:rPr>
          <w:rFonts w:hint="default" w:ascii="Times New Roman" w:hAnsi="Times New Roman" w:eastAsia="宋体" w:cs="Times New Roman"/>
          <w:b/>
          <w:bCs w:val="0"/>
          <w:kern w:val="2"/>
          <w:sz w:val="30"/>
          <w:szCs w:val="30"/>
          <w:lang w:val="en-US" w:eastAsia="zh-CN" w:bidi="ar-SA"/>
        </w:rPr>
        <w:t>要求</w:t>
      </w:r>
      <w:bookmarkEnd w:id="44"/>
      <w:bookmarkEnd w:id="45"/>
      <w:bookmarkEnd w:id="46"/>
      <w:bookmarkEnd w:id="47"/>
      <w:bookmarkEnd w:id="48"/>
      <w:bookmarkEnd w:id="49"/>
      <w:bookmarkEnd w:id="50"/>
    </w:p>
    <w:bookmarkEnd w:id="51"/>
    <w:bookmarkEnd w:id="52"/>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4" w:name="_Toc341535612"/>
      <w:bookmarkStart w:id="55" w:name="_Toc387612875"/>
      <w:bookmarkStart w:id="56" w:name="_Toc257812191"/>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7" w:name="_Toc19273"/>
      <w:bookmarkStart w:id="58" w:name="_Toc22741"/>
      <w:bookmarkStart w:id="59" w:name="_Toc23903"/>
      <w:bookmarkStart w:id="60" w:name="_Toc27907"/>
      <w:bookmarkStart w:id="61" w:name="_Toc16533"/>
      <w:bookmarkStart w:id="62" w:name="_Toc7867"/>
      <w:bookmarkStart w:id="63" w:name="_Toc15411"/>
      <w:bookmarkStart w:id="64" w:name="OLE_LINK21"/>
      <w:r>
        <w:rPr>
          <w:rFonts w:hint="default" w:ascii="Times New Roman" w:hAnsi="Times New Roman" w:eastAsia="宋体" w:cs="Times New Roman"/>
          <w:b/>
          <w:bCs/>
          <w:kern w:val="0"/>
          <w:sz w:val="28"/>
          <w:szCs w:val="28"/>
          <w:lang w:val="en-US" w:eastAsia="zh-CN" w:bidi="ar-SA"/>
        </w:rPr>
        <w:t>8.1 到货验收</w:t>
      </w:r>
      <w:bookmarkEnd w:id="54"/>
      <w:bookmarkEnd w:id="55"/>
      <w:bookmarkEnd w:id="56"/>
      <w:bookmarkEnd w:id="57"/>
      <w:bookmarkEnd w:id="58"/>
      <w:bookmarkEnd w:id="59"/>
      <w:bookmarkEnd w:id="60"/>
      <w:bookmarkEnd w:id="61"/>
      <w:bookmarkEnd w:id="62"/>
      <w:bookmarkEnd w:id="63"/>
    </w:p>
    <w:bookmarkEnd w:id="64"/>
    <w:p>
      <w:pPr>
        <w:pStyle w:val="28"/>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5" w:name="_Toc387612876"/>
      <w:bookmarkStart w:id="66" w:name="_Toc341535616"/>
      <w:bookmarkStart w:id="67" w:name="_Toc25781219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8" w:name="_Toc22068"/>
      <w:bookmarkStart w:id="69" w:name="_Toc9650"/>
      <w:bookmarkStart w:id="70" w:name="_Toc17828"/>
      <w:bookmarkStart w:id="71" w:name="_Toc5236"/>
      <w:bookmarkStart w:id="72" w:name="_Toc1461"/>
      <w:bookmarkStart w:id="73" w:name="_Toc15384"/>
      <w:bookmarkStart w:id="74" w:name="_Toc6284"/>
      <w:r>
        <w:rPr>
          <w:rFonts w:hint="default" w:ascii="Times New Roman" w:hAnsi="Times New Roman" w:eastAsia="宋体" w:cs="Times New Roman"/>
          <w:b/>
          <w:bCs/>
          <w:kern w:val="0"/>
          <w:sz w:val="28"/>
          <w:szCs w:val="28"/>
          <w:lang w:val="en-US" w:eastAsia="zh-CN" w:bidi="ar-SA"/>
        </w:rPr>
        <w:t>8.2 现场验收</w:t>
      </w:r>
      <w:bookmarkEnd w:id="65"/>
      <w:bookmarkEnd w:id="66"/>
      <w:bookmarkEnd w:id="67"/>
      <w:bookmarkEnd w:id="68"/>
      <w:bookmarkEnd w:id="69"/>
      <w:bookmarkEnd w:id="70"/>
      <w:bookmarkEnd w:id="71"/>
      <w:bookmarkEnd w:id="72"/>
      <w:bookmarkEnd w:id="73"/>
      <w:bookmarkEnd w:id="74"/>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3"/>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变电专业手持式合金分析仪技术规范书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B85A8C"/>
    <w:rsid w:val="06C83369"/>
    <w:rsid w:val="06F74250"/>
    <w:rsid w:val="06FC1FE4"/>
    <w:rsid w:val="073440CA"/>
    <w:rsid w:val="083B22E9"/>
    <w:rsid w:val="0AA06A69"/>
    <w:rsid w:val="0B1D612C"/>
    <w:rsid w:val="0B9E7B3E"/>
    <w:rsid w:val="0BAC324C"/>
    <w:rsid w:val="0BBD0B5D"/>
    <w:rsid w:val="0D043293"/>
    <w:rsid w:val="0D09760B"/>
    <w:rsid w:val="0DF84B27"/>
    <w:rsid w:val="0E4C7BE5"/>
    <w:rsid w:val="117656A1"/>
    <w:rsid w:val="11C76314"/>
    <w:rsid w:val="11F81621"/>
    <w:rsid w:val="121A5772"/>
    <w:rsid w:val="122703EF"/>
    <w:rsid w:val="129375E2"/>
    <w:rsid w:val="1364719A"/>
    <w:rsid w:val="13A0311A"/>
    <w:rsid w:val="14AE74C4"/>
    <w:rsid w:val="152A59B2"/>
    <w:rsid w:val="157E633F"/>
    <w:rsid w:val="17247B54"/>
    <w:rsid w:val="17E9578A"/>
    <w:rsid w:val="196A1CCC"/>
    <w:rsid w:val="1A050DE8"/>
    <w:rsid w:val="1B5F7121"/>
    <w:rsid w:val="1E476C31"/>
    <w:rsid w:val="206C32B1"/>
    <w:rsid w:val="20A85646"/>
    <w:rsid w:val="22783F62"/>
    <w:rsid w:val="22F56ECA"/>
    <w:rsid w:val="23846F1A"/>
    <w:rsid w:val="25A115C9"/>
    <w:rsid w:val="26301520"/>
    <w:rsid w:val="264B09E7"/>
    <w:rsid w:val="27BB513C"/>
    <w:rsid w:val="292B071C"/>
    <w:rsid w:val="2B084A39"/>
    <w:rsid w:val="2D5F3BEA"/>
    <w:rsid w:val="2DAD1295"/>
    <w:rsid w:val="2F82055E"/>
    <w:rsid w:val="3015100B"/>
    <w:rsid w:val="32B02F4F"/>
    <w:rsid w:val="32ED7EDB"/>
    <w:rsid w:val="33515420"/>
    <w:rsid w:val="3459654B"/>
    <w:rsid w:val="35E67CC2"/>
    <w:rsid w:val="35EA73E3"/>
    <w:rsid w:val="37130BEA"/>
    <w:rsid w:val="39463B04"/>
    <w:rsid w:val="397E1DFD"/>
    <w:rsid w:val="398B33E3"/>
    <w:rsid w:val="3B007723"/>
    <w:rsid w:val="3B3E176C"/>
    <w:rsid w:val="3EB65EA7"/>
    <w:rsid w:val="3F306184"/>
    <w:rsid w:val="407946F1"/>
    <w:rsid w:val="4592285F"/>
    <w:rsid w:val="45FA704D"/>
    <w:rsid w:val="461061B1"/>
    <w:rsid w:val="46122A69"/>
    <w:rsid w:val="48935017"/>
    <w:rsid w:val="49A73E15"/>
    <w:rsid w:val="4C2C0CD0"/>
    <w:rsid w:val="4C6B6707"/>
    <w:rsid w:val="4CC534FF"/>
    <w:rsid w:val="4CF47715"/>
    <w:rsid w:val="4D442103"/>
    <w:rsid w:val="4D605863"/>
    <w:rsid w:val="4DE24485"/>
    <w:rsid w:val="517D38BF"/>
    <w:rsid w:val="52840399"/>
    <w:rsid w:val="52873053"/>
    <w:rsid w:val="53176A9C"/>
    <w:rsid w:val="53F40CBE"/>
    <w:rsid w:val="542A117B"/>
    <w:rsid w:val="546F3F6B"/>
    <w:rsid w:val="54F112A5"/>
    <w:rsid w:val="559336C4"/>
    <w:rsid w:val="56DD1F1C"/>
    <w:rsid w:val="585B5B7A"/>
    <w:rsid w:val="595744CF"/>
    <w:rsid w:val="5CDD10BF"/>
    <w:rsid w:val="5E052881"/>
    <w:rsid w:val="5F273CAC"/>
    <w:rsid w:val="5F5027A2"/>
    <w:rsid w:val="61877856"/>
    <w:rsid w:val="6249287A"/>
    <w:rsid w:val="64C90076"/>
    <w:rsid w:val="65F60B40"/>
    <w:rsid w:val="66042581"/>
    <w:rsid w:val="677E43FB"/>
    <w:rsid w:val="6A0D0A67"/>
    <w:rsid w:val="6A163E39"/>
    <w:rsid w:val="6A2E5D2C"/>
    <w:rsid w:val="6C4B4ADF"/>
    <w:rsid w:val="6C63752A"/>
    <w:rsid w:val="6D4579BF"/>
    <w:rsid w:val="6D7935F9"/>
    <w:rsid w:val="6E06478D"/>
    <w:rsid w:val="6E322ED1"/>
    <w:rsid w:val="6FDC2C9B"/>
    <w:rsid w:val="7015325F"/>
    <w:rsid w:val="704E5A4D"/>
    <w:rsid w:val="70E84D98"/>
    <w:rsid w:val="71E21A2C"/>
    <w:rsid w:val="738D6525"/>
    <w:rsid w:val="753B3644"/>
    <w:rsid w:val="755358DC"/>
    <w:rsid w:val="75A504A5"/>
    <w:rsid w:val="76C635C6"/>
    <w:rsid w:val="77790D29"/>
    <w:rsid w:val="792225E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6">
    <w:name w:val="Document Map"/>
    <w:basedOn w:val="1"/>
    <w:semiHidden/>
    <w:qFormat/>
    <w:uiPriority w:val="0"/>
    <w:pPr>
      <w:shd w:val="clear" w:color="auto" w:fill="000080"/>
    </w:pPr>
  </w:style>
  <w:style w:type="paragraph" w:styleId="7">
    <w:name w:val="Body Text Indent"/>
    <w:basedOn w:val="1"/>
    <w:qFormat/>
    <w:uiPriority w:val="0"/>
    <w:pPr>
      <w:spacing w:line="360" w:lineRule="auto"/>
      <w:ind w:firstLine="480" w:firstLineChars="200"/>
    </w:pPr>
    <w:rPr>
      <w:sz w:val="24"/>
    </w:rPr>
  </w:style>
  <w:style w:type="paragraph" w:styleId="8">
    <w:name w:val="Date"/>
    <w:basedOn w:val="1"/>
    <w:next w:val="1"/>
    <w:link w:val="17"/>
    <w:qFormat/>
    <w:uiPriority w:val="0"/>
    <w:pPr>
      <w:ind w:left="100" w:leftChars="25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Normal (Web)"/>
    <w:basedOn w:val="1"/>
    <w:qFormat/>
    <w:uiPriority w:val="0"/>
    <w:pPr>
      <w:spacing w:before="100" w:beforeAutospacing="1" w:after="100"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character" w:styleId="16">
    <w:name w:val="Emphasis"/>
    <w:qFormat/>
    <w:uiPriority w:val="20"/>
    <w:rPr>
      <w:i/>
      <w:iCs/>
    </w:rPr>
  </w:style>
  <w:style w:type="character" w:customStyle="1" w:styleId="17">
    <w:name w:val="日期 Char"/>
    <w:link w:val="8"/>
    <w:qFormat/>
    <w:uiPriority w:val="0"/>
    <w:rPr>
      <w:kern w:val="2"/>
      <w:sz w:val="21"/>
    </w:rPr>
  </w:style>
  <w:style w:type="character" w:customStyle="1" w:styleId="18">
    <w:name w:val="mark"/>
    <w:basedOn w:val="14"/>
    <w:qFormat/>
    <w:uiPriority w:val="0"/>
  </w:style>
  <w:style w:type="paragraph" w:customStyle="1" w:styleId="19">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0">
    <w:name w:val="Char Char Char Char"/>
    <w:basedOn w:val="1"/>
    <w:qFormat/>
    <w:uiPriority w:val="0"/>
  </w:style>
  <w:style w:type="paragraph" w:customStyle="1" w:styleId="21">
    <w:name w:val="Char Char Char Char Char Char"/>
    <w:basedOn w:val="6"/>
    <w:qFormat/>
    <w:uiPriority w:val="0"/>
    <w:rPr>
      <w:rFonts w:ascii="Tahoma" w:hAnsi="Tahoma"/>
      <w:sz w:val="24"/>
      <w:szCs w:val="24"/>
    </w:rPr>
  </w:style>
  <w:style w:type="paragraph" w:styleId="22">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3">
    <w:name w:val="msolistparagraph"/>
    <w:basedOn w:val="1"/>
    <w:qFormat/>
    <w:uiPriority w:val="0"/>
    <w:pPr>
      <w:spacing w:line="360" w:lineRule="auto"/>
      <w:ind w:firstLine="420" w:firstLineChars="200"/>
    </w:pPr>
    <w:rPr>
      <w:rFonts w:ascii="Calibri" w:hAnsi="Calibri" w:cs="Calibri"/>
      <w:szCs w:val="21"/>
    </w:rPr>
  </w:style>
  <w:style w:type="paragraph" w:customStyle="1" w:styleId="2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5">
    <w:name w:val="样式 标题 2"/>
    <w:basedOn w:val="5"/>
    <w:qFormat/>
    <w:uiPriority w:val="0"/>
    <w:rPr>
      <w:b w:val="0"/>
    </w:rPr>
  </w:style>
  <w:style w:type="paragraph" w:customStyle="1" w:styleId="26">
    <w:name w:val="样式1"/>
    <w:basedOn w:val="1"/>
    <w:qFormat/>
    <w:uiPriority w:val="0"/>
    <w:pPr>
      <w:numPr>
        <w:ilvl w:val="2"/>
        <w:numId w:val="1"/>
      </w:numPr>
      <w:tabs>
        <w:tab w:val="left" w:pos="570"/>
      </w:tabs>
      <w:spacing w:line="360" w:lineRule="auto"/>
    </w:pPr>
    <w:rPr>
      <w:rFonts w:ascii="宋体"/>
      <w:sz w:val="24"/>
    </w:rPr>
  </w:style>
  <w:style w:type="paragraph" w:customStyle="1" w:styleId="27">
    <w:name w:val="Char"/>
    <w:basedOn w:val="1"/>
    <w:qFormat/>
    <w:uiPriority w:val="0"/>
    <w:pPr>
      <w:widowControl/>
      <w:spacing w:line="348" w:lineRule="auto"/>
      <w:ind w:firstLine="560" w:firstLineChars="200"/>
    </w:pPr>
    <w:rPr>
      <w:rFonts w:eastAsia="仿宋_GB2312"/>
      <w:sz w:val="28"/>
    </w:rPr>
  </w:style>
  <w:style w:type="paragraph" w:customStyle="1" w:styleId="28">
    <w:name w:val="p0"/>
    <w:basedOn w:val="1"/>
    <w:qFormat/>
    <w:uiPriority w:val="0"/>
    <w:pPr>
      <w:widowControl/>
      <w:jc w:val="left"/>
    </w:pPr>
    <w:rPr>
      <w:rFonts w:ascii="Calibri" w:hAnsi="Calibri" w:eastAsia="Arial Unicode MS"/>
      <w:kern w:val="0"/>
      <w:szCs w:val="20"/>
    </w:rPr>
  </w:style>
  <w:style w:type="paragraph" w:customStyle="1" w:styleId="29">
    <w:name w:val="WPSOffice手动目录 1"/>
    <w:uiPriority w:val="0"/>
    <w:pPr>
      <w:ind w:leftChars="0"/>
    </w:pPr>
    <w:rPr>
      <w:sz w:val="20"/>
      <w:szCs w:val="20"/>
    </w:rPr>
  </w:style>
  <w:style w:type="paragraph" w:customStyle="1" w:styleId="30">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1672</Words>
  <Characters>1828</Characters>
  <Lines>16</Lines>
  <Paragraphs>4</Paragraphs>
  <TotalTime>0</TotalTime>
  <ScaleCrop>false</ScaleCrop>
  <LinksUpToDate>false</LinksUpToDate>
  <CharactersWithSpaces>1875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2025-07-23T02:45:02Z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