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ascii="宋体" w:hAnsi="宋体"/>
        </w:rPr>
      </w:pPr>
      <w:r>
        <w:rPr>
          <w:rFonts w:hint="eastAsia" w:ascii="宋体" w:hAnsi="宋体"/>
        </w:rPr>
        <w:drawing>
          <wp:anchor distT="0" distB="0" distL="114300" distR="114300" simplePos="0" relativeHeight="251660288" behindDoc="0" locked="0" layoutInCell="1" allowOverlap="1">
            <wp:simplePos x="0" y="0"/>
            <wp:positionH relativeFrom="column">
              <wp:posOffset>-1466850</wp:posOffset>
            </wp:positionH>
            <wp:positionV relativeFrom="paragraph">
              <wp:posOffset>-1080135</wp:posOffset>
            </wp:positionV>
            <wp:extent cx="8915400" cy="2736850"/>
            <wp:effectExtent l="19050" t="0" r="0" b="0"/>
            <wp:wrapNone/>
            <wp:docPr id="2" name="图片 2"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模板-3"/>
                    <pic:cNvPicPr>
                      <a:picLocks noChangeAspect="1" noChangeArrowheads="1"/>
                    </pic:cNvPicPr>
                  </pic:nvPicPr>
                  <pic:blipFill>
                    <a:blip r:embed="rId6"/>
                    <a:srcRect/>
                    <a:stretch>
                      <a:fillRect/>
                    </a:stretch>
                  </pic:blipFill>
                  <pic:spPr>
                    <a:xfrm>
                      <a:off x="0" y="0"/>
                      <a:ext cx="8915400" cy="2736850"/>
                    </a:xfrm>
                    <a:prstGeom prst="rect">
                      <a:avLst/>
                    </a:prstGeom>
                    <a:noFill/>
                    <a:ln w="9525" cmpd="sng">
                      <a:noFill/>
                      <a:miter lim="800000"/>
                      <a:headEnd/>
                      <a:tailEnd/>
                    </a:ln>
                  </pic:spPr>
                </pic:pic>
              </a:graphicData>
            </a:graphic>
          </wp:anchor>
        </w:drawing>
      </w: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spacing w:line="360" w:lineRule="auto"/>
        <w:jc w:val="center"/>
        <w:rPr>
          <w:rFonts w:hint="default" w:ascii="Times New Roman" w:hAnsi="Times New Roman" w:eastAsia="黑体" w:cs="Times New Roman"/>
          <w:b/>
          <w:bCs/>
          <w:sz w:val="56"/>
          <w:szCs w:val="56"/>
          <w:lang w:val="en-US" w:eastAsia="zh-CN"/>
        </w:rPr>
      </w:pPr>
      <w:r>
        <w:rPr>
          <w:rFonts w:hint="default" w:ascii="Times New Roman" w:hAnsi="Times New Roman" w:eastAsia="黑体" w:cs="Times New Roman"/>
          <w:b/>
          <w:bCs/>
          <w:sz w:val="56"/>
          <w:szCs w:val="56"/>
          <w:lang w:val="en-US" w:eastAsia="zh-CN"/>
        </w:rPr>
        <w:t>变电专业SF6定性检漏仪</w:t>
      </w:r>
    </w:p>
    <w:p>
      <w:pPr>
        <w:spacing w:line="360" w:lineRule="auto"/>
        <w:jc w:val="center"/>
        <w:rPr>
          <w:rFonts w:ascii="微软雅黑" w:hAnsi="微软雅黑" w:eastAsia="微软雅黑"/>
          <w:b/>
          <w:sz w:val="36"/>
          <w:szCs w:val="36"/>
        </w:rPr>
      </w:pPr>
      <w:r>
        <w:rPr>
          <w:rFonts w:hint="default" w:ascii="Times New Roman" w:hAnsi="Times New Roman" w:eastAsia="黑体" w:cs="Times New Roman"/>
          <w:b/>
          <w:bCs/>
          <w:sz w:val="56"/>
          <w:szCs w:val="56"/>
        </w:rPr>
        <w:t>技术规范书</w:t>
      </w: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sz w:val="32"/>
          <w:szCs w:val="32"/>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sz w:val="36"/>
          <w:szCs w:val="36"/>
        </w:rPr>
      </w:pPr>
      <w:r>
        <w:rPr>
          <w:rFonts w:hint="default" w:ascii="Times New Roman" w:hAnsi="Times New Roman" w:eastAsia="黑体" w:cs="Times New Roman"/>
          <w:sz w:val="32"/>
          <w:szCs w:val="32"/>
        </w:rPr>
        <w:t>海南电网有限责任公司</w:t>
      </w:r>
    </w:p>
    <w:p>
      <w:pPr>
        <w:spacing w:line="360" w:lineRule="auto"/>
        <w:jc w:val="center"/>
        <w:rPr>
          <w:rFonts w:ascii="微软雅黑" w:hAnsi="微软雅黑" w:eastAsia="微软雅黑"/>
          <w:b/>
          <w:sz w:val="32"/>
          <w:szCs w:val="32"/>
        </w:rPr>
      </w:pPr>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val="en-US" w:eastAsia="zh-CN"/>
        </w:rPr>
        <w:t>O二五</w:t>
      </w:r>
      <w:r>
        <w:rPr>
          <w:rFonts w:hint="default" w:ascii="Times New Roman" w:hAnsi="Times New Roman" w:eastAsia="黑体" w:cs="Times New Roman"/>
          <w:sz w:val="32"/>
          <w:szCs w:val="32"/>
        </w:rPr>
        <w:t>年</w:t>
      </w: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月</w:t>
      </w:r>
    </w:p>
    <w:p>
      <w:pPr>
        <w:spacing w:line="360" w:lineRule="auto"/>
        <w:jc w:val="center"/>
        <w:rPr>
          <w:rFonts w:ascii="微软雅黑" w:hAnsi="微软雅黑" w:eastAsia="微软雅黑"/>
          <w:b/>
          <w:sz w:val="32"/>
          <w:szCs w:val="32"/>
        </w:rPr>
      </w:pPr>
    </w:p>
    <w:p>
      <w:pPr>
        <w:spacing w:before="0" w:beforeLines="0" w:after="0" w:afterLines="0" w:line="240" w:lineRule="auto"/>
        <w:ind w:left="0" w:leftChars="0" w:right="0" w:rightChars="0" w:firstLine="0" w:firstLineChars="0"/>
        <w:jc w:val="center"/>
        <w:rPr>
          <w:rFonts w:ascii="宋体" w:hAnsi="宋体" w:eastAsia="宋体" w:cs="Times New Roman"/>
          <w:kern w:val="2"/>
          <w:sz w:val="21"/>
          <w:lang w:val="en-US" w:eastAsia="zh-CN" w:bidi="ar-SA"/>
        </w:rPr>
        <w:sectPr>
          <w:headerReference r:id="rId3" w:type="default"/>
          <w:pgSz w:w="12240" w:h="15840"/>
          <w:pgMar w:top="1440" w:right="1797" w:bottom="1440" w:left="1797" w:header="720" w:footer="720" w:gutter="0"/>
          <w:cols w:space="720" w:num="1"/>
          <w:docGrid w:linePitch="286" w:charSpace="0"/>
        </w:sectPr>
      </w:pPr>
    </w:p>
    <w:sdt>
      <w:sdtPr>
        <w:rPr>
          <w:rFonts w:ascii="宋体" w:hAnsi="宋体" w:eastAsia="宋体" w:cs="Times New Roman"/>
          <w:kern w:val="2"/>
          <w:sz w:val="21"/>
          <w:lang w:val="en-US" w:eastAsia="zh-CN" w:bidi="ar-SA"/>
        </w:rPr>
        <w:id w:val="147464223"/>
        <w15:color w:val="DBDBDB"/>
        <w:docPartObj>
          <w:docPartGallery w:val="Table of Contents"/>
          <w:docPartUnique/>
        </w:docPartObj>
      </w:sdtPr>
      <w:sdtEndPr>
        <w:rPr>
          <w:rFonts w:hint="eastAsia" w:ascii="宋体" w:hAnsi="宋体" w:eastAsia="宋体" w:cs="宋体"/>
          <w:b/>
          <w:kern w:val="2"/>
          <w:sz w:val="21"/>
          <w:szCs w:val="30"/>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sz w:val="36"/>
              <w:szCs w:val="36"/>
            </w:rPr>
          </w:pPr>
          <w:bookmarkStart w:id="67" w:name="_GoBack"/>
          <w:bookmarkEnd w:id="67"/>
          <w:r>
            <w:rPr>
              <w:rFonts w:ascii="宋体" w:hAnsi="宋体" w:eastAsia="宋体"/>
              <w:sz w:val="36"/>
              <w:szCs w:val="36"/>
            </w:rPr>
            <w:t>目</w:t>
          </w:r>
          <w:r>
            <w:rPr>
              <w:rFonts w:hint="eastAsia" w:ascii="宋体" w:hAnsi="宋体" w:eastAsia="宋体"/>
              <w:sz w:val="36"/>
              <w:szCs w:val="36"/>
              <w:lang w:val="en-US" w:eastAsia="zh-CN"/>
            </w:rPr>
            <w:t xml:space="preserve">   </w:t>
          </w:r>
          <w:r>
            <w:rPr>
              <w:rFonts w:ascii="宋体" w:hAnsi="宋体" w:eastAsia="宋体"/>
              <w:sz w:val="36"/>
              <w:szCs w:val="36"/>
            </w:rPr>
            <w:t>录</w:t>
          </w:r>
        </w:p>
        <w:p>
          <w:pPr>
            <w:pStyle w:val="2"/>
          </w:pP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TOC \o "1-2" \h \u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_Toc21351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 xml:space="preserve">1 </w:t>
          </w:r>
          <w:r>
            <w:rPr>
              <w:rFonts w:hint="eastAsia" w:ascii="宋体" w:hAnsi="宋体" w:eastAsia="宋体" w:cs="宋体"/>
              <w:b w:val="0"/>
              <w:bCs/>
              <w:sz w:val="28"/>
              <w:szCs w:val="28"/>
            </w:rPr>
            <w:t>总则</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_Toc21351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2</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_Toc27104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2 引用标准</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_Toc27104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2</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_Toc1912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3 工作使用条件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_Toc1912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_Toc27797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4 设备功能及技术要求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_Toc27797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6"/>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_Toc8382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rPr>
            <w:t>4.1功能要求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_Toc8382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6"/>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_Toc16949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rPr>
            <w:t>4.2 技术指标要求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_Toc16949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4</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_Toc10923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5 设备的供货范围要求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_Toc10923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4</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_Toc13993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6 包装、运输和贮存</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_Toc13993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_Toc32443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7 售后服务和技术培训要求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_Toc32443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6"/>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_Toc28113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7.1 售后服务</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_Toc28113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6"/>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_Toc26718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7.2 技术培训</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_Toc26718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_Toc2111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8 验收要求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_Toc2111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6"/>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_Toc1329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0"/>
              <w:sz w:val="28"/>
              <w:szCs w:val="28"/>
              <w:lang w:val="en-US" w:eastAsia="zh-CN" w:bidi="ar-SA"/>
            </w:rPr>
            <w:t>8.1 到货验收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_Toc1329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6"/>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_Toc5901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0"/>
              <w:sz w:val="28"/>
              <w:szCs w:val="28"/>
              <w:lang w:val="en-US" w:eastAsia="zh-CN" w:bidi="ar-SA"/>
            </w:rPr>
            <w:t>8.2 现场验收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_Toc5901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numPr>
              <w:numId w:val="0"/>
            </w:numPr>
            <w:spacing w:line="360" w:lineRule="auto"/>
            <w:ind w:leftChars="0"/>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fldChar w:fldCharType="end"/>
          </w: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sz w:val="30"/>
              <w:szCs w:val="30"/>
              <w:lang w:val="en-US" w:eastAsia="zh-CN"/>
            </w:rPr>
          </w:pPr>
        </w:p>
      </w:sdtContent>
    </w:sdt>
    <w:p>
      <w:pPr>
        <w:numPr>
          <w:numId w:val="0"/>
        </w:numPr>
        <w:spacing w:line="360" w:lineRule="auto"/>
        <w:ind w:leftChars="0"/>
        <w:outlineLvl w:val="0"/>
        <w:rPr>
          <w:rFonts w:hint="eastAsia" w:ascii="宋体" w:hAnsi="宋体" w:eastAsia="宋体" w:cs="宋体"/>
          <w:b/>
          <w:sz w:val="30"/>
          <w:szCs w:val="30"/>
        </w:rPr>
      </w:pPr>
      <w:bookmarkStart w:id="0" w:name="_Toc21351"/>
      <w:r>
        <w:rPr>
          <w:rFonts w:hint="eastAsia" w:ascii="宋体" w:hAnsi="宋体" w:eastAsia="宋体" w:cs="宋体"/>
          <w:b/>
          <w:sz w:val="30"/>
          <w:szCs w:val="30"/>
          <w:lang w:val="en-US" w:eastAsia="zh-CN"/>
        </w:rPr>
        <w:t xml:space="preserve">1 </w:t>
      </w:r>
      <w:r>
        <w:rPr>
          <w:rFonts w:hint="eastAsia" w:ascii="宋体" w:hAnsi="宋体" w:eastAsia="宋体" w:cs="宋体"/>
          <w:b/>
          <w:sz w:val="30"/>
          <w:szCs w:val="30"/>
        </w:rPr>
        <w:t>总则</w:t>
      </w:r>
      <w:bookmarkEnd w:id="0"/>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1.1 </w:t>
      </w:r>
      <w:r>
        <w:rPr>
          <w:rFonts w:hint="eastAsia" w:ascii="宋体" w:hAnsi="宋体" w:eastAsia="宋体" w:cs="宋体"/>
          <w:sz w:val="28"/>
          <w:szCs w:val="28"/>
        </w:rPr>
        <w:t>本规范书适用SF6定性检漏仪的招标，它提出设备的功能、结构、性能、安装和试验等方面的技术要求。</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1.2 </w:t>
      </w:r>
      <w:r>
        <w:rPr>
          <w:rFonts w:hint="eastAsia" w:ascii="宋体" w:hAnsi="宋体" w:eastAsia="宋体" w:cs="宋体"/>
          <w:sz w:val="28"/>
          <w:szCs w:val="28"/>
        </w:rPr>
        <w:t>招标方在本规范书中提出了设备所应满足的主要功能要求和基本性能指标，且为最低限度，并未罗列所有的技术要求和适用标准，投标方应提供一套既满足本规范书和所列标准要求、又符合相关国际和行业标准的高质量产品，并提供相应服务。对国家有关安全、环保等强制性标准，必须满足其要求。</w:t>
      </w:r>
    </w:p>
    <w:p>
      <w:pPr>
        <w:spacing w:line="360" w:lineRule="auto"/>
        <w:rPr>
          <w:rFonts w:hint="eastAsia" w:ascii="宋体" w:hAnsi="宋体" w:eastAsia="宋体" w:cs="宋体"/>
          <w:sz w:val="28"/>
          <w:szCs w:val="28"/>
        </w:rPr>
      </w:pPr>
      <w:r>
        <w:rPr>
          <w:rFonts w:hint="eastAsia" w:ascii="宋体" w:hAnsi="宋体" w:eastAsia="宋体" w:cs="宋体"/>
          <w:sz w:val="28"/>
          <w:szCs w:val="28"/>
          <w:highlight w:val="none"/>
          <w:lang w:val="en-US" w:eastAsia="zh-CN"/>
        </w:rPr>
        <w:t xml:space="preserve">1.3 </w:t>
      </w:r>
      <w:r>
        <w:rPr>
          <w:rFonts w:hint="eastAsia" w:ascii="宋体" w:hAnsi="宋体" w:eastAsia="宋体" w:cs="宋体"/>
          <w:sz w:val="28"/>
          <w:szCs w:val="28"/>
          <w:highlight w:val="none"/>
        </w:rPr>
        <w:t>投标方必须对本招标文件的每一款作出明确答复，并写出具体技术数据和指标，否则视该条回答无效</w:t>
      </w:r>
      <w:r>
        <w:rPr>
          <w:rFonts w:hint="eastAsia" w:ascii="宋体" w:hAnsi="宋体" w:eastAsia="宋体" w:cs="宋体"/>
          <w:sz w:val="28"/>
          <w:szCs w:val="28"/>
        </w:rPr>
        <w:t>。如未对本规范书提出偏差，将认为投标方同意提供的设备符合规范书和标准的要求。偏差（无论多少）都必须清楚地表示在投标文件中的“偏差表”中。</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1.4 </w:t>
      </w:r>
      <w:r>
        <w:rPr>
          <w:rFonts w:hint="eastAsia" w:ascii="宋体" w:hAnsi="宋体" w:eastAsia="宋体" w:cs="宋体"/>
          <w:sz w:val="28"/>
          <w:szCs w:val="28"/>
        </w:rPr>
        <w:t>投标方须执行招标书技术部分所列标准，有矛盾时，按较高标准执行。</w:t>
      </w: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1" w:name="_Toc27104"/>
      <w:r>
        <w:rPr>
          <w:rFonts w:hint="eastAsia" w:ascii="宋体" w:hAnsi="宋体" w:eastAsia="宋体" w:cs="宋体"/>
          <w:b/>
          <w:sz w:val="30"/>
          <w:szCs w:val="30"/>
          <w:lang w:val="en-US" w:eastAsia="zh-CN"/>
        </w:rPr>
        <w:t>2 引用标准</w:t>
      </w:r>
      <w:bookmarkEnd w:id="1"/>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除本规范书特殊规定外，投标方所提供的设备均应按下列标准和规定进行设计、制造、检验和安装。所用的标准必须是最新版本的标准。如果这些标准内容矛盾时，应按最高标准的条款执行或按双方商定的标准执行。如果投标方选用标书规定以外的标准时，需提交与这种替换标准相当的或优于标书规定标准的证明。</w:t>
      </w:r>
      <w:r>
        <w:rPr>
          <w:rFonts w:hint="eastAsia" w:ascii="宋体" w:hAnsi="宋体" w:cs="宋体"/>
          <w:sz w:val="28"/>
          <w:szCs w:val="28"/>
          <w:lang w:val="en-US" w:eastAsia="zh-CN"/>
        </w:rPr>
        <w:t>主要引用</w:t>
      </w:r>
      <w:r>
        <w:rPr>
          <w:rFonts w:hint="eastAsia" w:ascii="宋体" w:hAnsi="宋体" w:eastAsia="宋体" w:cs="宋体"/>
          <w:sz w:val="28"/>
          <w:szCs w:val="28"/>
        </w:rPr>
        <w:t>标准</w:t>
      </w:r>
      <w:r>
        <w:rPr>
          <w:rFonts w:hint="eastAsia" w:ascii="宋体" w:hAnsi="宋体" w:cs="宋体"/>
          <w:sz w:val="28"/>
          <w:szCs w:val="28"/>
          <w:lang w:val="en-US" w:eastAsia="zh-CN"/>
        </w:rPr>
        <w:t>如下：</w:t>
      </w:r>
    </w:p>
    <w:p>
      <w:pPr>
        <w:pStyle w:val="32"/>
        <w:spacing w:line="360" w:lineRule="auto"/>
        <w:ind w:left="0" w:leftChars="0" w:firstLine="560" w:firstLineChars="20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Q/CSG 1206007-2017  电力设备检修试验规程</w:t>
      </w:r>
    </w:p>
    <w:p>
      <w:pPr>
        <w:pStyle w:val="32"/>
        <w:spacing w:line="360" w:lineRule="auto"/>
        <w:ind w:left="0" w:leftChars="0" w:firstLine="560" w:firstLineChars="20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GB 4793  电子测量仪器安全要求</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GB/T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6587.8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电子测量仪器电源频率与电压试验</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GB/T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6593  电子测量仪器质量检验规则</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GB/T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11463</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电子测量仪器可靠性试验</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GB/T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2423.8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电工电子产品基本环境试验规程</w:t>
      </w: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2" w:name="_Toc1912"/>
      <w:r>
        <w:rPr>
          <w:rFonts w:hint="eastAsia" w:ascii="宋体" w:hAnsi="宋体" w:eastAsia="宋体" w:cs="宋体"/>
          <w:b/>
          <w:sz w:val="30"/>
          <w:szCs w:val="30"/>
          <w:lang w:val="en-US" w:eastAsia="zh-CN"/>
        </w:rPr>
        <w:t>3 工作使用条件</w:t>
      </w:r>
      <w:bookmarkEnd w:id="2"/>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环境</w:t>
      </w:r>
      <w:r>
        <w:rPr>
          <w:rFonts w:hint="eastAsia" w:ascii="宋体" w:hAnsi="宋体" w:eastAsia="宋体" w:cs="宋体"/>
          <w:sz w:val="28"/>
          <w:szCs w:val="28"/>
          <w:lang w:val="en-US" w:eastAsia="zh-CN"/>
        </w:rPr>
        <w:t>温度：-25℃～40℃</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环境湿度：≤90% RH</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使用地点：室</w:t>
      </w:r>
      <w:r>
        <w:rPr>
          <w:rFonts w:hint="eastAsia" w:ascii="宋体" w:hAnsi="宋体" w:eastAsia="宋体" w:cs="宋体"/>
          <w:sz w:val="28"/>
          <w:szCs w:val="28"/>
          <w:lang w:val="en-US" w:eastAsia="zh-CN"/>
        </w:rPr>
        <w:t>内外</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海拔高度</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3</w:t>
      </w:r>
      <w:r>
        <w:rPr>
          <w:rFonts w:hint="eastAsia" w:ascii="宋体" w:hAnsi="宋体" w:eastAsia="宋体" w:cs="宋体"/>
          <w:sz w:val="28"/>
          <w:szCs w:val="28"/>
        </w:rPr>
        <w:t>000米以下</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最大日温差</w:t>
      </w:r>
      <w:r>
        <w:rPr>
          <w:rFonts w:hint="eastAsia" w:ascii="宋体" w:hAnsi="宋体" w:eastAsia="宋体" w:cs="宋体"/>
          <w:sz w:val="28"/>
          <w:szCs w:val="28"/>
          <w:lang w:eastAsia="zh-CN"/>
        </w:rPr>
        <w:t>：</w:t>
      </w:r>
      <w:r>
        <w:rPr>
          <w:rFonts w:hint="eastAsia" w:ascii="宋体" w:hAnsi="宋体" w:eastAsia="宋体" w:cs="宋体"/>
          <w:sz w:val="28"/>
          <w:szCs w:val="28"/>
        </w:rPr>
        <w:t>30℃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工作电源：AC</w:t>
      </w:r>
      <w:r>
        <w:rPr>
          <w:rFonts w:hint="eastAsia" w:ascii="宋体" w:hAnsi="宋体" w:eastAsia="宋体" w:cs="宋体"/>
          <w:sz w:val="28"/>
          <w:szCs w:val="28"/>
          <w:lang w:val="en-US" w:eastAsia="zh-CN"/>
        </w:rPr>
        <w:t>22</w:t>
      </w:r>
      <w:r>
        <w:rPr>
          <w:rFonts w:hint="eastAsia" w:ascii="宋体" w:hAnsi="宋体" w:eastAsia="宋体" w:cs="宋体"/>
          <w:sz w:val="28"/>
          <w:szCs w:val="28"/>
        </w:rPr>
        <w:t>0V±10%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电源频率：(50±1)Hz</w:t>
      </w: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3" w:name="_Toc27797"/>
      <w:r>
        <w:rPr>
          <w:rFonts w:hint="eastAsia" w:ascii="宋体" w:hAnsi="宋体" w:eastAsia="宋体" w:cs="宋体"/>
          <w:b/>
          <w:sz w:val="30"/>
          <w:szCs w:val="30"/>
          <w:lang w:val="en-US" w:eastAsia="zh-CN"/>
        </w:rPr>
        <w:t>4 设备功能及技术要求</w:t>
      </w:r>
      <w:bookmarkEnd w:id="3"/>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以下规定了本次所需采购的技术要求。投标方所提出的任何替代指标应不低于本技术规范书的要求。</w:t>
      </w:r>
    </w:p>
    <w:p>
      <w:pPr>
        <w:tabs>
          <w:tab w:val="left" w:pos="1125"/>
          <w:tab w:val="left" w:pos="3960"/>
        </w:tabs>
        <w:spacing w:line="360" w:lineRule="auto"/>
        <w:outlineLvl w:val="1"/>
        <w:rPr>
          <w:rFonts w:hint="eastAsia" w:ascii="宋体" w:hAnsi="宋体" w:eastAsia="宋体" w:cs="宋体"/>
          <w:sz w:val="28"/>
          <w:szCs w:val="28"/>
        </w:rPr>
      </w:pPr>
      <w:bookmarkStart w:id="4" w:name="_Toc8382"/>
      <w:r>
        <w:rPr>
          <w:rFonts w:hint="eastAsia" w:ascii="宋体" w:hAnsi="宋体" w:eastAsia="宋体" w:cs="宋体"/>
          <w:b/>
          <w:sz w:val="28"/>
          <w:szCs w:val="28"/>
        </w:rPr>
        <w:t>4.1功能要求</w:t>
      </w:r>
      <w:bookmarkEnd w:id="4"/>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bookmarkStart w:id="5" w:name="_Toc200511818"/>
      <w:bookmarkStart w:id="6" w:name="_Toc167008908"/>
      <w:bookmarkStart w:id="7" w:name="_Toc4556"/>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w:t>
      </w:r>
      <w:r>
        <w:rPr>
          <w:rFonts w:hint="eastAsia" w:ascii="宋体" w:hAnsi="宋体" w:eastAsia="宋体" w:cs="宋体"/>
          <w:sz w:val="28"/>
          <w:szCs w:val="28"/>
        </w:rPr>
        <w:t>适合现场携带</w:t>
      </w:r>
      <w:r>
        <w:rPr>
          <w:rFonts w:hint="eastAsia" w:ascii="宋体" w:hAnsi="宋体" w:eastAsia="宋体" w:cs="宋体"/>
          <w:sz w:val="28"/>
          <w:szCs w:val="28"/>
          <w:lang w:val="en-US" w:eastAsia="zh-CN"/>
        </w:rPr>
        <w:t>手持式，</w:t>
      </w:r>
      <w:r>
        <w:rPr>
          <w:rFonts w:hint="eastAsia" w:ascii="宋体" w:hAnsi="宋体" w:eastAsia="宋体" w:cs="宋体"/>
          <w:sz w:val="28"/>
          <w:szCs w:val="28"/>
        </w:rPr>
        <w:t>体积小，重量轻</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灵敏准确度高</w:t>
      </w:r>
      <w:r>
        <w:rPr>
          <w:rFonts w:hint="eastAsia" w:ascii="宋体" w:hAnsi="宋体" w:eastAsia="宋体" w:cs="宋体"/>
          <w:kern w:val="0"/>
          <w:sz w:val="28"/>
          <w:szCs w:val="28"/>
        </w:rPr>
        <w:t>，抗污染、抗干扰</w:t>
      </w:r>
      <w:r>
        <w:rPr>
          <w:rFonts w:hint="eastAsia" w:ascii="宋体" w:hAnsi="宋体" w:eastAsia="宋体" w:cs="宋体"/>
          <w:sz w:val="28"/>
          <w:szCs w:val="28"/>
        </w:rPr>
        <w:t>能够检测到微小的SF6气体泄漏</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kern w:val="0"/>
          <w:sz w:val="28"/>
          <w:szCs w:val="28"/>
          <w:lang w:eastAsia="zh-CN"/>
        </w:rPr>
        <w:t>（</w:t>
      </w:r>
      <w:r>
        <w:rPr>
          <w:rFonts w:hint="eastAsia" w:ascii="宋体" w:hAnsi="宋体" w:eastAsia="宋体" w:cs="宋体"/>
          <w:kern w:val="0"/>
          <w:sz w:val="28"/>
          <w:szCs w:val="28"/>
          <w:lang w:val="en-US" w:eastAsia="zh-CN"/>
        </w:rPr>
        <w:t>2</w:t>
      </w:r>
      <w:r>
        <w:rPr>
          <w:rFonts w:hint="eastAsia" w:ascii="宋体" w:hAnsi="宋体" w:eastAsia="宋体" w:cs="宋体"/>
          <w:kern w:val="0"/>
          <w:sz w:val="28"/>
          <w:szCs w:val="28"/>
          <w:lang w:eastAsia="zh-CN"/>
        </w:rPr>
        <w:t>）</w:t>
      </w:r>
      <w:r>
        <w:rPr>
          <w:rFonts w:hint="eastAsia" w:ascii="宋体" w:hAnsi="宋体" w:eastAsia="宋体" w:cs="宋体"/>
          <w:kern w:val="0"/>
          <w:sz w:val="28"/>
          <w:szCs w:val="28"/>
        </w:rPr>
        <w:t>响应速度快</w:t>
      </w:r>
      <w:r>
        <w:rPr>
          <w:rFonts w:hint="eastAsia" w:ascii="宋体" w:hAnsi="宋体" w:eastAsia="宋体" w:cs="宋体"/>
          <w:sz w:val="28"/>
          <w:szCs w:val="28"/>
          <w:lang w:val="en-US" w:eastAsia="zh-CN"/>
        </w:rPr>
        <w:t>,</w:t>
      </w:r>
      <w:r>
        <w:rPr>
          <w:rFonts w:hint="eastAsia" w:ascii="宋体" w:hAnsi="宋体" w:eastAsia="宋体" w:cs="宋体"/>
          <w:sz w:val="28"/>
          <w:szCs w:val="28"/>
        </w:rPr>
        <w:t>预热时间短</w:t>
      </w:r>
      <w:r>
        <w:rPr>
          <w:rFonts w:hint="eastAsia" w:ascii="宋体" w:hAnsi="宋体" w:eastAsia="宋体" w:cs="宋体"/>
          <w:sz w:val="28"/>
          <w:szCs w:val="28"/>
          <w:lang w:eastAsia="zh-CN"/>
        </w:rPr>
        <w:t>，</w:t>
      </w:r>
      <w:r>
        <w:rPr>
          <w:rFonts w:hint="eastAsia" w:ascii="宋体" w:hAnsi="宋体" w:eastAsia="宋体" w:cs="宋体"/>
          <w:sz w:val="28"/>
          <w:szCs w:val="28"/>
        </w:rPr>
        <w:t>有复位钮</w:t>
      </w:r>
      <w:r>
        <w:rPr>
          <w:rFonts w:hint="eastAsia" w:ascii="宋体" w:hAnsi="宋体" w:eastAsia="宋体" w:cs="宋体"/>
          <w:sz w:val="28"/>
          <w:szCs w:val="28"/>
          <w:lang w:eastAsia="zh-CN"/>
        </w:rPr>
        <w:t>，</w:t>
      </w:r>
      <w:r>
        <w:rPr>
          <w:rFonts w:hint="eastAsia" w:ascii="宋体" w:hAnsi="宋体" w:eastAsia="宋体" w:cs="宋体"/>
          <w:sz w:val="28"/>
          <w:szCs w:val="28"/>
        </w:rPr>
        <w:t>狭长柔性的不锈钢探头可以检测难接近区域</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有</w:t>
      </w:r>
      <w:r>
        <w:rPr>
          <w:rFonts w:hint="eastAsia" w:ascii="宋体" w:hAnsi="宋体" w:eastAsia="宋体" w:cs="宋体"/>
          <w:kern w:val="0"/>
          <w:sz w:val="28"/>
          <w:szCs w:val="28"/>
        </w:rPr>
        <w:t>三色目视</w:t>
      </w:r>
      <w:r>
        <w:rPr>
          <w:rFonts w:hint="eastAsia" w:ascii="宋体" w:hAnsi="宋体" w:eastAsia="宋体" w:cs="宋体"/>
          <w:sz w:val="28"/>
          <w:szCs w:val="28"/>
          <w:lang w:val="en-US" w:eastAsia="zh-CN"/>
        </w:rPr>
        <w:t>led显示，七档以上渐变声音报警功能。</w:t>
      </w:r>
    </w:p>
    <w:p>
      <w:pPr>
        <w:tabs>
          <w:tab w:val="left" w:pos="1125"/>
          <w:tab w:val="left" w:pos="3960"/>
        </w:tabs>
        <w:spacing w:line="360" w:lineRule="auto"/>
        <w:ind w:firstLine="560" w:firstLineChars="200"/>
        <w:rPr>
          <w:rFonts w:hint="eastAsia" w:ascii="宋体" w:hAnsi="宋体" w:eastAsia="宋体" w:cs="宋体"/>
          <w:kern w:val="0"/>
          <w:sz w:val="28"/>
          <w:szCs w:val="28"/>
          <w:lang w:eastAsia="zh-CN"/>
        </w:rPr>
      </w:pPr>
      <w:r>
        <w:rPr>
          <w:rFonts w:hint="eastAsia" w:ascii="宋体" w:hAnsi="宋体" w:eastAsia="宋体" w:cs="宋体"/>
          <w:kern w:val="0"/>
          <w:sz w:val="28"/>
          <w:szCs w:val="28"/>
          <w:lang w:eastAsia="zh-CN"/>
        </w:rPr>
        <w:t>（</w:t>
      </w:r>
      <w:r>
        <w:rPr>
          <w:rFonts w:hint="eastAsia" w:ascii="宋体" w:hAnsi="宋体" w:eastAsia="宋体" w:cs="宋体"/>
          <w:kern w:val="0"/>
          <w:sz w:val="28"/>
          <w:szCs w:val="28"/>
          <w:lang w:val="en-US" w:eastAsia="zh-CN"/>
        </w:rPr>
        <w:t>3</w:t>
      </w:r>
      <w:r>
        <w:rPr>
          <w:rFonts w:hint="eastAsia" w:ascii="宋体" w:hAnsi="宋体" w:eastAsia="宋体" w:cs="宋体"/>
          <w:kern w:val="0"/>
          <w:sz w:val="28"/>
          <w:szCs w:val="28"/>
          <w:lang w:eastAsia="zh-CN"/>
        </w:rPr>
        <w:t>）</w:t>
      </w:r>
      <w:r>
        <w:rPr>
          <w:rFonts w:hint="eastAsia" w:ascii="宋体" w:hAnsi="宋体" w:eastAsia="宋体" w:cs="宋体"/>
          <w:kern w:val="0"/>
          <w:sz w:val="28"/>
          <w:szCs w:val="28"/>
        </w:rPr>
        <w:t>电池电量实际电压显示，操作简单全智能化，重复性好</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w:t>
      </w:r>
      <w:r>
        <w:rPr>
          <w:rFonts w:hint="eastAsia" w:ascii="宋体" w:hAnsi="宋体" w:eastAsia="宋体" w:cs="宋体"/>
          <w:sz w:val="28"/>
          <w:szCs w:val="28"/>
        </w:rPr>
        <w:t>易于操作</w:t>
      </w:r>
      <w:r>
        <w:rPr>
          <w:rFonts w:hint="eastAsia" w:ascii="宋体" w:hAnsi="宋体" w:eastAsia="宋体" w:cs="宋体"/>
          <w:kern w:val="0"/>
          <w:sz w:val="28"/>
          <w:szCs w:val="28"/>
          <w:lang w:eastAsia="zh-CN"/>
        </w:rPr>
        <w:t>，</w:t>
      </w:r>
      <w:r>
        <w:rPr>
          <w:rFonts w:hint="eastAsia" w:ascii="宋体" w:hAnsi="宋体" w:eastAsia="宋体" w:cs="宋体"/>
          <w:sz w:val="28"/>
          <w:szCs w:val="28"/>
          <w:lang w:val="en-US" w:eastAsia="zh-CN"/>
        </w:rPr>
        <w:t>按键键盘，实现全部功能操作。</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5</w:t>
      </w:r>
      <w:r>
        <w:rPr>
          <w:rFonts w:hint="eastAsia" w:ascii="宋体" w:hAnsi="宋体" w:eastAsia="宋体" w:cs="宋体"/>
          <w:sz w:val="28"/>
          <w:szCs w:val="28"/>
          <w:lang w:eastAsia="zh-CN"/>
        </w:rPr>
        <w:t>）</w:t>
      </w:r>
      <w:r>
        <w:rPr>
          <w:rFonts w:hint="eastAsia" w:ascii="宋体" w:hAnsi="宋体" w:eastAsia="宋体" w:cs="宋体"/>
          <w:sz w:val="28"/>
          <w:szCs w:val="28"/>
        </w:rPr>
        <w:t>除了检测SF6气体外，还能检测其他类型的气体</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R134a、R12、R22、卤素制冷剂</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w:t>
      </w:r>
    </w:p>
    <w:p>
      <w:pPr>
        <w:pStyle w:val="5"/>
        <w:tabs>
          <w:tab w:val="clear" w:pos="3276"/>
        </w:tabs>
        <w:spacing w:beforeLines="50" w:afterLines="50" w:line="360" w:lineRule="auto"/>
        <w:ind w:left="0" w:firstLine="0"/>
        <w:rPr>
          <w:rFonts w:hint="eastAsia" w:ascii="宋体" w:hAnsi="宋体" w:eastAsia="宋体" w:cs="宋体"/>
          <w:sz w:val="28"/>
          <w:szCs w:val="28"/>
        </w:rPr>
      </w:pPr>
      <w:bookmarkStart w:id="8" w:name="_Toc16949"/>
      <w:r>
        <w:rPr>
          <w:rFonts w:hint="eastAsia" w:ascii="宋体" w:hAnsi="宋体" w:eastAsia="宋体" w:cs="宋体"/>
          <w:sz w:val="28"/>
          <w:szCs w:val="28"/>
        </w:rPr>
        <w:t>4.2 技术指标要求</w:t>
      </w:r>
      <w:bookmarkEnd w:id="5"/>
      <w:bookmarkEnd w:id="6"/>
      <w:bookmarkEnd w:id="7"/>
      <w:bookmarkEnd w:id="8"/>
    </w:p>
    <w:tbl>
      <w:tblPr>
        <w:tblStyle w:val="14"/>
        <w:tblW w:w="8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4"/>
        <w:gridCol w:w="6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4" w:type="dxa"/>
            <w:vAlign w:val="center"/>
          </w:tcPr>
          <w:p>
            <w:pPr>
              <w:spacing w:line="240" w:lineRule="auto"/>
              <w:jc w:val="center"/>
              <w:rPr>
                <w:rFonts w:hint="eastAsia" w:ascii="宋体" w:hAnsi="宋体" w:eastAsia="宋体" w:cs="宋体"/>
                <w:b/>
                <w:sz w:val="28"/>
                <w:szCs w:val="28"/>
              </w:rPr>
            </w:pPr>
            <w:r>
              <w:rPr>
                <w:rFonts w:hint="eastAsia" w:ascii="宋体" w:hAnsi="宋体" w:eastAsia="宋体" w:cs="宋体"/>
                <w:b/>
                <w:sz w:val="28"/>
                <w:szCs w:val="28"/>
                <w:lang w:eastAsia="zh-CN"/>
              </w:rPr>
              <w:t>名称</w:t>
            </w:r>
          </w:p>
        </w:tc>
        <w:tc>
          <w:tcPr>
            <w:tcW w:w="6299" w:type="dxa"/>
            <w:vAlign w:val="center"/>
          </w:tcPr>
          <w:p>
            <w:pPr>
              <w:spacing w:line="240" w:lineRule="auto"/>
              <w:jc w:val="center"/>
              <w:rPr>
                <w:rFonts w:hint="eastAsia" w:ascii="宋体" w:hAnsi="宋体" w:eastAsia="宋体" w:cs="宋体"/>
                <w:b/>
                <w:kern w:val="0"/>
                <w:sz w:val="28"/>
                <w:szCs w:val="28"/>
              </w:rPr>
            </w:pPr>
            <w:r>
              <w:rPr>
                <w:rFonts w:hint="eastAsia" w:ascii="宋体" w:hAnsi="宋体" w:eastAsia="宋体" w:cs="宋体"/>
                <w:b/>
                <w:sz w:val="28"/>
                <w:szCs w:val="28"/>
                <w:lang w:eastAsia="zh-CN"/>
              </w:rPr>
              <w:t>标准参数值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4" w:type="dxa"/>
            <w:vAlign w:val="center"/>
          </w:tcPr>
          <w:p>
            <w:pPr>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携带方式</w:t>
            </w:r>
          </w:p>
        </w:tc>
        <w:tc>
          <w:tcPr>
            <w:tcW w:w="6299" w:type="dxa"/>
            <w:vAlign w:val="center"/>
          </w:tcPr>
          <w:p>
            <w:pPr>
              <w:widowControl/>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便携式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4" w:type="dxa"/>
            <w:vAlign w:val="center"/>
          </w:tcPr>
          <w:p>
            <w:pPr>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检测频率</w:t>
            </w:r>
          </w:p>
        </w:tc>
        <w:tc>
          <w:tcPr>
            <w:tcW w:w="6299" w:type="dxa"/>
            <w:vAlign w:val="center"/>
          </w:tcPr>
          <w:p>
            <w:pPr>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达到2000次/秒，确保快速准确的检测。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2684" w:type="dxa"/>
            <w:vAlign w:val="center"/>
          </w:tcPr>
          <w:p>
            <w:pPr>
              <w:widowControl/>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工作温度</w:t>
            </w:r>
          </w:p>
        </w:tc>
        <w:tc>
          <w:tcPr>
            <w:tcW w:w="6299" w:type="dxa"/>
            <w:vAlign w:val="center"/>
          </w:tcPr>
          <w:p>
            <w:pPr>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0-52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4" w:type="dxa"/>
            <w:vAlign w:val="center"/>
          </w:tcPr>
          <w:p>
            <w:pPr>
              <w:widowControl/>
              <w:spacing w:line="240" w:lineRule="auto"/>
              <w:jc w:val="center"/>
              <w:rPr>
                <w:rFonts w:hint="eastAsia" w:ascii="宋体" w:hAnsi="宋体" w:eastAsia="宋体" w:cs="宋体"/>
                <w:kern w:val="0"/>
                <w:sz w:val="28"/>
                <w:szCs w:val="28"/>
              </w:rPr>
            </w:pPr>
            <w:r>
              <w:rPr>
                <w:rFonts w:hint="eastAsia" w:ascii="宋体" w:hAnsi="宋体" w:eastAsia="宋体" w:cs="宋体"/>
                <w:b w:val="0"/>
                <w:bCs w:val="0"/>
                <w:color w:val="auto"/>
                <w:sz w:val="28"/>
                <w:szCs w:val="28"/>
                <w:highlight w:val="none"/>
              </w:rPr>
              <w:t>工作方式</w:t>
            </w:r>
          </w:p>
        </w:tc>
        <w:tc>
          <w:tcPr>
            <w:tcW w:w="6299" w:type="dxa"/>
            <w:vAlign w:val="center"/>
          </w:tcPr>
          <w:p>
            <w:pPr>
              <w:spacing w:line="240" w:lineRule="auto"/>
              <w:jc w:val="center"/>
              <w:rPr>
                <w:rFonts w:hint="eastAsia" w:ascii="宋体" w:hAnsi="宋体" w:eastAsia="宋体" w:cs="宋体"/>
                <w:kern w:val="0"/>
                <w:sz w:val="28"/>
                <w:szCs w:val="28"/>
              </w:rPr>
            </w:pPr>
            <w:r>
              <w:rPr>
                <w:rFonts w:hint="eastAsia" w:ascii="宋体" w:hAnsi="宋体" w:eastAsia="宋体" w:cs="宋体"/>
                <w:color w:val="auto"/>
                <w:sz w:val="28"/>
                <w:szCs w:val="28"/>
                <w:highlight w:val="none"/>
              </w:rPr>
              <w:t>连续，无限制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4" w:type="dxa"/>
            <w:vAlign w:val="center"/>
          </w:tcPr>
          <w:p>
            <w:pPr>
              <w:widowControl/>
              <w:spacing w:line="240" w:lineRule="auto"/>
              <w:jc w:val="center"/>
              <w:rPr>
                <w:rFonts w:hint="eastAsia" w:ascii="宋体" w:hAnsi="宋体" w:eastAsia="宋体" w:cs="宋体"/>
                <w:sz w:val="28"/>
                <w:szCs w:val="28"/>
                <w:lang w:val="en-US" w:eastAsia="zh-CN"/>
              </w:rPr>
            </w:pPr>
            <w:r>
              <w:rPr>
                <w:rFonts w:hint="eastAsia" w:ascii="宋体" w:hAnsi="宋体" w:eastAsia="宋体" w:cs="宋体"/>
                <w:kern w:val="0"/>
                <w:sz w:val="28"/>
                <w:szCs w:val="28"/>
              </w:rPr>
              <w:t>最高</w:t>
            </w:r>
            <w:r>
              <w:rPr>
                <w:rFonts w:hint="eastAsia" w:ascii="宋体" w:hAnsi="宋体" w:eastAsia="宋体" w:cs="宋体"/>
                <w:sz w:val="28"/>
                <w:szCs w:val="28"/>
              </w:rPr>
              <w:t>灵敏度</w:t>
            </w:r>
          </w:p>
        </w:tc>
        <w:tc>
          <w:tcPr>
            <w:tcW w:w="6299" w:type="dxa"/>
            <w:vAlign w:val="center"/>
          </w:tcPr>
          <w:p>
            <w:pPr>
              <w:spacing w:line="240" w:lineRule="auto"/>
              <w:jc w:val="center"/>
              <w:rPr>
                <w:rFonts w:hint="eastAsia" w:ascii="宋体" w:hAnsi="宋体" w:eastAsia="宋体" w:cs="宋体"/>
                <w:sz w:val="28"/>
                <w:szCs w:val="28"/>
                <w:lang w:val="en-US" w:eastAsia="zh-CN"/>
              </w:rPr>
            </w:pPr>
            <w:r>
              <w:rPr>
                <w:rFonts w:hint="eastAsia" w:ascii="宋体" w:hAnsi="宋体" w:eastAsia="宋体" w:cs="宋体"/>
                <w:kern w:val="0"/>
                <w:sz w:val="28"/>
                <w:szCs w:val="28"/>
              </w:rPr>
              <w:t>R12、R22</w:t>
            </w:r>
            <w:r>
              <w:rPr>
                <w:rFonts w:hint="eastAsia" w:ascii="宋体" w:hAnsi="宋体" w:eastAsia="宋体" w:cs="宋体"/>
                <w:kern w:val="0"/>
                <w:sz w:val="28"/>
                <w:szCs w:val="28"/>
                <w:lang w:eastAsia="zh-CN"/>
              </w:rPr>
              <w:t>、</w:t>
            </w:r>
            <w:r>
              <w:rPr>
                <w:rFonts w:hint="eastAsia" w:ascii="宋体" w:hAnsi="宋体" w:eastAsia="宋体" w:cs="宋体"/>
                <w:kern w:val="0"/>
                <w:sz w:val="28"/>
                <w:szCs w:val="28"/>
              </w:rPr>
              <w:t>R134a</w:t>
            </w:r>
            <w:r>
              <w:rPr>
                <w:rFonts w:hint="eastAsia" w:ascii="宋体" w:hAnsi="宋体" w:eastAsia="宋体" w:cs="宋体"/>
                <w:kern w:val="0"/>
                <w:sz w:val="28"/>
                <w:szCs w:val="28"/>
                <w:lang w:eastAsia="zh-CN"/>
              </w:rPr>
              <w:t>（</w:t>
            </w:r>
            <w:r>
              <w:rPr>
                <w:rFonts w:hint="eastAsia" w:ascii="宋体" w:hAnsi="宋体" w:eastAsia="宋体" w:cs="宋体"/>
                <w:kern w:val="0"/>
                <w:sz w:val="28"/>
                <w:szCs w:val="28"/>
              </w:rPr>
              <w:t>14克/年</w:t>
            </w:r>
            <w:r>
              <w:rPr>
                <w:rFonts w:hint="eastAsia" w:ascii="宋体" w:hAnsi="宋体" w:eastAsia="宋体" w:cs="宋体"/>
                <w:kern w:val="0"/>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4" w:type="dxa"/>
            <w:vAlign w:val="center"/>
          </w:tcPr>
          <w:p>
            <w:pPr>
              <w:tabs>
                <w:tab w:val="left" w:pos="753"/>
              </w:tabs>
              <w:spacing w:line="240" w:lineRule="auto"/>
              <w:jc w:val="center"/>
              <w:rPr>
                <w:rFonts w:hint="eastAsia" w:ascii="宋体" w:hAnsi="宋体" w:eastAsia="宋体" w:cs="宋体"/>
                <w:sz w:val="28"/>
                <w:szCs w:val="28"/>
                <w:lang w:eastAsia="zh-CN"/>
              </w:rPr>
            </w:pPr>
            <w:r>
              <w:rPr>
                <w:rFonts w:hint="eastAsia" w:ascii="宋体" w:hAnsi="宋体" w:eastAsia="宋体" w:cs="宋体"/>
                <w:kern w:val="0"/>
                <w:sz w:val="28"/>
                <w:szCs w:val="28"/>
              </w:rPr>
              <w:t>极限灵敏度</w:t>
            </w:r>
          </w:p>
        </w:tc>
        <w:tc>
          <w:tcPr>
            <w:tcW w:w="6299" w:type="dxa"/>
            <w:vAlign w:val="center"/>
          </w:tcPr>
          <w:p>
            <w:pPr>
              <w:spacing w:line="240" w:lineRule="auto"/>
              <w:jc w:val="center"/>
              <w:rPr>
                <w:rFonts w:hint="eastAsia" w:ascii="宋体" w:hAnsi="宋体" w:eastAsia="宋体" w:cs="宋体"/>
                <w:sz w:val="28"/>
                <w:szCs w:val="28"/>
              </w:rPr>
            </w:pPr>
            <w:r>
              <w:rPr>
                <w:rFonts w:hint="eastAsia" w:ascii="宋体" w:hAnsi="宋体" w:eastAsia="宋体" w:cs="宋体"/>
                <w:kern w:val="0"/>
                <w:sz w:val="28"/>
                <w:szCs w:val="28"/>
              </w:rPr>
              <w:t>SF6及所有以卤素为基的制冷剂</w:t>
            </w:r>
            <w:r>
              <w:rPr>
                <w:rFonts w:hint="eastAsia" w:ascii="宋体" w:hAnsi="宋体" w:eastAsia="宋体" w:cs="宋体"/>
                <w:kern w:val="0"/>
                <w:sz w:val="28"/>
                <w:szCs w:val="28"/>
                <w:lang w:eastAsia="zh-CN"/>
              </w:rPr>
              <w:t>（</w:t>
            </w:r>
            <w:r>
              <w:rPr>
                <w:rFonts w:hint="eastAsia" w:ascii="宋体" w:hAnsi="宋体" w:eastAsia="宋体" w:cs="宋体"/>
                <w:kern w:val="0"/>
                <w:sz w:val="28"/>
                <w:szCs w:val="28"/>
              </w:rPr>
              <w:t>&lt;3克/年</w:t>
            </w:r>
            <w:r>
              <w:rPr>
                <w:rFonts w:hint="eastAsia" w:ascii="宋体" w:hAnsi="宋体" w:eastAsia="宋体" w:cs="宋体"/>
                <w:kern w:val="0"/>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4" w:type="dxa"/>
            <w:vAlign w:val="center"/>
          </w:tcPr>
          <w:p>
            <w:pPr>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重量</w:t>
            </w:r>
          </w:p>
        </w:tc>
        <w:tc>
          <w:tcPr>
            <w:tcW w:w="6299" w:type="dxa"/>
            <w:vAlign w:val="center"/>
          </w:tcPr>
          <w:p>
            <w:pPr>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560 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4" w:type="dxa"/>
            <w:vAlign w:val="center"/>
          </w:tcPr>
          <w:p>
            <w:pPr>
              <w:widowControl/>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响应时间</w:t>
            </w:r>
          </w:p>
        </w:tc>
        <w:tc>
          <w:tcPr>
            <w:tcW w:w="6299" w:type="dxa"/>
            <w:vAlign w:val="center"/>
          </w:tcPr>
          <w:p>
            <w:pPr>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瞬时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4" w:type="dxa"/>
            <w:vAlign w:val="center"/>
          </w:tcPr>
          <w:p>
            <w:pPr>
              <w:widowControl/>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预热时间</w:t>
            </w:r>
          </w:p>
        </w:tc>
        <w:tc>
          <w:tcPr>
            <w:tcW w:w="6299" w:type="dxa"/>
            <w:vAlign w:val="center"/>
          </w:tcPr>
          <w:p>
            <w:pPr>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约2秒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4" w:type="dxa"/>
            <w:vAlign w:val="center"/>
          </w:tcPr>
          <w:p>
            <w:pPr>
              <w:topLinePunct/>
              <w:snapToGrid w:val="0"/>
              <w:spacing w:before="79" w:beforeLines="25" w:after="79" w:afterLines="25"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复位时间</w:t>
            </w:r>
          </w:p>
        </w:tc>
        <w:tc>
          <w:tcPr>
            <w:tcW w:w="6299" w:type="dxa"/>
            <w:vAlign w:val="center"/>
          </w:tcPr>
          <w:p>
            <w:pPr>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1秒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4" w:type="dxa"/>
            <w:vAlign w:val="center"/>
          </w:tcPr>
          <w:p>
            <w:pPr>
              <w:topLinePunct/>
              <w:snapToGrid w:val="0"/>
              <w:spacing w:before="79" w:beforeLines="25" w:after="79" w:afterLines="25"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探头长度</w:t>
            </w:r>
          </w:p>
        </w:tc>
        <w:tc>
          <w:tcPr>
            <w:tcW w:w="6299" w:type="dxa"/>
            <w:vAlign w:val="center"/>
          </w:tcPr>
          <w:p>
            <w:pPr>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35.5cm</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(14英寸)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4" w:type="dxa"/>
            <w:vAlign w:val="center"/>
          </w:tcPr>
          <w:p>
            <w:pPr>
              <w:topLinePunct/>
              <w:snapToGrid w:val="0"/>
              <w:spacing w:before="79" w:beforeLines="25" w:after="79" w:afterLines="25" w:line="240" w:lineRule="auto"/>
              <w:jc w:val="center"/>
              <w:rPr>
                <w:rFonts w:hint="eastAsia" w:ascii="宋体" w:hAnsi="宋体" w:eastAsia="宋体" w:cs="宋体"/>
                <w:sz w:val="28"/>
                <w:szCs w:val="28"/>
              </w:rPr>
            </w:pPr>
            <w:r>
              <w:rPr>
                <w:rFonts w:hint="eastAsia" w:ascii="宋体" w:hAnsi="宋体" w:eastAsia="宋体" w:cs="宋体"/>
                <w:kern w:val="0"/>
                <w:sz w:val="28"/>
                <w:szCs w:val="28"/>
              </w:rPr>
              <w:t>电源</w:t>
            </w:r>
          </w:p>
        </w:tc>
        <w:tc>
          <w:tcPr>
            <w:tcW w:w="6299" w:type="dxa"/>
            <w:vAlign w:val="center"/>
          </w:tcPr>
          <w:p>
            <w:pPr>
              <w:spacing w:line="240" w:lineRule="auto"/>
              <w:jc w:val="center"/>
              <w:rPr>
                <w:rFonts w:hint="eastAsia" w:ascii="宋体" w:hAnsi="宋体" w:eastAsia="宋体" w:cs="宋体"/>
                <w:sz w:val="28"/>
                <w:szCs w:val="28"/>
                <w:lang w:val="en-US" w:eastAsia="zh-CN"/>
              </w:rPr>
            </w:pPr>
            <w:r>
              <w:rPr>
                <w:rFonts w:hint="eastAsia" w:ascii="宋体" w:hAnsi="宋体" w:eastAsia="宋体" w:cs="宋体"/>
                <w:kern w:val="0"/>
                <w:sz w:val="28"/>
                <w:szCs w:val="28"/>
              </w:rPr>
              <w:t>3V直流，两节C号碱性电池</w:t>
            </w:r>
            <w:r>
              <w:rPr>
                <w:rFonts w:hint="eastAsia" w:ascii="宋体" w:hAnsi="宋体" w:eastAsia="宋体" w:cs="宋体"/>
                <w:kern w:val="0"/>
                <w:sz w:val="28"/>
                <w:szCs w:val="28"/>
                <w:lang w:eastAsia="zh-CN"/>
              </w:rPr>
              <w:t>、</w:t>
            </w:r>
            <w:r>
              <w:rPr>
                <w:rFonts w:hint="eastAsia" w:ascii="宋体" w:hAnsi="宋体" w:eastAsia="宋体" w:cs="宋体"/>
                <w:kern w:val="0"/>
                <w:sz w:val="28"/>
                <w:szCs w:val="28"/>
                <w:lang w:val="en-US" w:eastAsia="zh-CN"/>
              </w:rPr>
              <w:t>充电</w:t>
            </w:r>
          </w:p>
        </w:tc>
      </w:tr>
    </w:tbl>
    <w:p>
      <w:pPr>
        <w:tabs>
          <w:tab w:val="left" w:pos="1125"/>
          <w:tab w:val="left" w:pos="3960"/>
        </w:tabs>
        <w:spacing w:line="360" w:lineRule="auto"/>
        <w:jc w:val="center"/>
        <w:rPr>
          <w:rFonts w:hint="eastAsia" w:ascii="宋体" w:hAnsi="宋体" w:eastAsia="宋体" w:cs="宋体"/>
          <w:sz w:val="28"/>
          <w:szCs w:val="28"/>
          <w:lang w:val="en-US" w:eastAsia="zh-CN"/>
        </w:rPr>
      </w:pP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9" w:name="_Toc10923"/>
      <w:r>
        <w:rPr>
          <w:rFonts w:hint="eastAsia" w:ascii="宋体" w:hAnsi="宋体" w:eastAsia="宋体" w:cs="宋体"/>
          <w:b/>
          <w:sz w:val="30"/>
          <w:szCs w:val="30"/>
          <w:lang w:val="en-US" w:eastAsia="zh-CN"/>
        </w:rPr>
        <w:t>5 设备的供货范围要求</w:t>
      </w:r>
      <w:bookmarkEnd w:id="9"/>
    </w:p>
    <w:p>
      <w:pPr>
        <w:tabs>
          <w:tab w:val="left" w:pos="900"/>
        </w:tabs>
        <w:spacing w:line="360" w:lineRule="auto"/>
        <w:ind w:firstLine="560" w:firstLineChars="200"/>
        <w:rPr>
          <w:rFonts w:hint="eastAsia" w:ascii="宋体" w:hAnsi="宋体" w:eastAsia="宋体" w:cs="宋体"/>
          <w:snapToGrid w:val="0"/>
          <w:sz w:val="28"/>
          <w:szCs w:val="28"/>
          <w:lang w:val="en-US" w:eastAsia="zh-CN"/>
        </w:rPr>
      </w:pPr>
      <w:r>
        <w:rPr>
          <w:rFonts w:hint="eastAsia" w:ascii="宋体" w:hAnsi="宋体" w:eastAsia="宋体" w:cs="宋体"/>
          <w:snapToGrid w:val="0"/>
          <w:sz w:val="28"/>
          <w:szCs w:val="28"/>
        </w:rPr>
        <w:t>单套供货清单</w:t>
      </w:r>
      <w:r>
        <w:rPr>
          <w:rFonts w:hint="eastAsia" w:ascii="宋体" w:hAnsi="宋体" w:eastAsia="宋体" w:cs="宋体"/>
          <w:snapToGrid w:val="0"/>
          <w:sz w:val="28"/>
          <w:szCs w:val="28"/>
          <w:lang w:val="en-US" w:eastAsia="zh-CN"/>
        </w:rPr>
        <w:t>如下：</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3733"/>
        <w:gridCol w:w="1715"/>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3"/>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序号</w:t>
            </w:r>
          </w:p>
        </w:tc>
        <w:tc>
          <w:tcPr>
            <w:tcW w:w="3733" w:type="dxa"/>
            <w:vAlign w:val="center"/>
          </w:tcPr>
          <w:p>
            <w:pPr>
              <w:pStyle w:val="23"/>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供货设备</w:t>
            </w:r>
          </w:p>
        </w:tc>
        <w:tc>
          <w:tcPr>
            <w:tcW w:w="1715" w:type="dxa"/>
            <w:vAlign w:val="center"/>
          </w:tcPr>
          <w:p>
            <w:pPr>
              <w:pStyle w:val="23"/>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型号</w:t>
            </w:r>
          </w:p>
        </w:tc>
        <w:tc>
          <w:tcPr>
            <w:tcW w:w="2214" w:type="dxa"/>
            <w:vAlign w:val="center"/>
          </w:tcPr>
          <w:p>
            <w:pPr>
              <w:pStyle w:val="23"/>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3"/>
              <w:widowControl w:val="0"/>
              <w:suppressAutoHyphens/>
              <w:spacing w:line="240" w:lineRule="auto"/>
              <w:jc w:val="center"/>
              <w:rPr>
                <w:rFonts w:hint="eastAsia" w:ascii="宋体" w:hAnsi="宋体" w:eastAsia="宋体" w:cs="宋体"/>
                <w:sz w:val="28"/>
                <w:szCs w:val="28"/>
              </w:rPr>
            </w:pPr>
            <w:r>
              <w:rPr>
                <w:rFonts w:hint="eastAsia" w:ascii="宋体" w:hAnsi="宋体" w:eastAsia="宋体" w:cs="宋体"/>
                <w:sz w:val="28"/>
                <w:szCs w:val="28"/>
              </w:rPr>
              <w:t>1</w:t>
            </w:r>
          </w:p>
        </w:tc>
        <w:tc>
          <w:tcPr>
            <w:tcW w:w="3733" w:type="dxa"/>
            <w:vAlign w:val="center"/>
          </w:tcPr>
          <w:p>
            <w:pPr>
              <w:shd w:val="clear" w:color="auto" w:fill="auto"/>
              <w:topLinePunct/>
              <w:snapToGrid w:val="0"/>
              <w:spacing w:before="62" w:beforeLines="20" w:after="62" w:afterLines="20" w:line="240" w:lineRule="auto"/>
              <w:ind w:firstLine="0" w:firstLineChars="0"/>
              <w:jc w:val="center"/>
              <w:rPr>
                <w:rFonts w:hint="eastAsia" w:ascii="宋体" w:hAnsi="宋体" w:eastAsia="宋体" w:cs="宋体"/>
                <w:kern w:val="1"/>
                <w:sz w:val="28"/>
                <w:szCs w:val="28"/>
                <w:lang w:val="en-US" w:eastAsia="zh-CN" w:bidi="ar-SA"/>
              </w:rPr>
            </w:pPr>
            <w:r>
              <w:rPr>
                <w:rFonts w:hint="eastAsia" w:ascii="宋体" w:hAnsi="宋体" w:eastAsia="宋体" w:cs="宋体"/>
                <w:color w:val="auto"/>
                <w:sz w:val="28"/>
                <w:szCs w:val="28"/>
                <w:highlight w:val="none"/>
              </w:rPr>
              <w:t>SF6定性检漏仪</w:t>
            </w:r>
          </w:p>
        </w:tc>
        <w:tc>
          <w:tcPr>
            <w:tcW w:w="1715"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shd w:val="clear" w:color="auto" w:fill="auto"/>
              <w:topLinePunct/>
              <w:snapToGrid w:val="0"/>
              <w:spacing w:before="62" w:beforeLines="20" w:after="62" w:afterLines="20" w:line="240" w:lineRule="auto"/>
              <w:ind w:firstLine="0" w:firstLineChars="0"/>
              <w:jc w:val="center"/>
              <w:rPr>
                <w:rFonts w:hint="eastAsia" w:ascii="宋体" w:hAnsi="宋体" w:eastAsia="宋体" w:cs="宋体"/>
                <w:kern w:val="1"/>
                <w:sz w:val="28"/>
                <w:szCs w:val="28"/>
                <w:lang w:val="en-US" w:eastAsia="zh-CN" w:bidi="ar-SA"/>
              </w:rPr>
            </w:pP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3"/>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w:t>
            </w:r>
          </w:p>
        </w:tc>
        <w:tc>
          <w:tcPr>
            <w:tcW w:w="3733" w:type="dxa"/>
            <w:vAlign w:val="center"/>
          </w:tcPr>
          <w:p>
            <w:pPr>
              <w:shd w:val="clear" w:color="auto" w:fill="auto"/>
              <w:topLinePunct/>
              <w:snapToGrid w:val="0"/>
              <w:spacing w:before="62" w:beforeLines="20" w:after="62" w:afterLines="20" w:line="240" w:lineRule="auto"/>
              <w:ind w:firstLine="0" w:firstLineChars="0"/>
              <w:jc w:val="center"/>
              <w:rPr>
                <w:rFonts w:hint="eastAsia" w:ascii="宋体" w:hAnsi="宋体" w:eastAsia="宋体" w:cs="宋体"/>
                <w:sz w:val="28"/>
                <w:szCs w:val="28"/>
                <w:lang w:val="en-US" w:eastAsia="zh-CN"/>
              </w:rPr>
            </w:pPr>
            <w:r>
              <w:rPr>
                <w:rFonts w:hint="eastAsia" w:ascii="宋体" w:hAnsi="宋体" w:eastAsia="宋体" w:cs="宋体"/>
                <w:sz w:val="28"/>
                <w:szCs w:val="28"/>
              </w:rPr>
              <w:t>探头</w:t>
            </w:r>
          </w:p>
        </w:tc>
        <w:tc>
          <w:tcPr>
            <w:tcW w:w="1715"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shd w:val="clear" w:color="auto" w:fill="auto"/>
              <w:topLinePunct/>
              <w:snapToGrid w:val="0"/>
              <w:spacing w:before="62" w:beforeLines="20" w:after="62" w:afterLines="20" w:line="240" w:lineRule="auto"/>
              <w:ind w:firstLine="0" w:firstLineChars="0"/>
              <w:jc w:val="cente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3"/>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w:t>
            </w:r>
          </w:p>
        </w:tc>
        <w:tc>
          <w:tcPr>
            <w:tcW w:w="3733" w:type="dxa"/>
            <w:vAlign w:val="center"/>
          </w:tcPr>
          <w:p>
            <w:pPr>
              <w:shd w:val="clear" w:color="auto" w:fill="auto"/>
              <w:topLinePunct/>
              <w:snapToGrid w:val="0"/>
              <w:spacing w:before="62" w:beforeLines="20" w:after="62" w:afterLines="20" w:line="240" w:lineRule="auto"/>
              <w:ind w:firstLine="0" w:firstLineChars="0"/>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电池</w:t>
            </w:r>
          </w:p>
        </w:tc>
        <w:tc>
          <w:tcPr>
            <w:tcW w:w="1715"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shd w:val="clear" w:color="auto" w:fill="auto"/>
              <w:topLinePunct/>
              <w:snapToGrid w:val="0"/>
              <w:spacing w:before="62" w:beforeLines="20" w:after="62" w:afterLines="20" w:line="240" w:lineRule="auto"/>
              <w:ind w:firstLine="0" w:firstLineChars="0"/>
              <w:jc w:val="center"/>
              <w:rPr>
                <w:rFonts w:hint="eastAsia" w:ascii="宋体" w:hAnsi="宋体" w:eastAsia="宋体" w:cs="宋体"/>
                <w:sz w:val="28"/>
                <w:szCs w:val="28"/>
                <w:lang w:val="en-US" w:eastAsia="zh-CN"/>
              </w:rPr>
            </w:pPr>
            <w:r>
              <w:rPr>
                <w:rFonts w:hint="eastAsia" w:ascii="宋体" w:hAnsi="宋体" w:eastAsia="宋体" w:cs="宋体"/>
                <w:color w:val="auto"/>
                <w:sz w:val="28"/>
                <w:szCs w:val="28"/>
                <w:highlight w:val="none"/>
                <w:lang w:val="en-US" w:eastAsia="zh-CN"/>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3"/>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w:t>
            </w:r>
          </w:p>
        </w:tc>
        <w:tc>
          <w:tcPr>
            <w:tcW w:w="3733" w:type="dxa"/>
            <w:vAlign w:val="center"/>
          </w:tcPr>
          <w:p>
            <w:pPr>
              <w:shd w:val="clear" w:color="auto" w:fill="auto"/>
              <w:topLinePunct/>
              <w:snapToGrid w:val="0"/>
              <w:spacing w:before="62" w:beforeLines="20" w:after="62" w:afterLines="20" w:line="240" w:lineRule="auto"/>
              <w:ind w:firstLine="0" w:firstLineChars="0"/>
              <w:jc w:val="center"/>
              <w:rPr>
                <w:rFonts w:hint="eastAsia" w:ascii="宋体" w:hAnsi="宋体" w:eastAsia="宋体" w:cs="宋体"/>
                <w:sz w:val="28"/>
                <w:szCs w:val="28"/>
              </w:rPr>
            </w:pPr>
            <w:r>
              <w:rPr>
                <w:rFonts w:hint="eastAsia" w:ascii="宋体" w:hAnsi="宋体" w:eastAsia="宋体" w:cs="宋体"/>
                <w:color w:val="auto"/>
                <w:sz w:val="28"/>
                <w:szCs w:val="28"/>
                <w:highlight w:val="none"/>
              </w:rPr>
              <w:t>操作使用说明书</w:t>
            </w:r>
          </w:p>
        </w:tc>
        <w:tc>
          <w:tcPr>
            <w:tcW w:w="1715"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shd w:val="clear" w:color="auto" w:fill="auto"/>
              <w:topLinePunct/>
              <w:snapToGrid w:val="0"/>
              <w:spacing w:before="62" w:beforeLines="20" w:after="62" w:afterLines="20" w:line="240" w:lineRule="auto"/>
              <w:ind w:firstLine="0" w:firstLineChars="0"/>
              <w:jc w:val="center"/>
              <w:rPr>
                <w:rFonts w:hint="eastAsia" w:ascii="宋体" w:hAnsi="宋体" w:eastAsia="宋体" w:cs="宋体"/>
                <w:sz w:val="28"/>
                <w:szCs w:val="28"/>
                <w:lang w:val="en-US" w:eastAsia="zh-CN"/>
              </w:rPr>
            </w:pP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3"/>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w:t>
            </w:r>
          </w:p>
        </w:tc>
        <w:tc>
          <w:tcPr>
            <w:tcW w:w="3733" w:type="dxa"/>
            <w:vAlign w:val="center"/>
          </w:tcPr>
          <w:p>
            <w:pPr>
              <w:shd w:val="clear" w:color="auto" w:fill="auto"/>
              <w:topLinePunct/>
              <w:snapToGrid w:val="0"/>
              <w:spacing w:before="62" w:beforeLines="20" w:after="62" w:afterLines="20" w:line="240" w:lineRule="auto"/>
              <w:ind w:firstLine="0" w:firstLineChars="0"/>
              <w:jc w:val="center"/>
              <w:rPr>
                <w:rFonts w:hint="eastAsia" w:ascii="宋体" w:hAnsi="宋体" w:eastAsia="宋体" w:cs="宋体"/>
                <w:sz w:val="28"/>
                <w:szCs w:val="28"/>
              </w:rPr>
            </w:pPr>
            <w:r>
              <w:rPr>
                <w:rFonts w:hint="eastAsia" w:ascii="宋体" w:hAnsi="宋体" w:eastAsia="宋体" w:cs="宋体"/>
                <w:color w:val="auto"/>
                <w:sz w:val="28"/>
                <w:szCs w:val="28"/>
                <w:highlight w:val="none"/>
              </w:rPr>
              <w:t>出厂测试报告</w:t>
            </w:r>
          </w:p>
        </w:tc>
        <w:tc>
          <w:tcPr>
            <w:tcW w:w="1715"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shd w:val="clear" w:color="auto" w:fill="auto"/>
              <w:topLinePunct/>
              <w:snapToGrid w:val="0"/>
              <w:spacing w:before="62" w:beforeLines="20" w:after="62" w:afterLines="20" w:line="240" w:lineRule="auto"/>
              <w:ind w:firstLine="0" w:firstLineChars="0"/>
              <w:jc w:val="center"/>
              <w:rPr>
                <w:rFonts w:hint="eastAsia" w:ascii="宋体" w:hAnsi="宋体" w:eastAsia="宋体" w:cs="宋体"/>
                <w:sz w:val="28"/>
                <w:szCs w:val="28"/>
                <w:lang w:val="en-US" w:eastAsia="zh-CN"/>
              </w:rPr>
            </w:pP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3"/>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w:t>
            </w:r>
          </w:p>
        </w:tc>
        <w:tc>
          <w:tcPr>
            <w:tcW w:w="3733" w:type="dxa"/>
            <w:vAlign w:val="center"/>
          </w:tcPr>
          <w:p>
            <w:pPr>
              <w:shd w:val="clear" w:color="auto" w:fill="auto"/>
              <w:topLinePunct/>
              <w:snapToGrid w:val="0"/>
              <w:spacing w:before="62" w:beforeLines="20" w:after="62" w:afterLines="20" w:line="240" w:lineRule="auto"/>
              <w:ind w:firstLine="0" w:firstLineChars="0"/>
              <w:jc w:val="center"/>
              <w:rPr>
                <w:rFonts w:hint="eastAsia" w:ascii="宋体" w:hAnsi="宋体" w:eastAsia="宋体" w:cs="宋体"/>
                <w:sz w:val="28"/>
                <w:szCs w:val="28"/>
              </w:rPr>
            </w:pPr>
            <w:r>
              <w:rPr>
                <w:rFonts w:hint="eastAsia" w:ascii="宋体" w:hAnsi="宋体" w:eastAsia="宋体" w:cs="宋体"/>
                <w:color w:val="auto"/>
                <w:sz w:val="28"/>
                <w:szCs w:val="28"/>
                <w:highlight w:val="none"/>
              </w:rPr>
              <w:t>出厂合格证</w:t>
            </w:r>
          </w:p>
        </w:tc>
        <w:tc>
          <w:tcPr>
            <w:tcW w:w="1715"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shd w:val="clear" w:color="auto" w:fill="auto"/>
              <w:topLinePunct/>
              <w:snapToGrid w:val="0"/>
              <w:spacing w:before="62" w:beforeLines="20" w:after="62" w:afterLines="20" w:line="240" w:lineRule="auto"/>
              <w:ind w:firstLine="0" w:firstLineChars="0"/>
              <w:jc w:val="center"/>
              <w:rPr>
                <w:rFonts w:hint="eastAsia" w:ascii="宋体" w:hAnsi="宋体" w:eastAsia="宋体" w:cs="宋体"/>
                <w:sz w:val="28"/>
                <w:szCs w:val="28"/>
                <w:lang w:val="en-US" w:eastAsia="zh-CN"/>
              </w:rPr>
            </w:pP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3"/>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w:t>
            </w:r>
          </w:p>
        </w:tc>
        <w:tc>
          <w:tcPr>
            <w:tcW w:w="3733" w:type="dxa"/>
            <w:vAlign w:val="center"/>
          </w:tcPr>
          <w:p>
            <w:pPr>
              <w:shd w:val="clear" w:color="auto" w:fill="auto"/>
              <w:topLinePunct/>
              <w:snapToGrid w:val="0"/>
              <w:spacing w:before="62" w:beforeLines="20" w:after="62" w:afterLines="20" w:line="240" w:lineRule="auto"/>
              <w:ind w:firstLine="0" w:firstLineChars="0"/>
              <w:jc w:val="center"/>
              <w:rPr>
                <w:rFonts w:hint="eastAsia" w:ascii="宋体" w:hAnsi="宋体" w:eastAsia="宋体" w:cs="宋体"/>
                <w:color w:val="auto"/>
                <w:sz w:val="28"/>
                <w:szCs w:val="28"/>
                <w:highlight w:val="none"/>
              </w:rPr>
            </w:pPr>
            <w:r>
              <w:rPr>
                <w:rFonts w:hint="eastAsia" w:ascii="宋体" w:hAnsi="宋体" w:eastAsia="宋体" w:cs="宋体"/>
                <w:sz w:val="28"/>
                <w:szCs w:val="28"/>
                <w:lang w:val="en-US" w:eastAsia="zh-CN"/>
              </w:rPr>
              <w:t>具有CNAS资质第三方检测/校准报告</w:t>
            </w:r>
          </w:p>
        </w:tc>
        <w:tc>
          <w:tcPr>
            <w:tcW w:w="1715"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shd w:val="clear" w:color="auto" w:fill="auto"/>
              <w:topLinePunct/>
              <w:snapToGrid w:val="0"/>
              <w:spacing w:before="62" w:beforeLines="20" w:after="62" w:afterLines="20" w:line="240" w:lineRule="auto"/>
              <w:ind w:firstLine="0" w:firstLineChars="0"/>
              <w:jc w:val="center"/>
              <w:rPr>
                <w:rFonts w:hint="eastAsia" w:ascii="宋体" w:hAnsi="宋体" w:eastAsia="宋体" w:cs="宋体"/>
                <w:color w:val="auto"/>
                <w:sz w:val="28"/>
                <w:szCs w:val="28"/>
                <w:highlight w:val="none"/>
                <w:lang w:val="en-US" w:eastAsia="zh-CN"/>
              </w:rPr>
            </w:pPr>
            <w:r>
              <w:rPr>
                <w:rFonts w:hint="eastAsia" w:ascii="宋体" w:hAnsi="宋体" w:eastAsia="宋体" w:cs="宋体"/>
                <w:kern w:val="1"/>
                <w:sz w:val="28"/>
                <w:szCs w:val="28"/>
                <w:lang w:val="en-US" w:eastAsia="zh-CN" w:bidi="ar-SA"/>
              </w:rPr>
              <w:t>1</w:t>
            </w:r>
            <w:r>
              <w:rPr>
                <w:rFonts w:hint="eastAsia" w:ascii="宋体" w:hAnsi="宋体" w:eastAsia="宋体" w:cs="宋体"/>
                <w:kern w:val="1"/>
                <w:sz w:val="28"/>
                <w:szCs w:val="28"/>
                <w:lang w:val="en-US" w:eastAsia="ar-SA" w:bidi="ar-SA"/>
              </w:rPr>
              <w:t>本</w:t>
            </w:r>
          </w:p>
        </w:tc>
      </w:tr>
    </w:tbl>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以上为供货验收清单，若不满足做退货并取消合同处理。</w:t>
      </w:r>
    </w:p>
    <w:p>
      <w:pPr>
        <w:pageBreakBefore w:val="0"/>
        <w:kinsoku/>
        <w:wordWrap/>
        <w:overflowPunct/>
        <w:topLinePunct w:val="0"/>
        <w:autoSpaceDE/>
        <w:autoSpaceDN/>
        <w:bidi w:val="0"/>
        <w:adjustRightInd/>
        <w:snapToGrid/>
        <w:spacing w:line="360" w:lineRule="auto"/>
        <w:textAlignment w:val="auto"/>
        <w:outlineLvl w:val="0"/>
        <w:rPr>
          <w:rFonts w:hint="default" w:ascii="Times New Roman" w:hAnsi="Times New Roman" w:eastAsia="宋体" w:cs="Times New Roman"/>
          <w:b/>
          <w:kern w:val="2"/>
          <w:sz w:val="30"/>
          <w:szCs w:val="30"/>
          <w:lang w:val="en-US" w:eastAsia="zh-CN" w:bidi="ar-SA"/>
        </w:rPr>
      </w:pPr>
      <w:bookmarkStart w:id="10" w:name="_Toc12038"/>
      <w:bookmarkStart w:id="11" w:name="_Toc22926"/>
      <w:bookmarkStart w:id="12" w:name="_Toc10357"/>
      <w:bookmarkStart w:id="13" w:name="_Toc6348"/>
      <w:bookmarkStart w:id="14" w:name="_Toc13993"/>
      <w:r>
        <w:rPr>
          <w:rFonts w:hint="default" w:ascii="Times New Roman" w:hAnsi="Times New Roman" w:eastAsia="宋体" w:cs="Times New Roman"/>
          <w:b/>
          <w:kern w:val="2"/>
          <w:sz w:val="30"/>
          <w:szCs w:val="30"/>
          <w:lang w:val="en-US" w:eastAsia="zh-CN" w:bidi="ar-SA"/>
        </w:rPr>
        <w:t>6 包装、运输和贮存</w:t>
      </w:r>
      <w:bookmarkEnd w:id="10"/>
      <w:bookmarkEnd w:id="11"/>
      <w:bookmarkEnd w:id="12"/>
      <w:bookmarkEnd w:id="13"/>
      <w:bookmarkEnd w:id="14"/>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1</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设备制造完成并通过试验后应及时包装</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应得到切实的保护</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确保其不受污损。</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lang w:eastAsia="zh-CN"/>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所有部件经妥善包装或装箱后</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在运输过程中应采取其它防护措施</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以免散失损坏或被盗</w:t>
      </w:r>
      <w:r>
        <w:rPr>
          <w:rFonts w:hint="default" w:ascii="Times New Roman" w:hAnsi="Times New Roman" w:eastAsia="宋体" w:cs="Times New Roman"/>
          <w:sz w:val="28"/>
          <w:szCs w:val="28"/>
          <w:lang w:eastAsia="zh-CN"/>
        </w:rPr>
        <w:t>。</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3</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在包装箱外应标明需方的订货号、发货号。</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4</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各种包装应能确保各零部件在运输过程中不致遭到损坏、丢失、变形、受潮和腐蚀。</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5</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包装箱上应有明显的包装储运图示标志(按GB191)。</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6</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整体产品或分别运输的部件都要适合运输和装载的要求。</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7</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随产品提供的技术资料应完整无缺</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提供份额符合GB11032的要求。</w:t>
      </w:r>
    </w:p>
    <w:p>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15" w:name="_Toc19111"/>
      <w:bookmarkStart w:id="16" w:name="_Toc18597"/>
      <w:bookmarkStart w:id="17" w:name="_Toc16264"/>
      <w:bookmarkStart w:id="18" w:name="_Toc11534"/>
      <w:bookmarkStart w:id="19" w:name="_Toc23336"/>
      <w:bookmarkStart w:id="20" w:name="_Toc32443"/>
      <w:r>
        <w:rPr>
          <w:rFonts w:hint="default" w:ascii="Times New Roman" w:hAnsi="Times New Roman" w:eastAsia="宋体" w:cs="Times New Roman"/>
          <w:b/>
          <w:bCs w:val="0"/>
          <w:kern w:val="2"/>
          <w:sz w:val="30"/>
          <w:szCs w:val="30"/>
          <w:lang w:val="en-US" w:eastAsia="zh-CN" w:bidi="ar-SA"/>
        </w:rPr>
        <w:t>7 售后服务和技术培训</w:t>
      </w:r>
      <w:bookmarkStart w:id="21" w:name="_Toc390088690"/>
      <w:r>
        <w:rPr>
          <w:rFonts w:hint="default" w:ascii="Times New Roman" w:hAnsi="Times New Roman" w:eastAsia="宋体" w:cs="Times New Roman"/>
          <w:b/>
          <w:bCs w:val="0"/>
          <w:kern w:val="2"/>
          <w:sz w:val="30"/>
          <w:szCs w:val="30"/>
          <w:lang w:val="en-US" w:eastAsia="zh-CN" w:bidi="ar-SA"/>
        </w:rPr>
        <w:t>要求</w:t>
      </w:r>
      <w:bookmarkEnd w:id="15"/>
      <w:bookmarkEnd w:id="16"/>
      <w:bookmarkEnd w:id="17"/>
      <w:bookmarkEnd w:id="18"/>
      <w:bookmarkEnd w:id="19"/>
      <w:bookmarkEnd w:id="20"/>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22" w:name="_Toc29029"/>
      <w:bookmarkStart w:id="23" w:name="_Toc16249"/>
      <w:bookmarkStart w:id="24" w:name="_Toc31014"/>
      <w:bookmarkStart w:id="25" w:name="_Toc18060"/>
      <w:bookmarkStart w:id="26" w:name="_Toc3099"/>
      <w:bookmarkStart w:id="27" w:name="_Toc28113"/>
      <w:r>
        <w:rPr>
          <w:rFonts w:hint="default" w:ascii="Times New Roman" w:hAnsi="Times New Roman" w:eastAsia="宋体" w:cs="Times New Roman"/>
          <w:b/>
          <w:bCs/>
          <w:sz w:val="28"/>
          <w:szCs w:val="28"/>
          <w:lang w:val="en-US" w:eastAsia="zh-CN"/>
        </w:rPr>
        <w:t>7.1 售后服务</w:t>
      </w:r>
      <w:bookmarkEnd w:id="21"/>
      <w:bookmarkEnd w:id="22"/>
      <w:bookmarkEnd w:id="23"/>
      <w:bookmarkEnd w:id="24"/>
      <w:bookmarkEnd w:id="25"/>
      <w:bookmarkEnd w:id="26"/>
      <w:bookmarkEnd w:id="27"/>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（1）</w:t>
      </w:r>
      <w:bookmarkStart w:id="28" w:name="OLE_LINK17"/>
      <w:r>
        <w:rPr>
          <w:rFonts w:hint="default" w:ascii="Times New Roman" w:hAnsi="Times New Roman" w:cs="Times New Roman"/>
          <w:sz w:val="28"/>
          <w:szCs w:val="28"/>
        </w:rPr>
        <w:t>投标方应保证系统投运之日起提供</w:t>
      </w:r>
      <w:bookmarkEnd w:id="28"/>
      <w:r>
        <w:rPr>
          <w:rFonts w:hint="default" w:ascii="Times New Roman" w:hAnsi="Times New Roman" w:cs="Times New Roman"/>
          <w:sz w:val="28"/>
          <w:szCs w:val="28"/>
        </w:rPr>
        <w:t>终身免费软件服务：免费技术支持、免费给予版本升级（不限次数）；</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（2）投标方应保证系统投运之日起提供：</w:t>
      </w:r>
      <w:r>
        <w:rPr>
          <w:rFonts w:hint="eastAsia" w:cs="Times New Roman"/>
          <w:sz w:val="28"/>
          <w:szCs w:val="28"/>
          <w:lang w:val="en-US" w:eastAsia="zh-CN"/>
        </w:rPr>
        <w:t>三</w:t>
      </w:r>
      <w:r>
        <w:rPr>
          <w:rFonts w:hint="default" w:ascii="Times New Roman" w:hAnsi="Times New Roman" w:cs="Times New Roman"/>
          <w:sz w:val="28"/>
          <w:szCs w:val="28"/>
        </w:rPr>
        <w:t>年保修（含人工费用），终身维护；</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（3）</w:t>
      </w:r>
      <w:bookmarkStart w:id="29" w:name="_Toc390088691"/>
      <w:r>
        <w:rPr>
          <w:rFonts w:hint="default" w:ascii="Times New Roman" w:hAnsi="Times New Roman" w:cs="Times New Roman"/>
          <w:sz w:val="28"/>
          <w:szCs w:val="28"/>
        </w:rPr>
        <w:t>投标方对软件提供7×24小时技术支持服务；</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（4）系统运行过程中，如出现软件故障，投标方须在接到用户报告提出维护要求4小时内作出响应，24小时内提交故障分析报告和解决方案。</w:t>
      </w:r>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30" w:name="_Toc6783"/>
      <w:bookmarkStart w:id="31" w:name="_Toc5683"/>
      <w:bookmarkStart w:id="32" w:name="_Toc4614"/>
      <w:bookmarkStart w:id="33" w:name="_Toc17905"/>
      <w:bookmarkStart w:id="34" w:name="_Toc430"/>
      <w:bookmarkStart w:id="35" w:name="_Toc26718"/>
      <w:bookmarkStart w:id="36" w:name="OLE_LINK22"/>
      <w:r>
        <w:rPr>
          <w:rFonts w:hint="default" w:ascii="Times New Roman" w:hAnsi="Times New Roman" w:eastAsia="宋体" w:cs="Times New Roman"/>
          <w:b/>
          <w:bCs/>
          <w:sz w:val="28"/>
          <w:szCs w:val="28"/>
          <w:lang w:val="en-US" w:eastAsia="zh-CN"/>
        </w:rPr>
        <w:t>7.2 技术培训</w:t>
      </w:r>
      <w:bookmarkEnd w:id="29"/>
      <w:bookmarkEnd w:id="30"/>
      <w:bookmarkEnd w:id="31"/>
      <w:bookmarkEnd w:id="32"/>
      <w:bookmarkEnd w:id="33"/>
      <w:bookmarkEnd w:id="34"/>
      <w:bookmarkEnd w:id="35"/>
    </w:p>
    <w:bookmarkEnd w:id="36"/>
    <w:p>
      <w:pPr>
        <w:pStyle w:val="34"/>
        <w:spacing w:line="360" w:lineRule="auto"/>
        <w:rPr>
          <w:rFonts w:hint="default" w:ascii="Times New Roman" w:hAnsi="Times New Roman" w:eastAsia="宋体" w:cs="Times New Roman"/>
          <w:b/>
          <w:bCs/>
          <w:sz w:val="28"/>
          <w:szCs w:val="28"/>
        </w:rPr>
      </w:pPr>
      <w:r>
        <w:rPr>
          <w:rFonts w:hint="default" w:ascii="Times New Roman" w:hAnsi="Times New Roman" w:eastAsia="宋体" w:cs="Times New Roman"/>
          <w:b/>
          <w:bCs/>
          <w:sz w:val="28"/>
          <w:szCs w:val="28"/>
          <w:lang w:val="en-US" w:eastAsia="zh-CN"/>
        </w:rPr>
        <w:t>7</w:t>
      </w:r>
      <w:r>
        <w:rPr>
          <w:rFonts w:hint="default" w:ascii="Times New Roman" w:hAnsi="Times New Roman" w:eastAsia="宋体" w:cs="Times New Roman"/>
          <w:b/>
          <w:bCs/>
          <w:sz w:val="28"/>
          <w:szCs w:val="28"/>
        </w:rPr>
        <w:t>.2.1</w:t>
      </w:r>
      <w:r>
        <w:rPr>
          <w:rFonts w:hint="default" w:ascii="Times New Roman" w:hAnsi="Times New Roman" w:eastAsia="宋体" w:cs="Times New Roman"/>
          <w:b/>
          <w:bCs/>
          <w:sz w:val="28"/>
          <w:szCs w:val="28"/>
          <w:lang w:val="en-US" w:eastAsia="zh-CN"/>
        </w:rPr>
        <w:t xml:space="preserve"> </w:t>
      </w:r>
      <w:r>
        <w:rPr>
          <w:rFonts w:hint="default" w:ascii="Times New Roman" w:hAnsi="Times New Roman" w:eastAsia="宋体" w:cs="Times New Roman"/>
          <w:b/>
          <w:bCs/>
          <w:sz w:val="28"/>
          <w:szCs w:val="28"/>
        </w:rPr>
        <w:t>培训要求</w:t>
      </w:r>
    </w:p>
    <w:p>
      <w:pPr>
        <w:pStyle w:val="34"/>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（1）投标方须免费提供现场的集中培训，时间</w:t>
      </w:r>
      <w:bookmarkStart w:id="37" w:name="OLE_LINK16"/>
      <w:r>
        <w:rPr>
          <w:rFonts w:hint="default" w:ascii="Times New Roman" w:hAnsi="Times New Roman" w:eastAsia="宋体" w:cs="Times New Roman"/>
          <w:sz w:val="28"/>
          <w:szCs w:val="28"/>
        </w:rPr>
        <w:t>不少于</w:t>
      </w:r>
      <w:bookmarkEnd w:id="37"/>
      <w:r>
        <w:rPr>
          <w:rFonts w:hint="default" w:ascii="Times New Roman" w:hAnsi="Times New Roman" w:eastAsia="宋体" w:cs="Times New Roman"/>
          <w:sz w:val="28"/>
          <w:szCs w:val="28"/>
        </w:rPr>
        <w:t>3天。其中，理论培训1天；实操不少于2天。</w:t>
      </w:r>
    </w:p>
    <w:p>
      <w:pPr>
        <w:pStyle w:val="34"/>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（2）招标方的技术人员在理论和操作方面得到培训，熟悉和掌握仪器的使用和检测结果的评定。</w:t>
      </w:r>
    </w:p>
    <w:p>
      <w:pPr>
        <w:pStyle w:val="34"/>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（3）投标方须向受训人员提供相关操作手册等技术资料。</w:t>
      </w:r>
    </w:p>
    <w:p>
      <w:pPr>
        <w:autoSpaceDE w:val="0"/>
        <w:autoSpaceDN w:val="0"/>
        <w:adjustRightInd w:val="0"/>
        <w:snapToGrid w:val="0"/>
        <w:spacing w:line="360" w:lineRule="auto"/>
        <w:rPr>
          <w:rFonts w:hint="default" w:ascii="Times New Roman" w:hAnsi="Times New Roman" w:cs="Times New Roman"/>
          <w:kern w:val="0"/>
          <w:sz w:val="28"/>
          <w:szCs w:val="28"/>
        </w:rPr>
      </w:pPr>
      <w:bookmarkStart w:id="38" w:name="_Toc341535610"/>
      <w:r>
        <w:rPr>
          <w:rFonts w:hint="default" w:ascii="Times New Roman" w:hAnsi="Times New Roman" w:cs="Times New Roman"/>
          <w:b/>
          <w:bCs/>
          <w:kern w:val="0"/>
          <w:sz w:val="28"/>
          <w:szCs w:val="28"/>
          <w:lang w:val="en-US" w:eastAsia="zh-CN"/>
        </w:rPr>
        <w:t>7</w:t>
      </w:r>
      <w:r>
        <w:rPr>
          <w:rFonts w:hint="default" w:ascii="Times New Roman" w:hAnsi="Times New Roman" w:cs="Times New Roman"/>
          <w:b/>
          <w:bCs/>
          <w:kern w:val="0"/>
          <w:sz w:val="28"/>
          <w:szCs w:val="28"/>
        </w:rPr>
        <w:t>.2.2</w:t>
      </w:r>
      <w:r>
        <w:rPr>
          <w:rFonts w:hint="default" w:ascii="Times New Roman" w:hAnsi="Times New Roman" w:cs="Times New Roman"/>
          <w:b/>
          <w:bCs/>
          <w:kern w:val="0"/>
          <w:sz w:val="28"/>
          <w:szCs w:val="28"/>
          <w:lang w:val="en-US" w:eastAsia="zh-CN"/>
        </w:rPr>
        <w:t xml:space="preserve"> </w:t>
      </w:r>
      <w:r>
        <w:rPr>
          <w:rFonts w:hint="default" w:ascii="Times New Roman" w:hAnsi="Times New Roman" w:cs="Times New Roman"/>
          <w:b/>
          <w:bCs/>
          <w:kern w:val="0"/>
          <w:sz w:val="28"/>
          <w:szCs w:val="28"/>
        </w:rPr>
        <w:t>培训内容</w:t>
      </w:r>
      <w:bookmarkEnd w:id="38"/>
    </w:p>
    <w:p>
      <w:pPr>
        <w:pStyle w:val="34"/>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（1）理论培训：技术原理</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设备使用方法</w:t>
      </w:r>
      <w:r>
        <w:rPr>
          <w:rFonts w:hint="default" w:ascii="Times New Roman" w:hAnsi="Times New Roman" w:eastAsia="宋体" w:cs="Times New Roman"/>
          <w:sz w:val="28"/>
          <w:szCs w:val="28"/>
        </w:rPr>
        <w:t>等；</w:t>
      </w:r>
    </w:p>
    <w:p>
      <w:pPr>
        <w:pStyle w:val="34"/>
        <w:spacing w:line="360" w:lineRule="auto"/>
        <w:ind w:firstLine="560" w:firstLineChars="200"/>
        <w:rPr>
          <w:rFonts w:hint="default" w:ascii="Times New Roman" w:hAnsi="Times New Roman" w:eastAsia="宋体" w:cs="Times New Roman"/>
          <w:b/>
          <w:kern w:val="2"/>
          <w:sz w:val="30"/>
          <w:szCs w:val="30"/>
          <w:lang w:val="en-US" w:eastAsia="zh-CN" w:bidi="ar-SA"/>
        </w:rPr>
      </w:pP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实操</w:t>
      </w:r>
      <w:r>
        <w:rPr>
          <w:rFonts w:hint="default" w:ascii="Times New Roman" w:hAnsi="Times New Roman" w:eastAsia="宋体" w:cs="Times New Roman"/>
          <w:sz w:val="28"/>
          <w:szCs w:val="28"/>
        </w:rPr>
        <w:t>培训：根据需方的安排，开展一座变电站相关设备等一次检测。</w:t>
      </w:r>
    </w:p>
    <w:p>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39" w:name="_Toc7428"/>
      <w:bookmarkStart w:id="40" w:name="_Toc25839"/>
      <w:bookmarkStart w:id="41" w:name="_Toc26867"/>
      <w:bookmarkStart w:id="42" w:name="_Toc10568"/>
      <w:bookmarkStart w:id="43" w:name="_Toc3624"/>
      <w:bookmarkStart w:id="44" w:name="_Toc2111"/>
      <w:r>
        <w:rPr>
          <w:rFonts w:hint="default" w:ascii="Times New Roman" w:hAnsi="Times New Roman" w:eastAsia="宋体" w:cs="Times New Roman"/>
          <w:b/>
          <w:bCs w:val="0"/>
          <w:kern w:val="2"/>
          <w:sz w:val="30"/>
          <w:szCs w:val="30"/>
          <w:lang w:val="en-US" w:eastAsia="zh-CN" w:bidi="ar-SA"/>
        </w:rPr>
        <w:t>8 验收</w:t>
      </w:r>
      <w:bookmarkStart w:id="45" w:name="_Toc390088694"/>
      <w:bookmarkStart w:id="46" w:name="_Toc387612874"/>
      <w:bookmarkStart w:id="47" w:name="_Toc291690060"/>
      <w:r>
        <w:rPr>
          <w:rFonts w:hint="default" w:ascii="Times New Roman" w:hAnsi="Times New Roman" w:eastAsia="宋体" w:cs="Times New Roman"/>
          <w:b/>
          <w:bCs w:val="0"/>
          <w:kern w:val="2"/>
          <w:sz w:val="30"/>
          <w:szCs w:val="30"/>
          <w:lang w:val="en-US" w:eastAsia="zh-CN" w:bidi="ar-SA"/>
        </w:rPr>
        <w:t>要求</w:t>
      </w:r>
      <w:bookmarkEnd w:id="39"/>
      <w:bookmarkEnd w:id="40"/>
      <w:bookmarkEnd w:id="41"/>
      <w:bookmarkEnd w:id="42"/>
      <w:bookmarkEnd w:id="43"/>
      <w:bookmarkEnd w:id="44"/>
    </w:p>
    <w:bookmarkEnd w:id="45"/>
    <w:bookmarkEnd w:id="46"/>
    <w:p>
      <w:pPr>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系统测试验收划分为二个阶段，即到货验收、现场验收。</w:t>
      </w:r>
      <w:bookmarkStart w:id="48" w:name="_Toc257812191"/>
      <w:bookmarkStart w:id="49" w:name="_Toc387612875"/>
      <w:bookmarkStart w:id="50" w:name="_Toc341535612"/>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51" w:name="_Toc27907"/>
      <w:bookmarkStart w:id="52" w:name="_Toc22741"/>
      <w:bookmarkStart w:id="53" w:name="_Toc7867"/>
      <w:bookmarkStart w:id="54" w:name="_Toc23903"/>
      <w:bookmarkStart w:id="55" w:name="_Toc19273"/>
      <w:bookmarkStart w:id="56" w:name="_Toc1329"/>
      <w:bookmarkStart w:id="57" w:name="OLE_LINK21"/>
      <w:r>
        <w:rPr>
          <w:rFonts w:hint="default" w:ascii="Times New Roman" w:hAnsi="Times New Roman" w:eastAsia="宋体" w:cs="Times New Roman"/>
          <w:b/>
          <w:bCs/>
          <w:kern w:val="0"/>
          <w:sz w:val="28"/>
          <w:szCs w:val="28"/>
          <w:lang w:val="en-US" w:eastAsia="zh-CN" w:bidi="ar-SA"/>
        </w:rPr>
        <w:t>8.1 到货验收</w:t>
      </w:r>
      <w:bookmarkEnd w:id="48"/>
      <w:bookmarkEnd w:id="49"/>
      <w:bookmarkEnd w:id="50"/>
      <w:bookmarkEnd w:id="51"/>
      <w:bookmarkEnd w:id="52"/>
      <w:bookmarkEnd w:id="53"/>
      <w:bookmarkEnd w:id="54"/>
      <w:bookmarkEnd w:id="55"/>
      <w:bookmarkEnd w:id="56"/>
    </w:p>
    <w:bookmarkEnd w:id="57"/>
    <w:p>
      <w:pPr>
        <w:pStyle w:val="34"/>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到货验收包括对硬件的型号、数量以及详细参数进行验收，检查软件是否已安装进系统。</w:t>
      </w:r>
      <w:bookmarkStart w:id="58" w:name="_Toc341535616"/>
      <w:bookmarkStart w:id="59" w:name="_Toc387612876"/>
      <w:bookmarkStart w:id="60" w:name="_Toc257812192"/>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61" w:name="_Toc22068"/>
      <w:bookmarkStart w:id="62" w:name="_Toc9650"/>
      <w:bookmarkStart w:id="63" w:name="_Toc15384"/>
      <w:bookmarkStart w:id="64" w:name="_Toc17828"/>
      <w:bookmarkStart w:id="65" w:name="_Toc5236"/>
      <w:bookmarkStart w:id="66" w:name="_Toc5901"/>
      <w:r>
        <w:rPr>
          <w:rFonts w:hint="default" w:ascii="Times New Roman" w:hAnsi="Times New Roman" w:eastAsia="宋体" w:cs="Times New Roman"/>
          <w:b/>
          <w:bCs/>
          <w:kern w:val="0"/>
          <w:sz w:val="28"/>
          <w:szCs w:val="28"/>
          <w:lang w:val="en-US" w:eastAsia="zh-CN" w:bidi="ar-SA"/>
        </w:rPr>
        <w:t>8.2 现场验收</w:t>
      </w:r>
      <w:bookmarkEnd w:id="58"/>
      <w:bookmarkEnd w:id="59"/>
      <w:bookmarkEnd w:id="60"/>
      <w:bookmarkEnd w:id="61"/>
      <w:bookmarkEnd w:id="62"/>
      <w:bookmarkEnd w:id="63"/>
      <w:bookmarkEnd w:id="64"/>
      <w:bookmarkEnd w:id="65"/>
      <w:bookmarkEnd w:id="66"/>
    </w:p>
    <w:p>
      <w:pPr>
        <w:spacing w:line="360" w:lineRule="auto"/>
        <w:ind w:firstLine="560" w:firstLineChars="200"/>
        <w:rPr>
          <w:rFonts w:hint="eastAsia" w:ascii="宋体" w:hAnsi="宋体" w:eastAsia="宋体" w:cs="宋体"/>
          <w:sz w:val="28"/>
          <w:szCs w:val="28"/>
        </w:rPr>
      </w:pPr>
      <w:r>
        <w:rPr>
          <w:rFonts w:hint="default" w:ascii="Times New Roman" w:hAnsi="Times New Roman" w:eastAsia="宋体" w:cs="Times New Roman"/>
          <w:sz w:val="28"/>
          <w:szCs w:val="28"/>
        </w:rPr>
        <w:t>以投标方协助需方完成培训内容为标准进行验收</w:t>
      </w:r>
      <w:bookmarkEnd w:id="47"/>
      <w:r>
        <w:rPr>
          <w:rFonts w:hint="default" w:ascii="Times New Roman" w:hAnsi="Times New Roman" w:eastAsia="宋体" w:cs="Times New Roman"/>
          <w:sz w:val="28"/>
          <w:szCs w:val="28"/>
          <w:lang w:eastAsia="zh-CN"/>
        </w:rPr>
        <w:t>。</w:t>
      </w:r>
    </w:p>
    <w:sectPr>
      <w:footerReference r:id="rId4" w:type="default"/>
      <w:pgSz w:w="12240" w:h="15840"/>
      <w:pgMar w:top="1440" w:right="1797" w:bottom="1440" w:left="1797" w:header="720" w:footer="720" w:gutter="0"/>
      <w:pgNumType w:fmt="decimal" w:start="1"/>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auto"/>
    <w:pitch w:val="default"/>
    <w:sig w:usb0="00000000" w:usb1="00000000" w:usb2="00000000" w:usb3="00000000" w:csb0="00040000" w:csb1="00000000"/>
  </w:font>
  <w:font w:name="EU-F1">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华文宋体">
    <w:altName w:val="宋体"/>
    <w:panose1 w:val="02010600040101010101"/>
    <w:charset w:val="86"/>
    <w:family w:val="auto"/>
    <w:pitch w:val="default"/>
    <w:sig w:usb0="00000000" w:usb1="00000000" w:usb2="00000000" w:usb3="00000000" w:csb0="0004009F" w:csb1="DFD70000"/>
  </w:font>
  <w:font w:name="Adobe 宋体 Std L">
    <w:altName w:val="宋体"/>
    <w:panose1 w:val="02020300000000000000"/>
    <w:charset w:val="86"/>
    <w:family w:val="roman"/>
    <w:pitch w:val="default"/>
    <w:sig w:usb0="00000000" w:usb1="00000000" w:usb2="00000016" w:usb3="00000000" w:csb0="00060007" w:csb1="0000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2880" w:firstLineChars="1600"/>
      <w:jc w:val="both"/>
      <w:rPr>
        <w:rFonts w:hint="eastAsia" w:ascii="宋体" w:hAnsi="宋体"/>
      </w:rPr>
    </w:pPr>
    <w:r>
      <w:rPr>
        <w:rFonts w:hint="eastAsia" w:ascii="宋体" w:hAnsi="宋体"/>
      </w:rPr>
      <w:t xml:space="preserve">                          </w:t>
    </w:r>
    <w:r>
      <w:rPr>
        <w:rFonts w:hint="eastAsia" w:ascii="宋体" w:hAnsi="宋体"/>
        <w:lang w:val="en-US" w:eastAsia="zh-CN"/>
      </w:rPr>
      <w:t xml:space="preserve">     </w:t>
    </w:r>
    <w:r>
      <w:rPr>
        <w:rFonts w:hint="eastAsia" w:ascii="宋体" w:hAnsi="宋体"/>
      </w:rPr>
      <w:t xml:space="preserve"> 变电专业SF6定性检漏仪技术规范书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796E71"/>
    <w:multiLevelType w:val="singleLevel"/>
    <w:tmpl w:val="3E796E71"/>
    <w:lvl w:ilvl="0" w:tentative="0">
      <w:start w:val="1"/>
      <w:numFmt w:val="decimal"/>
      <w:lvlText w:val="%1、"/>
      <w:lvlJc w:val="left"/>
      <w:pPr>
        <w:tabs>
          <w:tab w:val="left" w:pos="570"/>
        </w:tabs>
        <w:ind w:left="570" w:hanging="3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gutterAtTop/>
  <w:documentProtection w:enforcement="0"/>
  <w:defaultTabStop w:val="420"/>
  <w:drawingGridHorizontalSpacing w:val="105"/>
  <w:drawingGridVerticalSpacing w:val="143"/>
  <w:displayHorizontalDrawingGridEvery w:val="1"/>
  <w:displayVerticalDrawingGridEvery w:val="1"/>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5E1"/>
    <w:rsid w:val="00022BDE"/>
    <w:rsid w:val="000242F6"/>
    <w:rsid w:val="00027BF9"/>
    <w:rsid w:val="0005282D"/>
    <w:rsid w:val="00054B15"/>
    <w:rsid w:val="0007361B"/>
    <w:rsid w:val="00083FF4"/>
    <w:rsid w:val="000929A6"/>
    <w:rsid w:val="0009426D"/>
    <w:rsid w:val="000B212F"/>
    <w:rsid w:val="000D060D"/>
    <w:rsid w:val="000E0B6B"/>
    <w:rsid w:val="000E3A0F"/>
    <w:rsid w:val="00133AF7"/>
    <w:rsid w:val="00142319"/>
    <w:rsid w:val="00172A27"/>
    <w:rsid w:val="00187370"/>
    <w:rsid w:val="001E0CF1"/>
    <w:rsid w:val="00212B1F"/>
    <w:rsid w:val="00214840"/>
    <w:rsid w:val="002550D5"/>
    <w:rsid w:val="00274732"/>
    <w:rsid w:val="0027656D"/>
    <w:rsid w:val="00286C41"/>
    <w:rsid w:val="00291B33"/>
    <w:rsid w:val="002A1D5D"/>
    <w:rsid w:val="002A593A"/>
    <w:rsid w:val="002A7143"/>
    <w:rsid w:val="002B1D6E"/>
    <w:rsid w:val="002B5F07"/>
    <w:rsid w:val="002B78D0"/>
    <w:rsid w:val="002C018F"/>
    <w:rsid w:val="002F0F8B"/>
    <w:rsid w:val="002F625C"/>
    <w:rsid w:val="00302818"/>
    <w:rsid w:val="00312008"/>
    <w:rsid w:val="00334ED3"/>
    <w:rsid w:val="0036262E"/>
    <w:rsid w:val="00372DF9"/>
    <w:rsid w:val="00374B10"/>
    <w:rsid w:val="00397BEF"/>
    <w:rsid w:val="003C63C7"/>
    <w:rsid w:val="003F1B09"/>
    <w:rsid w:val="00404BFF"/>
    <w:rsid w:val="004054C8"/>
    <w:rsid w:val="00411A58"/>
    <w:rsid w:val="00421AF0"/>
    <w:rsid w:val="0044464B"/>
    <w:rsid w:val="00453089"/>
    <w:rsid w:val="0045545B"/>
    <w:rsid w:val="00475D99"/>
    <w:rsid w:val="00476D30"/>
    <w:rsid w:val="004861F1"/>
    <w:rsid w:val="00490D38"/>
    <w:rsid w:val="004A5264"/>
    <w:rsid w:val="004F0BBD"/>
    <w:rsid w:val="00515503"/>
    <w:rsid w:val="00530101"/>
    <w:rsid w:val="00545565"/>
    <w:rsid w:val="005516AD"/>
    <w:rsid w:val="005673D2"/>
    <w:rsid w:val="005718DB"/>
    <w:rsid w:val="00572083"/>
    <w:rsid w:val="00575854"/>
    <w:rsid w:val="005B3C3E"/>
    <w:rsid w:val="005C06BF"/>
    <w:rsid w:val="005C5FD4"/>
    <w:rsid w:val="005D7D51"/>
    <w:rsid w:val="0060183B"/>
    <w:rsid w:val="006109C8"/>
    <w:rsid w:val="00614DD7"/>
    <w:rsid w:val="00620FA0"/>
    <w:rsid w:val="00653640"/>
    <w:rsid w:val="00660130"/>
    <w:rsid w:val="00662556"/>
    <w:rsid w:val="006671D4"/>
    <w:rsid w:val="006A5858"/>
    <w:rsid w:val="006C13B5"/>
    <w:rsid w:val="006D0825"/>
    <w:rsid w:val="006E4A3B"/>
    <w:rsid w:val="006F15E7"/>
    <w:rsid w:val="006F356C"/>
    <w:rsid w:val="006F5FD0"/>
    <w:rsid w:val="006F615E"/>
    <w:rsid w:val="00715F97"/>
    <w:rsid w:val="00720314"/>
    <w:rsid w:val="0072357D"/>
    <w:rsid w:val="00723D38"/>
    <w:rsid w:val="00744B2E"/>
    <w:rsid w:val="00757DDB"/>
    <w:rsid w:val="00766FCC"/>
    <w:rsid w:val="00767DC9"/>
    <w:rsid w:val="0077422F"/>
    <w:rsid w:val="007903FA"/>
    <w:rsid w:val="007A6AF8"/>
    <w:rsid w:val="007E150A"/>
    <w:rsid w:val="00811D27"/>
    <w:rsid w:val="0083606F"/>
    <w:rsid w:val="00853ACF"/>
    <w:rsid w:val="00861E03"/>
    <w:rsid w:val="00885066"/>
    <w:rsid w:val="00897E2F"/>
    <w:rsid w:val="008A13EB"/>
    <w:rsid w:val="008B3ED1"/>
    <w:rsid w:val="008B7D17"/>
    <w:rsid w:val="008C550E"/>
    <w:rsid w:val="00903147"/>
    <w:rsid w:val="0091574D"/>
    <w:rsid w:val="00926765"/>
    <w:rsid w:val="00932C8D"/>
    <w:rsid w:val="00962C65"/>
    <w:rsid w:val="0098104B"/>
    <w:rsid w:val="00A03D85"/>
    <w:rsid w:val="00A205B9"/>
    <w:rsid w:val="00A257B6"/>
    <w:rsid w:val="00A46A9F"/>
    <w:rsid w:val="00A51B42"/>
    <w:rsid w:val="00A528D2"/>
    <w:rsid w:val="00A545C9"/>
    <w:rsid w:val="00AC41D5"/>
    <w:rsid w:val="00AD26D5"/>
    <w:rsid w:val="00AE2150"/>
    <w:rsid w:val="00AE64D2"/>
    <w:rsid w:val="00B61CFA"/>
    <w:rsid w:val="00B87E6E"/>
    <w:rsid w:val="00B96D3D"/>
    <w:rsid w:val="00BB09DA"/>
    <w:rsid w:val="00BB5AA6"/>
    <w:rsid w:val="00BE0618"/>
    <w:rsid w:val="00BE3D18"/>
    <w:rsid w:val="00C153E3"/>
    <w:rsid w:val="00C55880"/>
    <w:rsid w:val="00C7290C"/>
    <w:rsid w:val="00C92FF8"/>
    <w:rsid w:val="00CA36A1"/>
    <w:rsid w:val="00CA4ED3"/>
    <w:rsid w:val="00CB23DB"/>
    <w:rsid w:val="00CB4B8C"/>
    <w:rsid w:val="00CC2321"/>
    <w:rsid w:val="00CC597B"/>
    <w:rsid w:val="00CE048D"/>
    <w:rsid w:val="00CE4DFB"/>
    <w:rsid w:val="00CE4E80"/>
    <w:rsid w:val="00CF4840"/>
    <w:rsid w:val="00CF72D4"/>
    <w:rsid w:val="00D30360"/>
    <w:rsid w:val="00D350E2"/>
    <w:rsid w:val="00D976F8"/>
    <w:rsid w:val="00DC730E"/>
    <w:rsid w:val="00DD1D78"/>
    <w:rsid w:val="00DE7114"/>
    <w:rsid w:val="00DF482B"/>
    <w:rsid w:val="00E34AF7"/>
    <w:rsid w:val="00E64616"/>
    <w:rsid w:val="00E92E57"/>
    <w:rsid w:val="00EA3EEA"/>
    <w:rsid w:val="00EA6DC9"/>
    <w:rsid w:val="00EC1566"/>
    <w:rsid w:val="00EE47FC"/>
    <w:rsid w:val="00F00BE3"/>
    <w:rsid w:val="00F00F8D"/>
    <w:rsid w:val="00F22B91"/>
    <w:rsid w:val="00F24602"/>
    <w:rsid w:val="00F5425B"/>
    <w:rsid w:val="00F57B66"/>
    <w:rsid w:val="00F749C6"/>
    <w:rsid w:val="00F8005A"/>
    <w:rsid w:val="00FA2B19"/>
    <w:rsid w:val="00FB3D25"/>
    <w:rsid w:val="00FD37FD"/>
    <w:rsid w:val="00FF0701"/>
    <w:rsid w:val="00FF31C9"/>
    <w:rsid w:val="01216BCF"/>
    <w:rsid w:val="021D332E"/>
    <w:rsid w:val="021F1CE9"/>
    <w:rsid w:val="039970F0"/>
    <w:rsid w:val="047046D7"/>
    <w:rsid w:val="04B85A8C"/>
    <w:rsid w:val="06C83369"/>
    <w:rsid w:val="06F74250"/>
    <w:rsid w:val="06FC1FE4"/>
    <w:rsid w:val="073440CA"/>
    <w:rsid w:val="083B22E9"/>
    <w:rsid w:val="09912E73"/>
    <w:rsid w:val="09DA6CE5"/>
    <w:rsid w:val="0A47139A"/>
    <w:rsid w:val="0AA06A69"/>
    <w:rsid w:val="0AF54308"/>
    <w:rsid w:val="0B1D612C"/>
    <w:rsid w:val="0B9E7B3E"/>
    <w:rsid w:val="0BAC324C"/>
    <w:rsid w:val="0BBD0B5D"/>
    <w:rsid w:val="0BD92CA9"/>
    <w:rsid w:val="0C641B1E"/>
    <w:rsid w:val="0D09760B"/>
    <w:rsid w:val="0DF84B27"/>
    <w:rsid w:val="0E4C7BE5"/>
    <w:rsid w:val="0ED04650"/>
    <w:rsid w:val="0F4B632C"/>
    <w:rsid w:val="117656A1"/>
    <w:rsid w:val="11C76314"/>
    <w:rsid w:val="11F81621"/>
    <w:rsid w:val="121A5772"/>
    <w:rsid w:val="122703EF"/>
    <w:rsid w:val="123030CF"/>
    <w:rsid w:val="129375E2"/>
    <w:rsid w:val="1364719A"/>
    <w:rsid w:val="13A0311A"/>
    <w:rsid w:val="14AE74C4"/>
    <w:rsid w:val="152A59B2"/>
    <w:rsid w:val="157E633F"/>
    <w:rsid w:val="16914302"/>
    <w:rsid w:val="17247B54"/>
    <w:rsid w:val="17B22491"/>
    <w:rsid w:val="17E9578A"/>
    <w:rsid w:val="18593DD0"/>
    <w:rsid w:val="196A1CCC"/>
    <w:rsid w:val="19D35B4D"/>
    <w:rsid w:val="19F05946"/>
    <w:rsid w:val="1A050DE8"/>
    <w:rsid w:val="1B5F7121"/>
    <w:rsid w:val="1D2160BE"/>
    <w:rsid w:val="1E476C31"/>
    <w:rsid w:val="206C32B1"/>
    <w:rsid w:val="20A85646"/>
    <w:rsid w:val="22783F62"/>
    <w:rsid w:val="22F56ECA"/>
    <w:rsid w:val="23846F1A"/>
    <w:rsid w:val="24316868"/>
    <w:rsid w:val="24CC1B95"/>
    <w:rsid w:val="26301520"/>
    <w:rsid w:val="264B09E7"/>
    <w:rsid w:val="281E05B5"/>
    <w:rsid w:val="29253C5F"/>
    <w:rsid w:val="292B071C"/>
    <w:rsid w:val="2D5F3BEA"/>
    <w:rsid w:val="2DAD1295"/>
    <w:rsid w:val="2F82055E"/>
    <w:rsid w:val="3015100B"/>
    <w:rsid w:val="30575940"/>
    <w:rsid w:val="32B02F4F"/>
    <w:rsid w:val="32ED7EDB"/>
    <w:rsid w:val="33515420"/>
    <w:rsid w:val="33E007F2"/>
    <w:rsid w:val="3459654B"/>
    <w:rsid w:val="34B318D2"/>
    <w:rsid w:val="35724440"/>
    <w:rsid w:val="35E67CC2"/>
    <w:rsid w:val="35EA73E3"/>
    <w:rsid w:val="370A7BEE"/>
    <w:rsid w:val="37130BEA"/>
    <w:rsid w:val="397E1DFD"/>
    <w:rsid w:val="398B33E3"/>
    <w:rsid w:val="3AF505AA"/>
    <w:rsid w:val="3B007723"/>
    <w:rsid w:val="3B3E176C"/>
    <w:rsid w:val="3BC03446"/>
    <w:rsid w:val="3D97487F"/>
    <w:rsid w:val="3EB65EA7"/>
    <w:rsid w:val="3F306184"/>
    <w:rsid w:val="40080BE3"/>
    <w:rsid w:val="407946F1"/>
    <w:rsid w:val="4592285F"/>
    <w:rsid w:val="45FA704D"/>
    <w:rsid w:val="461061B1"/>
    <w:rsid w:val="46122A69"/>
    <w:rsid w:val="46C92795"/>
    <w:rsid w:val="48935017"/>
    <w:rsid w:val="49A73E15"/>
    <w:rsid w:val="4C2C0CD0"/>
    <w:rsid w:val="4C6B6707"/>
    <w:rsid w:val="4C8B224F"/>
    <w:rsid w:val="4CC534FF"/>
    <w:rsid w:val="4CF47715"/>
    <w:rsid w:val="4D442103"/>
    <w:rsid w:val="4D605863"/>
    <w:rsid w:val="4DE24485"/>
    <w:rsid w:val="510D3A52"/>
    <w:rsid w:val="51D03B54"/>
    <w:rsid w:val="52873053"/>
    <w:rsid w:val="53176A9C"/>
    <w:rsid w:val="53C92214"/>
    <w:rsid w:val="53F40CBE"/>
    <w:rsid w:val="540B1B54"/>
    <w:rsid w:val="542A117B"/>
    <w:rsid w:val="546F3F6B"/>
    <w:rsid w:val="54F112A5"/>
    <w:rsid w:val="559336C4"/>
    <w:rsid w:val="56050830"/>
    <w:rsid w:val="56DD1F1C"/>
    <w:rsid w:val="56FD61CE"/>
    <w:rsid w:val="58384F9B"/>
    <w:rsid w:val="585B5B7A"/>
    <w:rsid w:val="595744CF"/>
    <w:rsid w:val="5BC845D7"/>
    <w:rsid w:val="5C537622"/>
    <w:rsid w:val="5CDD10BF"/>
    <w:rsid w:val="5D3F5BD6"/>
    <w:rsid w:val="5E052881"/>
    <w:rsid w:val="5F273CAC"/>
    <w:rsid w:val="5F5027A2"/>
    <w:rsid w:val="60916674"/>
    <w:rsid w:val="61877856"/>
    <w:rsid w:val="6249287A"/>
    <w:rsid w:val="64287ECD"/>
    <w:rsid w:val="64C90076"/>
    <w:rsid w:val="653B4187"/>
    <w:rsid w:val="65F60B40"/>
    <w:rsid w:val="66042581"/>
    <w:rsid w:val="677E43FB"/>
    <w:rsid w:val="6A0D0A67"/>
    <w:rsid w:val="6A163E39"/>
    <w:rsid w:val="6A2E5D2C"/>
    <w:rsid w:val="6C4B4ADF"/>
    <w:rsid w:val="6C63752A"/>
    <w:rsid w:val="6D4579BF"/>
    <w:rsid w:val="6D7935F9"/>
    <w:rsid w:val="6E06478D"/>
    <w:rsid w:val="6E322ED1"/>
    <w:rsid w:val="6FDC2C9B"/>
    <w:rsid w:val="7015325F"/>
    <w:rsid w:val="71784B30"/>
    <w:rsid w:val="71E21A2C"/>
    <w:rsid w:val="738D6525"/>
    <w:rsid w:val="755358DC"/>
    <w:rsid w:val="75A504A5"/>
    <w:rsid w:val="76B17241"/>
    <w:rsid w:val="76C635C6"/>
    <w:rsid w:val="77790D29"/>
    <w:rsid w:val="792225EC"/>
    <w:rsid w:val="79C60827"/>
    <w:rsid w:val="7A0343B8"/>
    <w:rsid w:val="7A292D70"/>
    <w:rsid w:val="7B235383"/>
    <w:rsid w:val="7BF917C8"/>
    <w:rsid w:val="7C822C5D"/>
    <w:rsid w:val="7DB61306"/>
    <w:rsid w:val="7DD131DB"/>
    <w:rsid w:val="7F2A3721"/>
    <w:rsid w:val="7F984CE1"/>
    <w:rsid w:val="7FE21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tabs>
        <w:tab w:val="left" w:pos="576"/>
        <w:tab w:val="left" w:pos="3276"/>
      </w:tabs>
      <w:spacing w:before="260" w:after="260" w:line="415" w:lineRule="auto"/>
      <w:ind w:left="3276" w:hanging="576"/>
      <w:outlineLvl w:val="1"/>
    </w:pPr>
    <w:rPr>
      <w:b/>
      <w:sz w:val="32"/>
    </w:rPr>
  </w:style>
  <w:style w:type="paragraph" w:styleId="6">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qFormat/>
    <w:uiPriority w:val="0"/>
    <w:pPr>
      <w:spacing w:line="360" w:lineRule="exact"/>
    </w:pPr>
    <w:rPr>
      <w:rFonts w:ascii="黑体" w:eastAsia="黑体"/>
      <w:sz w:val="28"/>
      <w:szCs w:val="20"/>
    </w:rPr>
  </w:style>
  <w:style w:type="paragraph" w:styleId="7">
    <w:name w:val="Document Map"/>
    <w:basedOn w:val="1"/>
    <w:semiHidden/>
    <w:qFormat/>
    <w:uiPriority w:val="0"/>
    <w:pPr>
      <w:shd w:val="clear" w:color="auto" w:fill="000080"/>
    </w:pPr>
  </w:style>
  <w:style w:type="paragraph" w:styleId="8">
    <w:name w:val="Body Text Indent"/>
    <w:basedOn w:val="1"/>
    <w:qFormat/>
    <w:uiPriority w:val="0"/>
    <w:pPr>
      <w:spacing w:line="360" w:lineRule="auto"/>
      <w:ind w:firstLine="480" w:firstLineChars="200"/>
    </w:pPr>
    <w:rPr>
      <w:sz w:val="24"/>
    </w:rPr>
  </w:style>
  <w:style w:type="paragraph" w:styleId="9">
    <w:name w:val="Plain Text"/>
    <w:basedOn w:val="1"/>
    <w:qFormat/>
    <w:uiPriority w:val="0"/>
    <w:rPr>
      <w:rFonts w:ascii="宋体" w:hAnsi="Courier New"/>
      <w:szCs w:val="20"/>
    </w:rPr>
  </w:style>
  <w:style w:type="paragraph" w:styleId="10">
    <w:name w:val="Date"/>
    <w:basedOn w:val="1"/>
    <w:next w:val="1"/>
    <w:link w:val="21"/>
    <w:qFormat/>
    <w:uiPriority w:val="0"/>
    <w:pPr>
      <w:ind w:left="100" w:leftChars="2500"/>
    </w:p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rPr>
  </w:style>
  <w:style w:type="paragraph" w:styleId="13">
    <w:name w:val="Normal (Web)"/>
    <w:basedOn w:val="1"/>
    <w:qFormat/>
    <w:uiPriority w:val="0"/>
    <w:pPr>
      <w:spacing w:before="100" w:beforeAutospacing="1" w:after="100" w:afterAutospacing="1"/>
      <w:jc w:val="left"/>
    </w:pPr>
    <w:rPr>
      <w:kern w:val="0"/>
      <w:sz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basedOn w:val="16"/>
    <w:qFormat/>
    <w:uiPriority w:val="0"/>
    <w:rPr>
      <w:b/>
    </w:rPr>
  </w:style>
  <w:style w:type="character" w:styleId="18">
    <w:name w:val="page number"/>
    <w:basedOn w:val="16"/>
    <w:qFormat/>
    <w:uiPriority w:val="0"/>
  </w:style>
  <w:style w:type="character" w:styleId="19">
    <w:name w:val="Emphasis"/>
    <w:qFormat/>
    <w:uiPriority w:val="20"/>
    <w:rPr>
      <w:i/>
      <w:iCs/>
    </w:rPr>
  </w:style>
  <w:style w:type="character" w:styleId="20">
    <w:name w:val="Hyperlink"/>
    <w:basedOn w:val="16"/>
    <w:qFormat/>
    <w:uiPriority w:val="0"/>
    <w:rPr>
      <w:color w:val="0000FF"/>
      <w:u w:val="single"/>
    </w:rPr>
  </w:style>
  <w:style w:type="character" w:customStyle="1" w:styleId="21">
    <w:name w:val="日期 Char"/>
    <w:link w:val="10"/>
    <w:qFormat/>
    <w:uiPriority w:val="0"/>
    <w:rPr>
      <w:kern w:val="2"/>
      <w:sz w:val="21"/>
    </w:rPr>
  </w:style>
  <w:style w:type="character" w:customStyle="1" w:styleId="22">
    <w:name w:val="mark"/>
    <w:basedOn w:val="16"/>
    <w:qFormat/>
    <w:uiPriority w:val="0"/>
  </w:style>
  <w:style w:type="paragraph" w:customStyle="1" w:styleId="23">
    <w:name w:val="表"/>
    <w:qFormat/>
    <w:uiPriority w:val="0"/>
    <w:pPr>
      <w:snapToGrid w:val="0"/>
      <w:spacing w:line="440" w:lineRule="exact"/>
      <w:jc w:val="center"/>
    </w:pPr>
    <w:rPr>
      <w:rFonts w:ascii="Times New Roman" w:hAnsi="Times New Roman" w:eastAsia="宋体" w:cs="Times New Roman"/>
      <w:kern w:val="1"/>
      <w:sz w:val="24"/>
      <w:szCs w:val="24"/>
      <w:lang w:val="en-US" w:eastAsia="ar-SA" w:bidi="ar-SA"/>
    </w:rPr>
  </w:style>
  <w:style w:type="paragraph" w:customStyle="1" w:styleId="24">
    <w:name w:val="Char Char Char Char"/>
    <w:basedOn w:val="1"/>
    <w:qFormat/>
    <w:uiPriority w:val="0"/>
  </w:style>
  <w:style w:type="paragraph" w:customStyle="1" w:styleId="25">
    <w:name w:val="Char Char Char Char Char Char"/>
    <w:basedOn w:val="7"/>
    <w:qFormat/>
    <w:uiPriority w:val="0"/>
    <w:rPr>
      <w:rFonts w:ascii="Tahoma" w:hAnsi="Tahoma"/>
      <w:sz w:val="24"/>
      <w:szCs w:val="24"/>
    </w:rPr>
  </w:style>
  <w:style w:type="paragraph" w:styleId="26">
    <w:name w:val="No Spacing"/>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27">
    <w:name w:val="msolistparagraph"/>
    <w:basedOn w:val="1"/>
    <w:qFormat/>
    <w:uiPriority w:val="0"/>
    <w:pPr>
      <w:spacing w:line="360" w:lineRule="auto"/>
      <w:ind w:firstLine="420" w:firstLineChars="200"/>
    </w:pPr>
    <w:rPr>
      <w:rFonts w:ascii="Calibri" w:hAnsi="Calibri" w:cs="Calibri"/>
      <w:szCs w:val="21"/>
    </w:rPr>
  </w:style>
  <w:style w:type="paragraph" w:customStyle="1" w:styleId="2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9">
    <w:name w:val="样式 标题 2"/>
    <w:basedOn w:val="5"/>
    <w:qFormat/>
    <w:uiPriority w:val="0"/>
    <w:rPr>
      <w:b w:val="0"/>
    </w:rPr>
  </w:style>
  <w:style w:type="paragraph" w:customStyle="1" w:styleId="30">
    <w:name w:val="样式1"/>
    <w:basedOn w:val="1"/>
    <w:qFormat/>
    <w:uiPriority w:val="0"/>
    <w:pPr>
      <w:numPr>
        <w:ilvl w:val="2"/>
        <w:numId w:val="1"/>
      </w:numPr>
      <w:tabs>
        <w:tab w:val="left" w:pos="570"/>
      </w:tabs>
      <w:spacing w:line="360" w:lineRule="auto"/>
    </w:pPr>
    <w:rPr>
      <w:rFonts w:ascii="宋体"/>
      <w:sz w:val="24"/>
    </w:rPr>
  </w:style>
  <w:style w:type="paragraph" w:customStyle="1" w:styleId="31">
    <w:name w:val="正文1"/>
    <w:basedOn w:val="1"/>
    <w:qFormat/>
    <w:uiPriority w:val="0"/>
    <w:pPr>
      <w:autoSpaceDE w:val="0"/>
      <w:spacing w:line="276" w:lineRule="auto"/>
      <w:ind w:firstLine="480" w:firstLineChars="200"/>
    </w:pPr>
    <w:rPr>
      <w:kern w:val="0"/>
      <w:sz w:val="24"/>
      <w:szCs w:val="20"/>
    </w:rPr>
  </w:style>
  <w:style w:type="paragraph" w:customStyle="1" w:styleId="32">
    <w:name w:val="Char"/>
    <w:basedOn w:val="1"/>
    <w:qFormat/>
    <w:uiPriority w:val="0"/>
    <w:pPr>
      <w:widowControl/>
      <w:spacing w:line="348" w:lineRule="auto"/>
      <w:ind w:firstLine="560" w:firstLineChars="200"/>
    </w:pPr>
    <w:rPr>
      <w:rFonts w:eastAsia="仿宋_GB2312"/>
      <w:sz w:val="28"/>
    </w:rPr>
  </w:style>
  <w:style w:type="paragraph" w:customStyle="1" w:styleId="33">
    <w:name w:val="D1"/>
    <w:basedOn w:val="1"/>
    <w:qFormat/>
    <w:uiPriority w:val="0"/>
    <w:pPr>
      <w:spacing w:line="480" w:lineRule="auto"/>
    </w:pPr>
    <w:rPr>
      <w:rFonts w:ascii="EU-F1" w:eastAsia="黑体"/>
      <w:szCs w:val="21"/>
    </w:rPr>
  </w:style>
  <w:style w:type="paragraph" w:customStyle="1" w:styleId="34">
    <w:name w:val="p0"/>
    <w:basedOn w:val="1"/>
    <w:qFormat/>
    <w:uiPriority w:val="0"/>
    <w:pPr>
      <w:widowControl/>
      <w:jc w:val="left"/>
    </w:pPr>
    <w:rPr>
      <w:rFonts w:ascii="Calibri" w:hAnsi="Calibri" w:eastAsia="Arial Unicode MS"/>
      <w:kern w:val="0"/>
      <w:szCs w:val="20"/>
    </w:rPr>
  </w:style>
  <w:style w:type="paragraph" w:customStyle="1" w:styleId="35">
    <w:name w:val="WPSOffice手动目录 1"/>
    <w:uiPriority w:val="0"/>
    <w:pPr>
      <w:ind w:leftChars="0"/>
    </w:pPr>
    <w:rPr>
      <w:sz w:val="20"/>
      <w:szCs w:val="20"/>
    </w:rPr>
  </w:style>
  <w:style w:type="paragraph" w:customStyle="1" w:styleId="36">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gold</Company>
  <Pages>5</Pages>
  <Words>2576</Words>
  <Characters>2820</Characters>
  <Lines>16</Lines>
  <Paragraphs>4</Paragraphs>
  <TotalTime>0</TotalTime>
  <ScaleCrop>false</ScaleCrop>
  <LinksUpToDate>false</LinksUpToDate>
  <CharactersWithSpaces>2851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2023-08-28T01:24:00Z</dcterms:created>
  <dc:creator>zmc</dc:creator>
  <cp:lastModifiedBy>hncsg</cp:lastModifiedBy>
  <dcterms:modified xsi:type="dcterms:W3CDTF">2025-07-19T09:48:16Z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EAECF993B321464CADBB4AEF768BC402_13</vt:lpwstr>
  </property>
  <property fmtid="{D5CDD505-2E9C-101B-9397-08002B2CF9AE}" pid="4" name="KSOTemplateDocerSaveRecord">
    <vt:lpwstr>eyJoZGlkIjoiOTBlYjA3MDdlMDk3ZGI0NzBiYjVmM2FlZjkyNzAwNmEiLCJ1c2VySWQiOiIyNDcxNDIxMjAifQ==</vt:lpwstr>
  </property>
</Properties>
</file>