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rPr>
        <w:t>气体发生器</w:t>
      </w:r>
    </w:p>
    <w:p>
      <w:pPr>
        <w:spacing w:line="360" w:lineRule="auto"/>
        <w:jc w:val="center"/>
        <w:rPr>
          <w:rFonts w:hint="eastAsia" w:ascii="Times New Roman" w:hAnsi="Times New Roman" w:eastAsia="黑体" w:cs="Times New Roman"/>
          <w:b/>
          <w:bCs/>
          <w:sz w:val="56"/>
          <w:szCs w:val="5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8757"/>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_Toc15668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_Toc15668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_Toc17621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_Toc17621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_Toc27635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_Toc27635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_Toc25544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_Toc25544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_Toc32555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_Toc32555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_Toc1297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_Toc1297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_Toc2338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_Toc2338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_Toc8659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_Toc8659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_Toc30339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_Toc30339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_Toc13275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_Toc13275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_Toc17031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_Toc17031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_Toc6042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_Toc6042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_Toc21903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_Toc21903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_Toc25298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_Toc25298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15668"/>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气体发生器的招标，它提出设备的功能、结构、性能、安装和试验等方面的技术要求。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w:t>
      </w:r>
      <w:r>
        <w:rPr>
          <w:rFonts w:hint="eastAsia" w:ascii="宋体" w:hAnsi="宋体" w:eastAsia="宋体" w:cs="宋体"/>
          <w:sz w:val="28"/>
          <w:szCs w:val="28"/>
        </w:rPr>
        <w:t>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17621"/>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DL/T</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596</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电力设备预防性试验规程</w:t>
      </w:r>
    </w:p>
    <w:p>
      <w:pPr>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GB</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4793</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电子测量仪器安全要求</w:t>
      </w:r>
    </w:p>
    <w:p>
      <w:pPr>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GB/T</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2423.8</w:t>
      </w:r>
      <w:r>
        <w:rPr>
          <w:rFonts w:hint="eastAsia" w:ascii="宋体" w:hAnsi="宋体" w:eastAsia="宋体" w:cs="宋体"/>
          <w:color w:val="000000"/>
          <w:sz w:val="28"/>
          <w:szCs w:val="28"/>
          <w:lang w:val="en-US" w:eastAsia="zh-CN"/>
        </w:rPr>
        <w:t xml:space="preserve">   电</w:t>
      </w:r>
      <w:r>
        <w:rPr>
          <w:rFonts w:hint="eastAsia" w:ascii="宋体" w:hAnsi="宋体" w:eastAsia="宋体" w:cs="宋体"/>
          <w:color w:val="000000"/>
          <w:sz w:val="28"/>
          <w:szCs w:val="28"/>
        </w:rPr>
        <w:t>工电子产品基本环境试验规程</w:t>
      </w:r>
    </w:p>
    <w:p>
      <w:pPr>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 xml:space="preserve">IEC 61010-031  </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测量、控制和实验室用电气设备的安全要求</w:t>
      </w:r>
    </w:p>
    <w:p>
      <w:pPr>
        <w:numPr>
          <w:ilvl w:val="0"/>
          <w:numId w:val="0"/>
        </w:numPr>
        <w:spacing w:line="360" w:lineRule="auto"/>
        <w:ind w:leftChars="0"/>
        <w:outlineLvl w:val="0"/>
        <w:rPr>
          <w:rFonts w:hint="eastAsia" w:ascii="宋体" w:hAnsi="宋体" w:eastAsia="宋体" w:cs="宋体"/>
          <w:b/>
          <w:sz w:val="30"/>
          <w:szCs w:val="30"/>
        </w:rPr>
      </w:pPr>
      <w:bookmarkStart w:id="2" w:name="_Toc27635"/>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环境</w:t>
      </w:r>
      <w:r>
        <w:rPr>
          <w:rFonts w:hint="eastAsia" w:ascii="宋体" w:hAnsi="宋体" w:eastAsia="宋体" w:cs="宋体"/>
          <w:sz w:val="28"/>
          <w:szCs w:val="28"/>
          <w:lang w:val="en-US" w:eastAsia="zh-CN"/>
        </w:rPr>
        <w:t>温度：-20℃～70℃</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环境湿度：≤90%RH</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w:t>
      </w:r>
      <w:r>
        <w:rPr>
          <w:rFonts w:hint="eastAsia" w:ascii="宋体" w:hAnsi="宋体" w:eastAsia="宋体" w:cs="宋体"/>
          <w:sz w:val="28"/>
          <w:szCs w:val="28"/>
          <w:lang w:val="en-US" w:eastAsia="zh-CN"/>
        </w:rPr>
        <w:t>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5544"/>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32555"/>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）能</w:t>
      </w:r>
      <w:r>
        <w:rPr>
          <w:rFonts w:hint="eastAsia" w:ascii="宋体" w:hAnsi="宋体" w:eastAsia="宋体" w:cs="宋体"/>
          <w:sz w:val="28"/>
          <w:szCs w:val="28"/>
          <w:lang w:val="en-US" w:eastAsia="zh-CN"/>
        </w:rPr>
        <w:t>制备氢气、氮气、空气等。</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rPr>
        <w:t>满足实验室气相色谱测试仪FID，NPD，FPD，TCD，ELCD， HALL，HWD检测器用高纯氮气、压缩空气及高纯氢气纯度要求</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需满足至少两台气相色谱仪同时使用</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气体纯度99.9995%，</w:t>
      </w:r>
      <w:r>
        <w:rPr>
          <w:rFonts w:hint="eastAsia" w:ascii="宋体" w:hAnsi="宋体" w:eastAsia="宋体" w:cs="宋体"/>
          <w:sz w:val="28"/>
          <w:szCs w:val="28"/>
          <w:lang w:val="en-US" w:eastAsia="zh-CN"/>
        </w:rPr>
        <w:t>应</w:t>
      </w:r>
      <w:r>
        <w:rPr>
          <w:rFonts w:hint="eastAsia" w:ascii="宋体" w:hAnsi="宋体" w:eastAsia="宋体" w:cs="宋体"/>
          <w:sz w:val="28"/>
          <w:szCs w:val="28"/>
        </w:rPr>
        <w:t>符合气相色谱检测器燃气或载气应用要求</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297"/>
      <w:r>
        <w:rPr>
          <w:rFonts w:hint="eastAsia" w:ascii="宋体" w:hAnsi="宋体" w:eastAsia="宋体" w:cs="宋体"/>
          <w:sz w:val="28"/>
          <w:szCs w:val="28"/>
        </w:rPr>
        <w:t>4.2 技术指标要求</w:t>
      </w:r>
      <w:bookmarkEnd w:id="5"/>
      <w:bookmarkEnd w:id="6"/>
      <w:bookmarkEnd w:id="7"/>
      <w:bookmarkEnd w:id="8"/>
    </w:p>
    <w:tbl>
      <w:tblPr>
        <w:tblStyle w:val="14"/>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5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5601"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输出压力</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0～0.6MPa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输出压力稳定性</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≤±0.001MPa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rPr>
              <w:t>输出流量：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rPr>
              <w:t>0～300ml／min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rPr>
              <w:t>气体纯度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氮气</w:t>
            </w:r>
            <w:r>
              <w:rPr>
                <w:rFonts w:hint="eastAsia" w:ascii="宋体" w:hAnsi="宋体" w:eastAsia="宋体" w:cs="宋体"/>
                <w:sz w:val="28"/>
                <w:szCs w:val="28"/>
                <w:lang w:eastAsia="zh-CN"/>
              </w:rPr>
              <w:t>）</w:t>
            </w:r>
            <w:r>
              <w:rPr>
                <w:rFonts w:hint="eastAsia" w:ascii="宋体" w:hAnsi="宋体" w:eastAsia="宋体" w:cs="宋体"/>
                <w:sz w:val="28"/>
                <w:szCs w:val="28"/>
              </w:rPr>
              <w:t>含氧量小于3ppm</w:t>
            </w:r>
            <w:r>
              <w:rPr>
                <w:rFonts w:hint="eastAsia" w:ascii="宋体" w:hAnsi="宋体" w:eastAsia="宋体" w:cs="宋体"/>
                <w:sz w:val="28"/>
                <w:szCs w:val="28"/>
                <w:lang w:eastAsia="zh-CN"/>
              </w:rPr>
              <w:t>，</w:t>
            </w:r>
            <w:r>
              <w:rPr>
                <w:rFonts w:hint="eastAsia" w:ascii="宋体" w:hAnsi="宋体" w:eastAsia="宋体" w:cs="宋体"/>
                <w:sz w:val="28"/>
                <w:szCs w:val="28"/>
              </w:rPr>
              <w:t>露点-56℃</w:t>
            </w:r>
            <w:r>
              <w:rPr>
                <w:rFonts w:hint="eastAsia" w:ascii="宋体" w:hAnsi="宋体" w:eastAsia="宋体" w:cs="宋体"/>
                <w:sz w:val="28"/>
                <w:szCs w:val="28"/>
                <w:lang w:eastAsia="zh-CN"/>
              </w:rPr>
              <w:t>，（</w:t>
            </w:r>
            <w:r>
              <w:rPr>
                <w:rFonts w:hint="eastAsia" w:ascii="宋体" w:hAnsi="宋体" w:eastAsia="宋体" w:cs="宋体"/>
                <w:sz w:val="28"/>
                <w:szCs w:val="28"/>
              </w:rPr>
              <w:t>氢气</w:t>
            </w:r>
            <w:r>
              <w:rPr>
                <w:rFonts w:hint="eastAsia" w:ascii="宋体" w:hAnsi="宋体" w:eastAsia="宋体" w:cs="宋体"/>
                <w:sz w:val="28"/>
                <w:szCs w:val="28"/>
                <w:lang w:eastAsia="zh-CN"/>
              </w:rPr>
              <w:t>）</w:t>
            </w:r>
            <w:r>
              <w:rPr>
                <w:rFonts w:hint="eastAsia" w:ascii="宋体" w:hAnsi="宋体" w:eastAsia="宋体" w:cs="宋体"/>
                <w:sz w:val="28"/>
                <w:szCs w:val="28"/>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氮气、氢气、空气输出流量：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0～300ml／min，（空气：0—2000 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氮气</w:t>
            </w:r>
            <w:r>
              <w:rPr>
                <w:rFonts w:hint="eastAsia" w:ascii="宋体" w:hAnsi="宋体" w:eastAsia="宋体" w:cs="宋体"/>
                <w:sz w:val="28"/>
                <w:szCs w:val="28"/>
                <w:lang w:eastAsia="zh-CN"/>
              </w:rPr>
              <w:t>、</w:t>
            </w:r>
            <w:r>
              <w:rPr>
                <w:rFonts w:hint="eastAsia" w:ascii="宋体" w:hAnsi="宋体" w:eastAsia="宋体" w:cs="宋体"/>
                <w:sz w:val="28"/>
                <w:szCs w:val="28"/>
              </w:rPr>
              <w:t>氢气</w:t>
            </w:r>
            <w:r>
              <w:rPr>
                <w:rFonts w:hint="eastAsia" w:ascii="宋体" w:hAnsi="宋体" w:eastAsia="宋体" w:cs="宋体"/>
                <w:sz w:val="28"/>
                <w:szCs w:val="28"/>
                <w:lang w:eastAsia="zh-CN"/>
              </w:rPr>
              <w:t>、</w:t>
            </w:r>
            <w:r>
              <w:rPr>
                <w:rFonts w:hint="eastAsia" w:ascii="宋体" w:hAnsi="宋体" w:eastAsia="宋体" w:cs="宋体"/>
                <w:sz w:val="28"/>
                <w:szCs w:val="28"/>
              </w:rPr>
              <w:t>空气输出</w:t>
            </w:r>
            <w:r>
              <w:rPr>
                <w:rFonts w:hint="eastAsia" w:ascii="宋体" w:hAnsi="宋体" w:eastAsia="宋体" w:cs="宋体"/>
                <w:sz w:val="28"/>
                <w:szCs w:val="28"/>
                <w:lang w:val="en-US" w:eastAsia="zh-CN"/>
              </w:rPr>
              <w:t>压力</w:t>
            </w:r>
            <w:r>
              <w:rPr>
                <w:rFonts w:hint="eastAsia" w:ascii="宋体" w:hAnsi="宋体" w:eastAsia="宋体" w:cs="宋体"/>
                <w:sz w:val="28"/>
                <w:szCs w:val="28"/>
              </w:rPr>
              <w:t>：</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0.4 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气体纯度</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储液量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1000ml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水质要求</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蒸馏水或去离子水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最大功率</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330</w:t>
            </w:r>
            <w:r>
              <w:rPr>
                <w:rFonts w:hint="eastAsia" w:ascii="宋体" w:hAnsi="宋体" w:eastAsia="宋体" w:cs="宋体"/>
                <w:sz w:val="28"/>
                <w:szCs w:val="28"/>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电源电压</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AC220V±10％,50Hz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重量</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w:t>
            </w:r>
            <w:r>
              <w:rPr>
                <w:rFonts w:hint="eastAsia" w:ascii="宋体" w:hAnsi="宋体" w:eastAsia="宋体" w:cs="宋体"/>
                <w:sz w:val="28"/>
                <w:szCs w:val="28"/>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外形尺寸</w:t>
            </w:r>
          </w:p>
        </w:tc>
        <w:tc>
          <w:tcPr>
            <w:tcW w:w="560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320×180×350（L×W×H）单位：mm</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2338"/>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725"/>
        <w:gridCol w:w="172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725" w:type="dxa"/>
            <w:vAlign w:val="center"/>
          </w:tcPr>
          <w:p>
            <w:pPr>
              <w:pStyle w:val="24"/>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723" w:type="dxa"/>
            <w:vAlign w:val="center"/>
          </w:tcPr>
          <w:p>
            <w:pPr>
              <w:pStyle w:val="24"/>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4"/>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72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rPr>
              <w:t>气体发生器</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bCs/>
                <w:sz w:val="28"/>
                <w:szCs w:val="28"/>
                <w:lang w:val="en-US" w:eastAsia="zh-CN"/>
              </w:rPr>
              <w:t>2件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725"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电源线</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72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sz w:val="28"/>
                <w:szCs w:val="28"/>
              </w:rPr>
              <w:t>使用说明书</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72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sz w:val="28"/>
                <w:szCs w:val="28"/>
              </w:rPr>
              <w:t>检验证明</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725" w:type="dxa"/>
            <w:vAlign w:val="center"/>
          </w:tcPr>
          <w:p>
            <w:pPr>
              <w:spacing w:line="240" w:lineRule="auto"/>
              <w:jc w:val="center"/>
              <w:rPr>
                <w:rFonts w:hint="eastAsia" w:ascii="宋体" w:hAnsi="宋体" w:eastAsia="宋体" w:cs="宋体"/>
                <w:color w:val="auto"/>
                <w:sz w:val="28"/>
                <w:szCs w:val="28"/>
                <w:highlight w:val="none"/>
              </w:rPr>
            </w:pPr>
            <w:r>
              <w:rPr>
                <w:rFonts w:hint="eastAsia" w:ascii="宋体" w:hAnsi="宋体" w:eastAsia="宋体" w:cs="宋体"/>
                <w:sz w:val="28"/>
                <w:szCs w:val="28"/>
              </w:rPr>
              <w:t>装箱单</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4"/>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725" w:type="dxa"/>
            <w:vAlign w:val="center"/>
          </w:tcPr>
          <w:p>
            <w:pPr>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具有CNAS资质第三方检测/校准报告</w:t>
            </w:r>
          </w:p>
        </w:tc>
        <w:tc>
          <w:tcPr>
            <w:tcW w:w="172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6348"/>
      <w:bookmarkStart w:id="11" w:name="_Toc12038"/>
      <w:bookmarkStart w:id="12" w:name="_Toc10357"/>
      <w:bookmarkStart w:id="13" w:name="_Toc22926"/>
      <w:bookmarkStart w:id="14" w:name="_Toc28845"/>
      <w:bookmarkStart w:id="15" w:name="_Toc8659"/>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31053"/>
      <w:bookmarkStart w:id="17" w:name="_Toc16264"/>
      <w:bookmarkStart w:id="18" w:name="_Toc18597"/>
      <w:bookmarkStart w:id="19" w:name="_Toc11534"/>
      <w:bookmarkStart w:id="20" w:name="_Toc19111"/>
      <w:bookmarkStart w:id="21" w:name="_Toc23336"/>
      <w:bookmarkStart w:id="22" w:name="_Toc30339"/>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3099"/>
      <w:bookmarkStart w:id="25" w:name="_Toc18060"/>
      <w:bookmarkStart w:id="26" w:name="_Toc16249"/>
      <w:bookmarkStart w:id="27" w:name="_Toc18435"/>
      <w:bookmarkStart w:id="28" w:name="_Toc29029"/>
      <w:bookmarkStart w:id="29" w:name="_Toc31014"/>
      <w:bookmarkStart w:id="30" w:name="_Toc13275"/>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30"/>
      <w:bookmarkStart w:id="34" w:name="_Toc12501"/>
      <w:bookmarkStart w:id="35" w:name="_Toc4614"/>
      <w:bookmarkStart w:id="36" w:name="_Toc6783"/>
      <w:bookmarkStart w:id="37" w:name="_Toc5683"/>
      <w:bookmarkStart w:id="38" w:name="_Toc17905"/>
      <w:bookmarkStart w:id="39" w:name="_Toc17031"/>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6"/>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6"/>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3624"/>
      <w:bookmarkStart w:id="45" w:name="_Toc25839"/>
      <w:bookmarkStart w:id="46" w:name="_Toc7428"/>
      <w:bookmarkStart w:id="47" w:name="_Toc2928"/>
      <w:bookmarkStart w:id="48" w:name="_Toc10568"/>
      <w:bookmarkStart w:id="49" w:name="_Toc6042"/>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41535612"/>
      <w:bookmarkStart w:id="55" w:name="_Toc387612875"/>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7907"/>
      <w:bookmarkStart w:id="57" w:name="_Toc19273"/>
      <w:bookmarkStart w:id="58" w:name="_Toc16533"/>
      <w:bookmarkStart w:id="59" w:name="_Toc7867"/>
      <w:bookmarkStart w:id="60" w:name="_Toc23903"/>
      <w:bookmarkStart w:id="61" w:name="_Toc22741"/>
      <w:bookmarkStart w:id="62" w:name="_Toc21903"/>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6"/>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87612876"/>
      <w:bookmarkStart w:id="65" w:name="_Toc341535616"/>
      <w:bookmarkStart w:id="66"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5384"/>
      <w:bookmarkStart w:id="68" w:name="_Toc22068"/>
      <w:bookmarkStart w:id="69" w:name="_Toc5236"/>
      <w:bookmarkStart w:id="70" w:name="_Toc17828"/>
      <w:bookmarkStart w:id="71" w:name="_Toc1461"/>
      <w:bookmarkStart w:id="72" w:name="_Toc9650"/>
      <w:bookmarkStart w:id="73" w:name="_Toc25298"/>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变电专业气体发生器技术规范书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1F1CE9"/>
    <w:rsid w:val="023D3507"/>
    <w:rsid w:val="039970F0"/>
    <w:rsid w:val="03BE6A6F"/>
    <w:rsid w:val="04B85A8C"/>
    <w:rsid w:val="04E43113"/>
    <w:rsid w:val="06C83369"/>
    <w:rsid w:val="06F74250"/>
    <w:rsid w:val="06FC1FE4"/>
    <w:rsid w:val="073440CA"/>
    <w:rsid w:val="083B22E9"/>
    <w:rsid w:val="09912E73"/>
    <w:rsid w:val="09DA6CE5"/>
    <w:rsid w:val="0A3E0175"/>
    <w:rsid w:val="0A7814BB"/>
    <w:rsid w:val="0AA06A69"/>
    <w:rsid w:val="0B1D612C"/>
    <w:rsid w:val="0B9E7B3E"/>
    <w:rsid w:val="0BAC324C"/>
    <w:rsid w:val="0BBD0B5D"/>
    <w:rsid w:val="0BD92CA9"/>
    <w:rsid w:val="0C641B1E"/>
    <w:rsid w:val="0D09760B"/>
    <w:rsid w:val="0DF84B27"/>
    <w:rsid w:val="0E4C7BE5"/>
    <w:rsid w:val="0ED04650"/>
    <w:rsid w:val="0EE958DE"/>
    <w:rsid w:val="0F4B632C"/>
    <w:rsid w:val="117656A1"/>
    <w:rsid w:val="11C76314"/>
    <w:rsid w:val="11F81621"/>
    <w:rsid w:val="121A5772"/>
    <w:rsid w:val="122703EF"/>
    <w:rsid w:val="129375E2"/>
    <w:rsid w:val="1364719A"/>
    <w:rsid w:val="13A0311A"/>
    <w:rsid w:val="14AE74C4"/>
    <w:rsid w:val="152A59B2"/>
    <w:rsid w:val="157E633F"/>
    <w:rsid w:val="1670755D"/>
    <w:rsid w:val="17247B54"/>
    <w:rsid w:val="17474CA5"/>
    <w:rsid w:val="17B22491"/>
    <w:rsid w:val="17E9578A"/>
    <w:rsid w:val="18593DD0"/>
    <w:rsid w:val="193C2EF3"/>
    <w:rsid w:val="196A1CCC"/>
    <w:rsid w:val="19F05946"/>
    <w:rsid w:val="1A050DE8"/>
    <w:rsid w:val="1B5F7121"/>
    <w:rsid w:val="1D2160BE"/>
    <w:rsid w:val="1E476C31"/>
    <w:rsid w:val="206C32B1"/>
    <w:rsid w:val="20A85646"/>
    <w:rsid w:val="22783F62"/>
    <w:rsid w:val="22F56ECA"/>
    <w:rsid w:val="23846F1A"/>
    <w:rsid w:val="23C245B7"/>
    <w:rsid w:val="26301520"/>
    <w:rsid w:val="264B09E7"/>
    <w:rsid w:val="281E05B5"/>
    <w:rsid w:val="29253C5F"/>
    <w:rsid w:val="292B071C"/>
    <w:rsid w:val="2C03061C"/>
    <w:rsid w:val="2D5F3BEA"/>
    <w:rsid w:val="2DAD1295"/>
    <w:rsid w:val="2F82055E"/>
    <w:rsid w:val="3015100B"/>
    <w:rsid w:val="30575940"/>
    <w:rsid w:val="32B02F4F"/>
    <w:rsid w:val="32ED7EDB"/>
    <w:rsid w:val="33515420"/>
    <w:rsid w:val="3459654B"/>
    <w:rsid w:val="34B318D2"/>
    <w:rsid w:val="35724440"/>
    <w:rsid w:val="35E67CC2"/>
    <w:rsid w:val="35EA73E3"/>
    <w:rsid w:val="370A7BEE"/>
    <w:rsid w:val="37130BEA"/>
    <w:rsid w:val="397E1DFD"/>
    <w:rsid w:val="39887DF1"/>
    <w:rsid w:val="398B33E3"/>
    <w:rsid w:val="3AF505AA"/>
    <w:rsid w:val="3B007723"/>
    <w:rsid w:val="3B3E176C"/>
    <w:rsid w:val="3BC03446"/>
    <w:rsid w:val="3EB65EA7"/>
    <w:rsid w:val="3F306184"/>
    <w:rsid w:val="3F815EBD"/>
    <w:rsid w:val="40080BE3"/>
    <w:rsid w:val="407946F1"/>
    <w:rsid w:val="4592285F"/>
    <w:rsid w:val="45FA704D"/>
    <w:rsid w:val="461061B1"/>
    <w:rsid w:val="46122A69"/>
    <w:rsid w:val="46C27AA2"/>
    <w:rsid w:val="48935017"/>
    <w:rsid w:val="49A73E15"/>
    <w:rsid w:val="4B1367B9"/>
    <w:rsid w:val="4C2C0CD0"/>
    <w:rsid w:val="4C6B6707"/>
    <w:rsid w:val="4CC534FF"/>
    <w:rsid w:val="4CF47715"/>
    <w:rsid w:val="4D442103"/>
    <w:rsid w:val="4D605863"/>
    <w:rsid w:val="4DE24485"/>
    <w:rsid w:val="52873053"/>
    <w:rsid w:val="53176A9C"/>
    <w:rsid w:val="53C92214"/>
    <w:rsid w:val="53F40CBE"/>
    <w:rsid w:val="542A117B"/>
    <w:rsid w:val="546F3F6B"/>
    <w:rsid w:val="54BC2E7B"/>
    <w:rsid w:val="54F112A5"/>
    <w:rsid w:val="559336C4"/>
    <w:rsid w:val="56DD1F1C"/>
    <w:rsid w:val="57204800"/>
    <w:rsid w:val="585B5B7A"/>
    <w:rsid w:val="595744CF"/>
    <w:rsid w:val="5C537622"/>
    <w:rsid w:val="5CDD10BF"/>
    <w:rsid w:val="5D3F5BD6"/>
    <w:rsid w:val="5E052881"/>
    <w:rsid w:val="5F273CAC"/>
    <w:rsid w:val="5F5027A2"/>
    <w:rsid w:val="60916674"/>
    <w:rsid w:val="61877856"/>
    <w:rsid w:val="6249287A"/>
    <w:rsid w:val="64C90076"/>
    <w:rsid w:val="651B253D"/>
    <w:rsid w:val="653B4187"/>
    <w:rsid w:val="65F60B40"/>
    <w:rsid w:val="66042581"/>
    <w:rsid w:val="677E43FB"/>
    <w:rsid w:val="6A0D0A67"/>
    <w:rsid w:val="6A163E39"/>
    <w:rsid w:val="6A2E5D2C"/>
    <w:rsid w:val="6B8D689A"/>
    <w:rsid w:val="6C4B4ADF"/>
    <w:rsid w:val="6C63752A"/>
    <w:rsid w:val="6D4579BF"/>
    <w:rsid w:val="6D7935F9"/>
    <w:rsid w:val="6E06478D"/>
    <w:rsid w:val="6E322ED1"/>
    <w:rsid w:val="6FDC2C9B"/>
    <w:rsid w:val="7015325F"/>
    <w:rsid w:val="71E21A2C"/>
    <w:rsid w:val="738D6525"/>
    <w:rsid w:val="755358DC"/>
    <w:rsid w:val="75A504A5"/>
    <w:rsid w:val="76C635C6"/>
    <w:rsid w:val="77790D29"/>
    <w:rsid w:val="789963FC"/>
    <w:rsid w:val="792225EC"/>
    <w:rsid w:val="79C60827"/>
    <w:rsid w:val="7A0343B8"/>
    <w:rsid w:val="7A292D70"/>
    <w:rsid w:val="7B235383"/>
    <w:rsid w:val="7BF917C8"/>
    <w:rsid w:val="7F2A3721"/>
    <w:rsid w:val="7F984CE1"/>
    <w:rsid w:val="7FCC4F32"/>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2"/>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20"/>
    <w:rPr>
      <w:i/>
      <w:iCs/>
    </w:rPr>
  </w:style>
  <w:style w:type="character" w:styleId="20">
    <w:name w:val="Hyperlink"/>
    <w:basedOn w:val="16"/>
    <w:qFormat/>
    <w:uiPriority w:val="0"/>
    <w:rPr>
      <w:color w:val="0000FF"/>
      <w:u w:val="single"/>
    </w:rPr>
  </w:style>
  <w:style w:type="character" w:styleId="21">
    <w:name w:val="annotation reference"/>
    <w:basedOn w:val="16"/>
    <w:unhideWhenUsed/>
    <w:qFormat/>
    <w:uiPriority w:val="0"/>
    <w:rPr>
      <w:sz w:val="21"/>
      <w:szCs w:val="21"/>
    </w:rPr>
  </w:style>
  <w:style w:type="character" w:customStyle="1" w:styleId="22">
    <w:name w:val="日期 Char"/>
    <w:link w:val="10"/>
    <w:qFormat/>
    <w:uiPriority w:val="0"/>
    <w:rPr>
      <w:kern w:val="2"/>
      <w:sz w:val="21"/>
    </w:rPr>
  </w:style>
  <w:style w:type="character" w:customStyle="1" w:styleId="23">
    <w:name w:val="mark"/>
    <w:basedOn w:val="16"/>
    <w:qFormat/>
    <w:uiPriority w:val="0"/>
  </w:style>
  <w:style w:type="paragraph" w:customStyle="1" w:styleId="24">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5">
    <w:name w:val="Char Char Char Char"/>
    <w:basedOn w:val="1"/>
    <w:qFormat/>
    <w:uiPriority w:val="0"/>
  </w:style>
  <w:style w:type="paragraph" w:customStyle="1" w:styleId="26">
    <w:name w:val="Char Char Char Char Char Char"/>
    <w:basedOn w:val="7"/>
    <w:qFormat/>
    <w:uiPriority w:val="0"/>
    <w:rPr>
      <w:rFonts w:ascii="Tahoma" w:hAnsi="Tahoma"/>
      <w:sz w:val="24"/>
      <w:szCs w:val="24"/>
    </w:rPr>
  </w:style>
  <w:style w:type="paragraph" w:styleId="27">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8">
    <w:name w:val="msolistparagraph"/>
    <w:basedOn w:val="1"/>
    <w:qFormat/>
    <w:uiPriority w:val="0"/>
    <w:pPr>
      <w:spacing w:line="360" w:lineRule="auto"/>
      <w:ind w:firstLine="420" w:firstLineChars="200"/>
    </w:pPr>
    <w:rPr>
      <w:rFonts w:ascii="Calibri" w:hAnsi="Calibri" w:cs="Calibri"/>
      <w:szCs w:val="21"/>
    </w:rPr>
  </w:style>
  <w:style w:type="paragraph" w:customStyle="1" w:styleId="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样式 标题 2"/>
    <w:basedOn w:val="5"/>
    <w:qFormat/>
    <w:uiPriority w:val="0"/>
    <w:rPr>
      <w:b w:val="0"/>
    </w:rPr>
  </w:style>
  <w:style w:type="paragraph" w:customStyle="1" w:styleId="31">
    <w:name w:val="样式1"/>
    <w:basedOn w:val="1"/>
    <w:qFormat/>
    <w:uiPriority w:val="0"/>
    <w:pPr>
      <w:numPr>
        <w:ilvl w:val="2"/>
        <w:numId w:val="1"/>
      </w:numPr>
      <w:tabs>
        <w:tab w:val="left" w:pos="570"/>
      </w:tabs>
      <w:spacing w:line="360" w:lineRule="auto"/>
    </w:pPr>
    <w:rPr>
      <w:rFonts w:ascii="宋体"/>
      <w:sz w:val="24"/>
    </w:rPr>
  </w:style>
  <w:style w:type="paragraph" w:customStyle="1" w:styleId="32">
    <w:name w:val="正文1"/>
    <w:basedOn w:val="1"/>
    <w:qFormat/>
    <w:uiPriority w:val="0"/>
    <w:pPr>
      <w:autoSpaceDE w:val="0"/>
      <w:spacing w:line="276" w:lineRule="auto"/>
      <w:ind w:firstLine="480" w:firstLineChars="200"/>
    </w:pPr>
    <w:rPr>
      <w:kern w:val="0"/>
      <w:sz w:val="24"/>
      <w:szCs w:val="20"/>
    </w:rPr>
  </w:style>
  <w:style w:type="paragraph" w:customStyle="1" w:styleId="33">
    <w:name w:val="Char"/>
    <w:basedOn w:val="1"/>
    <w:qFormat/>
    <w:uiPriority w:val="0"/>
    <w:pPr>
      <w:widowControl/>
      <w:spacing w:line="348" w:lineRule="auto"/>
      <w:ind w:firstLine="560" w:firstLineChars="200"/>
    </w:pPr>
    <w:rPr>
      <w:rFonts w:eastAsia="仿宋_GB2312"/>
      <w:sz w:val="28"/>
    </w:rPr>
  </w:style>
  <w:style w:type="paragraph" w:customStyle="1" w:styleId="34">
    <w:name w:val="D1"/>
    <w:basedOn w:val="1"/>
    <w:qFormat/>
    <w:uiPriority w:val="0"/>
    <w:pPr>
      <w:spacing w:line="480" w:lineRule="auto"/>
    </w:pPr>
    <w:rPr>
      <w:rFonts w:ascii="EU-F1" w:eastAsia="黑体"/>
      <w:szCs w:val="21"/>
    </w:rPr>
  </w:style>
  <w:style w:type="paragraph" w:styleId="35">
    <w:name w:val="List Paragraph"/>
    <w:basedOn w:val="1"/>
    <w:qFormat/>
    <w:uiPriority w:val="34"/>
    <w:pPr>
      <w:ind w:firstLine="420" w:firstLineChars="200"/>
    </w:pPr>
    <w:rPr>
      <w:rFonts w:ascii="Calibri" w:hAnsi="Calibri"/>
      <w:szCs w:val="22"/>
    </w:rPr>
  </w:style>
  <w:style w:type="paragraph" w:customStyle="1" w:styleId="36">
    <w:name w:val="p0"/>
    <w:basedOn w:val="1"/>
    <w:qFormat/>
    <w:uiPriority w:val="0"/>
    <w:pPr>
      <w:widowControl/>
      <w:jc w:val="left"/>
    </w:pPr>
    <w:rPr>
      <w:rFonts w:ascii="Calibri" w:hAnsi="Calibri" w:eastAsia="Arial Unicode MS"/>
      <w:kern w:val="0"/>
      <w:szCs w:val="20"/>
    </w:rPr>
  </w:style>
  <w:style w:type="paragraph" w:customStyle="1" w:styleId="37">
    <w:name w:val="WPSOffice手动目录 1"/>
    <w:uiPriority w:val="0"/>
    <w:pPr>
      <w:ind w:leftChars="0"/>
    </w:pPr>
    <w:rPr>
      <w:sz w:val="20"/>
      <w:szCs w:val="20"/>
    </w:rPr>
  </w:style>
  <w:style w:type="paragraph" w:customStyle="1" w:styleId="38">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4</Pages>
  <Words>2256</Words>
  <Characters>2560</Characters>
  <Lines>16</Lines>
  <Paragraphs>4</Paragraphs>
  <TotalTime>0</TotalTime>
  <ScaleCrop>false</ScaleCrop>
  <LinksUpToDate>false</LinksUpToDate>
  <CharactersWithSpaces>2586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2025-07-23T02:36:38Z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