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陵水供电局2025年急救药品采购技术要求</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36"/>
          <w:lang w:val="en-US" w:eastAsia="zh-CN"/>
        </w:rPr>
      </w:pPr>
    </w:p>
    <w:p>
      <w:pPr>
        <w:keepNext w:val="0"/>
        <w:keepLines w:val="0"/>
        <w:pageBreakBefore w:val="0"/>
        <w:widowControl w:val="0"/>
        <w:kinsoku/>
        <w:wordWrap/>
        <w:overflowPunct/>
        <w:topLinePunct w:val="0"/>
        <w:autoSpaceDE/>
        <w:autoSpaceDN/>
        <w:bidi/>
        <w:adjustRightInd/>
        <w:snapToGrid/>
        <w:spacing w:line="560" w:lineRule="exact"/>
        <w:ind w:firstLine="640" w:firstLineChars="200"/>
        <w:jc w:val="right"/>
        <w:textAlignment w:val="auto"/>
        <w:rPr>
          <w:rFonts w:hint="default" w:ascii="仿宋_GB2312" w:hAnsi="仿宋_GB2312" w:eastAsia="仿宋_GB2312" w:cs="仿宋_GB2312"/>
          <w:sz w:val="32"/>
          <w:szCs w:val="32"/>
          <w:shd w:val="clear" w:color="auto" w:fill="auto"/>
          <w:lang w:val="en-US" w:eastAsia="zh-CN"/>
        </w:rPr>
      </w:pPr>
      <w:r>
        <w:rPr>
          <w:rFonts w:hint="eastAsia" w:ascii="黑体" w:hAnsi="黑体" w:eastAsia="黑体" w:cs="黑体"/>
          <w:sz w:val="32"/>
          <w:szCs w:val="32"/>
          <w:shd w:val="clear" w:color="auto" w:fill="auto"/>
          <w:lang w:val="en-US" w:eastAsia="zh-CN"/>
        </w:rPr>
        <w:t xml:space="preserve">    一、供应商资质与合规要求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default"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 xml:space="preserve">（一） 法定证照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供应商需提供有效期内的《药品生产许可证》或《药品经营许可证》。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 xml:space="preserve">2.进口药品供应商需提供《进口药品通关单》《进口药品检验报告书》。 </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（二）质量管理认证</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生产企业需具备GMP认证，经营企业需具备GSP认证。</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2.提供近三年无重大药品质量事故的声明。</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二、药品质量技术要求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质量标准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药品需符合《中国药典》或国家药品标准，并提供每批次药品的检验报告。</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2.标签与说明书需符合《药品说明书和标签管理规》，明确标注适应证、禁忌证、用法用量及不良反应。</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（二）有效期控制</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交付时药品剩余有效期不得少于总有效期的2/3。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 近效期（≤6个月）药品需单独标注，并征得采购方同意方可交付。</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（三） 特殊储存要求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需冷藏药品（如肾上腺素）全程需2–8℃冷链运输，并提供温控记录。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 避光药品（如硝普钠）需采用遮光包装。</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b/>
          <w:bCs/>
          <w:sz w:val="32"/>
          <w:szCs w:val="32"/>
          <w:lang w:val="en-US" w:eastAsia="zh-CN"/>
        </w:rPr>
      </w:pPr>
      <w:r>
        <w:rPr>
          <w:rFonts w:hint="eastAsia" w:ascii="黑体" w:hAnsi="黑体" w:eastAsia="黑体" w:cs="黑体"/>
          <w:sz w:val="32"/>
          <w:szCs w:val="32"/>
          <w:shd w:val="clear" w:color="auto" w:fill="auto"/>
          <w:lang w:val="en-US" w:eastAsia="zh-CN"/>
        </w:rPr>
        <w:t>三、</w:t>
      </w:r>
      <w:r>
        <w:rPr>
          <w:rFonts w:hint="eastAsia" w:ascii="黑体" w:hAnsi="黑体" w:eastAsia="黑体" w:cs="黑体"/>
          <w:b w:val="0"/>
          <w:bCs w:val="0"/>
          <w:sz w:val="32"/>
          <w:szCs w:val="32"/>
          <w:lang w:val="en-US" w:eastAsia="zh-CN"/>
        </w:rPr>
        <w:t>采购内容及实施过程要求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（一）采购内容</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shd w:val="clear" w:color="auto" w:fill="auto"/>
          <w:lang w:val="en-US" w:eastAsia="zh-CN"/>
        </w:rPr>
        <w:t>1.</w:t>
      </w:r>
      <w:r>
        <w:rPr>
          <w:rFonts w:hint="eastAsia" w:ascii="仿宋_GB2312" w:hAnsi="仿宋_GB2312" w:eastAsia="仿宋_GB2312" w:cs="仿宋_GB2312"/>
          <w:sz w:val="32"/>
          <w:szCs w:val="32"/>
          <w:lang w:val="en-US" w:eastAsia="zh-CN"/>
        </w:rPr>
        <w:t>参照附件1陵水供电局2025年急救药箱、药盒（含药品）采购清单</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b w:val="0"/>
          <w:bCs w:val="0"/>
          <w:sz w:val="32"/>
          <w:szCs w:val="32"/>
          <w:lang w:val="en-US" w:eastAsia="zh-CN"/>
        </w:rPr>
        <w:t>实施过程要求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交货/服务期限：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自送达成交通知书之日起至2025年8月15日止。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2.报价文件模板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参照附件2零星采购报价表填写。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3.供应商响应需提供的证明材料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加盖公章的</w:t>
      </w:r>
      <w:r>
        <w:rPr>
          <w:rFonts w:hint="eastAsia" w:ascii="仿宋_GB2312" w:hAnsi="仿宋_GB2312" w:eastAsia="仿宋_GB2312" w:cs="仿宋_GB2312"/>
          <w:sz w:val="32"/>
          <w:szCs w:val="32"/>
        </w:rPr>
        <w:t>营业执照、组织机构代码证、税务登记证或三证合一复印件</w:t>
      </w:r>
      <w:r>
        <w:rPr>
          <w:rFonts w:hint="eastAsia" w:ascii="仿宋_GB2312" w:hAnsi="仿宋_GB2312" w:eastAsia="仿宋_GB2312" w:cs="仿宋_GB2312"/>
          <w:sz w:val="32"/>
          <w:szCs w:val="32"/>
          <w:lang w:val="en-US" w:eastAsia="zh-CN"/>
        </w:rPr>
        <w:t>、法定代表人身份证复印件、加盖公章的零星采购报价表。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320" w:firstLineChars="1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4.履约标准及交付物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标准：成交</w:t>
      </w:r>
      <w:r>
        <w:rPr>
          <w:rFonts w:hint="eastAsia" w:ascii="仿宋_GB2312" w:hAnsi="仿宋_GB2312" w:eastAsia="仿宋_GB2312" w:cs="仿宋_GB2312"/>
          <w:sz w:val="32"/>
          <w:szCs w:val="32"/>
        </w:rPr>
        <w:t>人提供的产品或服务必须满足采购</w:t>
      </w:r>
      <w:r>
        <w:rPr>
          <w:rFonts w:hint="eastAsia" w:ascii="仿宋_GB2312" w:hAnsi="仿宋_GB2312" w:eastAsia="仿宋_GB2312" w:cs="仿宋_GB2312"/>
          <w:sz w:val="32"/>
          <w:szCs w:val="32"/>
          <w:lang w:val="en-US" w:eastAsia="zh-CN"/>
        </w:rPr>
        <w:t>公告</w:t>
      </w:r>
      <w:r>
        <w:rPr>
          <w:rFonts w:hint="eastAsia" w:ascii="仿宋_GB2312" w:hAnsi="仿宋_GB2312" w:eastAsia="仿宋_GB2312" w:cs="仿宋_GB2312"/>
          <w:sz w:val="32"/>
          <w:szCs w:val="32"/>
        </w:rPr>
        <w:t>规定的技术要求和质量标准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在服务期限内及时响应并根据甲方要求提供产品。投标商报价不得多于项目预算，我局将根据实际发生的费用开展结算，</w:t>
      </w:r>
      <w:r>
        <w:rPr>
          <w:rFonts w:hint="eastAsia" w:ascii="仿宋_GB2312" w:hAnsi="仿宋_GB2312" w:eastAsia="仿宋_GB2312" w:cs="仿宋_GB2312"/>
          <w:sz w:val="32"/>
          <w:szCs w:val="32"/>
          <w:lang w:eastAsia="zh-CN"/>
        </w:rPr>
        <w:t>结算时成交方应在</w:t>
      </w:r>
      <w:r>
        <w:rPr>
          <w:rFonts w:hint="eastAsia" w:ascii="仿宋_GB2312" w:hAnsi="仿宋_GB2312" w:eastAsia="仿宋_GB2312" w:cs="仿宋_GB2312"/>
          <w:sz w:val="32"/>
          <w:szCs w:val="32"/>
          <w:lang w:val="en-US" w:eastAsia="zh-CN"/>
        </w:rPr>
        <w:t>甲方付款20日前开具等额的增值税专用发票。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供应商确认方式</w:t>
      </w:r>
      <w:r>
        <w:rPr>
          <w:rFonts w:hint="eastAsia" w:ascii="仿宋_GB2312" w:hAnsi="仿宋_GB2312" w:eastAsia="仿宋_GB2312" w:cs="仿宋_GB2312"/>
          <w:sz w:val="32"/>
          <w:szCs w:val="32"/>
          <w:lang w:val="en-US" w:eastAsia="zh-CN"/>
        </w:rPr>
        <w:t>及成交标准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评审与推荐原则：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四、供应时效与响应要求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交付时限</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常规订单：合同约定时间内交付，逾期超24小时需承担违约责任（违约金≥订单金额0.1%/日）。</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2.紧急订单：需在X小时内发货（如4–12小时），并确保Y小时内送达（如24小时）。</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（二）应急响应机制</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1.设立24小时应急联络渠道，接单后1小时内响应质量问题，4小时内完成退换货。</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五、包装与标识规范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最小销售单元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1.包装需清晰标注“急救药品”专用标识、储存条件及批号。</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（二）运输包装</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 xml:space="preserve"> 1. 外箱需牢固防震，标注“小心轻放”“禁止倒置”等警示标识，特殊药品注明“冷链运输”。</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六、验收与文件管理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验收标准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1.到货后4小时内完成验收，核查项目：外观完整性、数量、批号、有效期、质检报告。</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 冷链药品需现场查验运输温控记录，超温拒收。</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 随货文件</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每批药品需提供：出厂检验报告、药品合格证、进口药品通关单（如适用）。</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七、库存与效期管理</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库存预警</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供应商需具备应急储备能力，常规药品库存不低于30天消耗量。</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 效期监控</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 建立近效期预警机制，提前3个月通知采购方更换临近效期药品。</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八、违约责任与赔偿</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（一）质量问题：无条件退换货，并支付合同金额50%违约金；导致医疗事故的，承担全部赔偿责任。</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（二）延迟交付：紧急订单每延迟1小时支付订单金额1%违约金，超约定时限可解除合同。</w:t>
      </w:r>
    </w:p>
    <w:p>
      <w:pPr>
        <w:pStyle w:val="2"/>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九、其他事项</w:t>
      </w:r>
    </w:p>
    <w:p>
      <w:pPr>
        <w:pStyle w:val="2"/>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投标人应保证所提供信息的真实性和有效性</w:t>
      </w:r>
      <w:r>
        <w:rPr>
          <w:rFonts w:hint="eastAsia" w:ascii="仿宋_GB2312" w:hAnsi="仿宋_GB2312" w:eastAsia="仿宋_GB2312" w:cs="仿宋_GB2312"/>
          <w:sz w:val="32"/>
          <w:szCs w:val="32"/>
          <w:lang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报价明显低于控制价的（50%及以上），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r>
        <w:rPr>
          <w:rFonts w:hint="eastAsia" w:ascii="仿宋_GB2312" w:hAnsi="仿宋_GB2312" w:eastAsia="仿宋_GB2312" w:cs="仿宋_GB2312"/>
          <w:sz w:val="32"/>
          <w:szCs w:val="32"/>
          <w:lang w:eastAsia="zh-CN"/>
        </w:rPr>
        <w:br w:type="textWrapping"/>
      </w:r>
      <w:r>
        <w:rPr>
          <w:rFonts w:hint="eastAsia" w:ascii="仿宋_GB2312" w:hAnsi="仿宋_GB2312" w:eastAsia="仿宋_GB2312" w:cs="仿宋_GB2312"/>
          <w:sz w:val="32"/>
          <w:szCs w:val="32"/>
          <w:lang w:val="en-US" w:eastAsia="zh-CN"/>
        </w:rPr>
        <w:t xml:space="preserve">    （三）各投标单位须在</w:t>
      </w:r>
      <w:r>
        <w:rPr>
          <w:rFonts w:hint="eastAsia" w:ascii="仿宋_GB2312" w:hAnsi="仿宋_GB2312" w:eastAsia="仿宋_GB2312" w:cs="仿宋_GB2312"/>
          <w:sz w:val="32"/>
          <w:szCs w:val="32"/>
          <w:lang w:eastAsia="zh-CN"/>
        </w:rPr>
        <w:t>中国南方电</w:t>
      </w:r>
      <w:bookmarkStart w:id="0" w:name="_GoBack"/>
      <w:bookmarkEnd w:id="0"/>
      <w:r>
        <w:rPr>
          <w:rFonts w:hint="eastAsia" w:ascii="仿宋_GB2312" w:hAnsi="仿宋_GB2312" w:eastAsia="仿宋_GB2312" w:cs="仿宋_GB2312"/>
          <w:sz w:val="32"/>
          <w:szCs w:val="32"/>
          <w:lang w:eastAsia="zh-CN"/>
        </w:rPr>
        <w:t>网供应链统一服务平台</w:t>
      </w:r>
      <w:r>
        <w:rPr>
          <w:rFonts w:hint="eastAsia" w:ascii="仿宋_GB2312" w:hAnsi="仿宋_GB2312" w:eastAsia="仿宋_GB2312" w:cs="仿宋_GB2312"/>
          <w:sz w:val="32"/>
          <w:szCs w:val="32"/>
          <w:lang w:val="en-US" w:eastAsia="zh-CN"/>
        </w:rPr>
        <w:t>（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pStyle w:val="2"/>
        <w:rPr>
          <w:rFonts w:hint="eastAsia"/>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3200" w:firstLineChars="10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海南电网有限责任公司陵水</w:t>
      </w:r>
      <w:r>
        <w:rPr>
          <w:rFonts w:hint="eastAsia" w:ascii="仿宋_GB2312" w:hAnsi="仿宋_GB2312" w:eastAsia="仿宋_GB2312" w:cs="仿宋_GB2312"/>
          <w:sz w:val="32"/>
          <w:szCs w:val="32"/>
          <w:lang w:eastAsia="zh-CN"/>
        </w:rPr>
        <w:t>供电局</w:t>
      </w:r>
    </w:p>
    <w:p>
      <w:pPr>
        <w:pStyle w:val="2"/>
        <w:rPr>
          <w:rFonts w:hint="eastAsia"/>
          <w:lang w:val="en-US" w:eastAsia="zh-CN"/>
        </w:rPr>
      </w:pPr>
      <w:r>
        <w:rPr>
          <w:rFonts w:hint="eastAsia" w:ascii="仿宋_GB2312" w:hAnsi="仿宋_GB2312" w:eastAsia="仿宋_GB2312" w:cs="仿宋_GB2312"/>
          <w:sz w:val="32"/>
          <w:szCs w:val="32"/>
          <w:lang w:val="en-US" w:eastAsia="zh-CN"/>
        </w:rPr>
        <w:t xml:space="preserve">                     2025年7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A3ED8"/>
    <w:rsid w:val="02B72C8A"/>
    <w:rsid w:val="30187C76"/>
    <w:rsid w:val="31787FAB"/>
    <w:rsid w:val="393D0800"/>
    <w:rsid w:val="44FA5F22"/>
    <w:rsid w:val="673556FB"/>
    <w:rsid w:val="6E6A3E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办公室</dc:creator>
  <cp:lastModifiedBy>张家华</cp:lastModifiedBy>
  <cp:lastPrinted>2025-07-24T03:32:07Z</cp:lastPrinted>
  <dcterms:modified xsi:type="dcterms:W3CDTF">2025-07-24T03:32:48Z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2A84541F6E4A4E7F8841C98535E7C196</vt:lpwstr>
  </property>
</Properties>
</file>