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/>
        <w:ind w:firstLine="880"/>
        <w:jc w:val="center"/>
        <w:rPr>
          <w:rFonts w:hint="eastAsia" w:ascii="仿宋_GB2312" w:hAnsi="仿宋" w:eastAsia="仿宋_GB2312"/>
          <w:b/>
          <w:sz w:val="44"/>
          <w:szCs w:val="72"/>
          <w:highlight w:val="yellow"/>
        </w:rPr>
      </w:pPr>
      <w:bookmarkStart w:id="0" w:name="_Toc28598"/>
      <w:bookmarkStart w:id="1" w:name="_Toc499716096"/>
      <w:bookmarkStart w:id="2" w:name="_Toc21240"/>
      <w:r>
        <w:rPr>
          <w:rFonts w:hint="eastAsia" w:ascii="仿宋_GB2312" w:hAnsi="仿宋" w:eastAsia="仿宋_GB2312"/>
          <w:b/>
          <w:sz w:val="44"/>
          <w:szCs w:val="72"/>
        </w:rPr>
        <w:t>低碳调度决策算法求解关键技术研究与应用项目技术研发服务</w:t>
      </w:r>
    </w:p>
    <w:p>
      <w:pPr>
        <w:ind w:firstLine="880"/>
        <w:jc w:val="center"/>
        <w:rPr>
          <w:rFonts w:hint="eastAsia" w:ascii="仿宋_GB2312" w:hAnsi="仿宋" w:eastAsia="仿宋_GB2312"/>
          <w:b/>
          <w:sz w:val="44"/>
          <w:szCs w:val="72"/>
        </w:rPr>
      </w:pPr>
    </w:p>
    <w:p>
      <w:pPr>
        <w:pStyle w:val="2"/>
        <w:rPr>
          <w:lang w:val="en-US"/>
        </w:rPr>
      </w:pPr>
    </w:p>
    <w:p>
      <w:pPr>
        <w:ind w:firstLine="880"/>
        <w:jc w:val="center"/>
        <w:rPr>
          <w:rFonts w:hint="eastAsia" w:ascii="仿宋_GB2312" w:hAnsi="仿宋" w:eastAsia="仿宋_GB2312"/>
          <w:b/>
          <w:color w:val="000000"/>
          <w:sz w:val="44"/>
        </w:rPr>
      </w:pPr>
      <w:r>
        <w:rPr>
          <w:rFonts w:hint="eastAsia" w:ascii="仿宋_GB2312" w:hAnsi="仿宋" w:eastAsia="仿宋_GB2312"/>
          <w:b/>
          <w:color w:val="000000"/>
          <w:sz w:val="44"/>
        </w:rPr>
        <w:t>技术规范书</w:t>
      </w:r>
    </w:p>
    <w:p>
      <w:pPr>
        <w:pStyle w:val="2"/>
        <w:ind w:firstLine="880"/>
        <w:rPr>
          <w:rFonts w:hint="eastAsia" w:ascii="仿宋_GB2312" w:hAnsi="仿宋" w:eastAsia="仿宋_GB2312"/>
          <w:b/>
          <w:color w:val="000000"/>
          <w:sz w:val="44"/>
        </w:rPr>
      </w:pPr>
    </w:p>
    <w:p>
      <w:pPr>
        <w:pStyle w:val="2"/>
        <w:ind w:firstLine="880"/>
        <w:rPr>
          <w:rFonts w:hint="eastAsia" w:ascii="仿宋_GB2312" w:hAnsi="仿宋" w:eastAsia="仿宋_GB2312"/>
          <w:b/>
          <w:color w:val="000000"/>
          <w:sz w:val="44"/>
        </w:rPr>
      </w:pPr>
    </w:p>
    <w:p>
      <w:pPr>
        <w:pStyle w:val="2"/>
        <w:ind w:firstLine="880"/>
        <w:rPr>
          <w:rFonts w:hint="eastAsia" w:ascii="仿宋_GB2312" w:hAnsi="仿宋" w:eastAsia="仿宋_GB2312"/>
          <w:b/>
          <w:color w:val="000000"/>
          <w:sz w:val="44"/>
        </w:rPr>
      </w:pPr>
    </w:p>
    <w:p>
      <w:pPr>
        <w:pStyle w:val="2"/>
        <w:ind w:firstLine="880"/>
        <w:rPr>
          <w:rFonts w:hint="eastAsia" w:ascii="仿宋_GB2312" w:hAnsi="仿宋" w:eastAsia="仿宋_GB2312"/>
          <w:b/>
          <w:color w:val="000000"/>
          <w:sz w:val="44"/>
        </w:rPr>
      </w:pPr>
    </w:p>
    <w:p>
      <w:pPr>
        <w:pStyle w:val="2"/>
        <w:ind w:firstLine="880"/>
        <w:rPr>
          <w:rFonts w:hint="eastAsia" w:ascii="仿宋_GB2312" w:hAnsi="仿宋" w:eastAsia="仿宋_GB2312"/>
          <w:b/>
          <w:color w:val="000000"/>
          <w:sz w:val="44"/>
        </w:rPr>
      </w:pPr>
    </w:p>
    <w:p>
      <w:pPr>
        <w:ind w:firstLine="1044"/>
        <w:jc w:val="center"/>
        <w:rPr>
          <w:rFonts w:ascii="黑体" w:eastAsia="黑体"/>
          <w:b/>
          <w:color w:val="000000"/>
          <w:sz w:val="52"/>
        </w:rPr>
      </w:pPr>
    </w:p>
    <w:p>
      <w:pPr>
        <w:ind w:firstLine="1044"/>
        <w:jc w:val="center"/>
        <w:rPr>
          <w:rFonts w:ascii="黑体" w:eastAsia="黑体"/>
          <w:b/>
          <w:color w:val="000000"/>
          <w:sz w:val="52"/>
        </w:rPr>
      </w:pPr>
    </w:p>
    <w:p>
      <w:pPr>
        <w:ind w:firstLine="1044"/>
        <w:jc w:val="center"/>
        <w:rPr>
          <w:rFonts w:ascii="黑体" w:eastAsia="黑体"/>
          <w:b/>
          <w:color w:val="000000"/>
          <w:sz w:val="52"/>
        </w:rPr>
      </w:pPr>
    </w:p>
    <w:p>
      <w:pPr>
        <w:pStyle w:val="31"/>
        <w:ind w:firstLine="643"/>
        <w:rPr>
          <w:b/>
          <w:bCs/>
          <w:color w:val="auto"/>
          <w:sz w:val="32"/>
          <w:szCs w:val="32"/>
        </w:rPr>
      </w:pPr>
    </w:p>
    <w:p>
      <w:pPr>
        <w:ind w:firstLine="640"/>
        <w:rPr>
          <w:rFonts w:hint="eastAsia" w:ascii="仿宋_GB2312" w:hAnsi="仿宋" w:eastAsia="仿宋_GB2312"/>
          <w:b/>
          <w:sz w:val="32"/>
          <w:szCs w:val="32"/>
        </w:rPr>
      </w:pPr>
      <w:bookmarkStart w:id="3" w:name="_Toc16180"/>
      <w:bookmarkStart w:id="4" w:name="_Toc17333"/>
      <w:bookmarkStart w:id="5" w:name="_Toc17425"/>
      <w:bookmarkStart w:id="6" w:name="_Toc25321"/>
      <w:bookmarkStart w:id="7" w:name="_Toc15975"/>
      <w:bookmarkStart w:id="8" w:name="_Toc25365"/>
      <w:bookmarkStart w:id="9" w:name="_Toc9441"/>
      <w:r>
        <w:rPr>
          <w:rFonts w:hint="eastAsia" w:ascii="仿宋_GB2312" w:hAnsi="仿宋" w:eastAsia="仿宋_GB2312"/>
          <w:b/>
          <w:sz w:val="32"/>
          <w:szCs w:val="32"/>
        </w:rPr>
        <w:t>甲方</w:t>
      </w:r>
      <w:r>
        <w:rPr>
          <w:rFonts w:ascii="仿宋_GB2312" w:hAnsi="仿宋" w:eastAsia="仿宋_GB2312"/>
          <w:b/>
          <w:sz w:val="32"/>
          <w:szCs w:val="32"/>
        </w:rPr>
        <w:t>：</w:t>
      </w:r>
      <w:bookmarkEnd w:id="3"/>
      <w:bookmarkEnd w:id="4"/>
      <w:bookmarkEnd w:id="5"/>
      <w:bookmarkEnd w:id="6"/>
      <w:bookmarkEnd w:id="7"/>
      <w:bookmarkEnd w:id="8"/>
      <w:bookmarkEnd w:id="9"/>
      <w:r>
        <w:rPr>
          <w:rFonts w:hint="eastAsia" w:ascii="仿宋_GB2312" w:hAnsi="仿宋" w:eastAsia="仿宋_GB2312"/>
          <w:b/>
          <w:sz w:val="32"/>
          <w:szCs w:val="32"/>
        </w:rPr>
        <w:t>南方电网人工智能科技有限公司</w:t>
      </w:r>
    </w:p>
    <w:p>
      <w:pPr>
        <w:pStyle w:val="2"/>
        <w:ind w:firstLine="880"/>
        <w:rPr>
          <w:rFonts w:hint="eastAsia" w:ascii="仿宋_GB2312" w:hAnsi="仿宋" w:eastAsia="仿宋_GB2312"/>
          <w:b/>
          <w:color w:val="000000"/>
          <w:sz w:val="44"/>
        </w:rPr>
      </w:pPr>
      <w:r>
        <w:rPr>
          <w:rFonts w:hint="eastAsia" w:ascii="仿宋_GB2312" w:hAnsi="仿宋" w:eastAsia="仿宋_GB2312"/>
          <w:b/>
          <w:color w:val="000000"/>
          <w:sz w:val="44"/>
        </w:rPr>
        <w:br w:type="page"/>
      </w:r>
    </w:p>
    <w:p>
      <w:pPr>
        <w:spacing w:after="120" w:afterLines="50"/>
        <w:ind w:firstLine="422"/>
        <w:outlineLvl w:val="0"/>
        <w:rPr>
          <w:rFonts w:hint="eastAsia" w:ascii="宋体" w:hAnsi="宋体" w:cs="宋体"/>
          <w:b/>
          <w:caps/>
          <w:kern w:val="0"/>
          <w:szCs w:val="21"/>
        </w:rPr>
      </w:pPr>
      <w:bookmarkStart w:id="10" w:name="_Toc15546"/>
      <w:bookmarkStart w:id="11" w:name="_Toc29354406"/>
      <w:bookmarkStart w:id="12" w:name="_Toc29354672"/>
      <w:bookmarkStart w:id="13" w:name="_Toc115252921"/>
      <w:bookmarkStart w:id="14" w:name="_Toc29354801"/>
      <w:bookmarkStart w:id="15" w:name="_Toc29353883"/>
      <w:bookmarkStart w:id="16" w:name="_Toc115253160"/>
      <w:r>
        <w:rPr>
          <w:rFonts w:hint="eastAsia" w:ascii="宋体" w:hAnsi="宋体" w:cs="宋体"/>
          <w:b/>
          <w:caps/>
          <w:kern w:val="0"/>
          <w:szCs w:val="21"/>
        </w:rPr>
        <w:t>1总则</w:t>
      </w:r>
      <w:bookmarkEnd w:id="10"/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17" w:name="_Toc29294"/>
      <w:r>
        <w:rPr>
          <w:rFonts w:hint="eastAsia" w:ascii="宋体" w:hAnsi="宋体" w:cs="宋体"/>
          <w:b/>
          <w:caps/>
          <w:kern w:val="0"/>
          <w:szCs w:val="21"/>
        </w:rPr>
        <w:t>1.1概述</w:t>
      </w:r>
      <w:bookmarkEnd w:id="17"/>
      <w:r>
        <w:rPr>
          <w:rFonts w:hint="eastAsia" w:ascii="宋体" w:hAnsi="宋体" w:cs="宋体"/>
          <w:b/>
          <w:caps/>
          <w:kern w:val="0"/>
          <w:szCs w:val="21"/>
        </w:rPr>
        <w:tab/>
      </w:r>
    </w:p>
    <w:p>
      <w:pPr>
        <w:spacing w:after="120" w:afterLines="50"/>
        <w:ind w:firstLine="420"/>
        <w:rPr>
          <w:rFonts w:hint="eastAsia" w:ascii="宋体" w:hAnsi="宋体" w:cs="宋体"/>
          <w:caps/>
          <w:kern w:val="0"/>
          <w:szCs w:val="21"/>
          <w:u w:val="single"/>
        </w:rPr>
      </w:pPr>
      <w:r>
        <w:rPr>
          <w:rFonts w:hint="eastAsia" w:ascii="宋体" w:hAnsi="宋体" w:cs="宋体"/>
          <w:caps/>
          <w:kern w:val="0"/>
          <w:szCs w:val="21"/>
        </w:rPr>
        <w:t>本技术规范书为甲方对“</w:t>
      </w:r>
      <w:r>
        <w:rPr>
          <w:rFonts w:hint="eastAsia" w:ascii="宋体" w:hAnsi="宋体" w:cs="宋体"/>
          <w:caps/>
          <w:kern w:val="0"/>
          <w:szCs w:val="21"/>
          <w:u w:val="single"/>
        </w:rPr>
        <w:t>低碳调度决策算法求解关键技术研究与应用</w:t>
      </w:r>
      <w:r>
        <w:rPr>
          <w:rFonts w:hint="eastAsia" w:ascii="宋体" w:hAnsi="宋体" w:cs="宋体"/>
          <w:caps/>
          <w:kern w:val="0"/>
          <w:szCs w:val="21"/>
        </w:rPr>
        <w:t>”项目提出的技术规范书，本规范书将作为投标文件技术部分评议的基础。</w:t>
      </w:r>
      <w:bookmarkEnd w:id="11"/>
      <w:bookmarkEnd w:id="12"/>
      <w:bookmarkEnd w:id="13"/>
      <w:bookmarkEnd w:id="14"/>
      <w:bookmarkEnd w:id="15"/>
      <w:bookmarkEnd w:id="16"/>
    </w:p>
    <w:p>
      <w:pPr>
        <w:spacing w:after="120" w:afterLines="50"/>
        <w:ind w:firstLine="420"/>
        <w:rPr>
          <w:rFonts w:hint="eastAsia" w:ascii="宋体" w:hAnsi="宋体" w:cs="宋体"/>
          <w:caps/>
          <w:kern w:val="0"/>
          <w:szCs w:val="21"/>
        </w:rPr>
      </w:pPr>
      <w:r>
        <w:rPr>
          <w:rFonts w:hint="eastAsia" w:ascii="宋体" w:hAnsi="宋体" w:cs="宋体"/>
          <w:caps/>
          <w:kern w:val="0"/>
          <w:szCs w:val="21"/>
        </w:rPr>
        <w:t>1.1.1乙方在其投标文件中，要求对本文件中所提各项要求能否实现与满足，逐项诚实地予以答复、说明和解释，首先对实现或满足程度明确做出“满足”、“不满足”、“部分满足”等应答，然后做出具体、详细的说明。对本次技术规范书中答满足项视为对该需求全部无条件满足，不需要额外增加任何设备或者软件模块；如在应答中回答过于简单，不能够充分阐述“满足”的原因或未作明确答复的，甲方将视为对该项功能或性能不满足或部分满足。</w:t>
      </w:r>
    </w:p>
    <w:p>
      <w:pPr>
        <w:spacing w:after="120" w:afterLines="50"/>
        <w:ind w:firstLine="420"/>
        <w:rPr>
          <w:rFonts w:hint="eastAsia" w:ascii="宋体" w:hAnsi="宋体" w:cs="宋体"/>
          <w:caps/>
          <w:kern w:val="0"/>
          <w:szCs w:val="21"/>
        </w:rPr>
      </w:pPr>
      <w:r>
        <w:rPr>
          <w:rFonts w:hint="eastAsia" w:ascii="宋体" w:hAnsi="宋体" w:cs="宋体"/>
          <w:caps/>
          <w:kern w:val="0"/>
          <w:szCs w:val="21"/>
        </w:rPr>
        <w:t>乙方可根据自己的产品技术性能具体情况，在技术方案中提出建议，并附详细资料和说明。乙方应在技术规范点对点应答中把“不满足”和“部分满足”项作单独列举清单。</w:t>
      </w:r>
    </w:p>
    <w:p>
      <w:pPr>
        <w:spacing w:after="120" w:afterLines="50"/>
        <w:ind w:firstLine="420"/>
        <w:rPr>
          <w:rFonts w:hint="eastAsia" w:ascii="宋体" w:hAnsi="宋体" w:cs="宋体"/>
          <w:caps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1.1.2乙方对于规范书的疑问可以通过书面材料与甲方联系，在规定的投标文件最后提交以前，甲方将以书面材料给予答复，有关甲方答复材料的复印件也将递交所有得到技术规范书的乙方。如因满足本技术服务要求，需要改变技术服务原价格，乙方应在技术方案中预先声明。</w:t>
      </w:r>
      <w:bookmarkStart w:id="18" w:name="_Toc381022433"/>
      <w:bookmarkStart w:id="19" w:name="_Toc214288827"/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20" w:name="_Toc1034"/>
      <w:r>
        <w:rPr>
          <w:rFonts w:hint="eastAsia" w:ascii="宋体" w:hAnsi="宋体" w:cs="宋体"/>
          <w:b/>
          <w:caps/>
          <w:kern w:val="0"/>
          <w:szCs w:val="21"/>
        </w:rPr>
        <w:t>1.2投标文件技术部分要求</w:t>
      </w:r>
      <w:bookmarkEnd w:id="18"/>
      <w:bookmarkEnd w:id="19"/>
      <w:bookmarkEnd w:id="20"/>
    </w:p>
    <w:p>
      <w:pPr>
        <w:spacing w:after="120" w:afterLines="50"/>
        <w:ind w:firstLine="420"/>
        <w:rPr>
          <w:rFonts w:hint="eastAsia" w:ascii="宋体" w:hAnsi="宋体" w:cs="宋体"/>
          <w:caps/>
          <w:kern w:val="0"/>
          <w:szCs w:val="21"/>
        </w:rPr>
      </w:pPr>
      <w:r>
        <w:rPr>
          <w:rFonts w:hint="eastAsia" w:asciiTheme="minorEastAsia" w:hAnsiTheme="minorEastAsia" w:eastAsiaTheme="minorEastAsia" w:cstheme="minorEastAsia"/>
          <w:caps/>
          <w:szCs w:val="21"/>
        </w:rPr>
        <w:t>乙方提交的</w:t>
      </w:r>
      <w:r>
        <w:rPr>
          <w:rFonts w:hint="eastAsia" w:ascii="宋体" w:hAnsi="宋体" w:cs="宋体"/>
          <w:caps/>
          <w:kern w:val="0"/>
          <w:szCs w:val="21"/>
        </w:rPr>
        <w:t>投标文件技术部分必须包括（但不限于）以下内容（技术服务要求点对点应答）。</w:t>
      </w:r>
    </w:p>
    <w:p>
      <w:pPr>
        <w:spacing w:after="120" w:afterLines="50"/>
        <w:ind w:firstLine="422"/>
        <w:outlineLvl w:val="0"/>
        <w:rPr>
          <w:rFonts w:hint="eastAsia" w:ascii="宋体" w:hAnsi="宋体" w:cs="宋体"/>
          <w:b/>
          <w:caps/>
          <w:kern w:val="0"/>
          <w:szCs w:val="21"/>
        </w:rPr>
      </w:pPr>
      <w:bookmarkStart w:id="21" w:name="_Toc18619"/>
      <w:r>
        <w:rPr>
          <w:rFonts w:hint="eastAsia" w:ascii="宋体" w:hAnsi="宋体" w:cs="宋体"/>
          <w:b/>
          <w:caps/>
          <w:kern w:val="0"/>
          <w:szCs w:val="21"/>
        </w:rPr>
        <w:t>2 项目概况</w:t>
      </w:r>
      <w:bookmarkEnd w:id="21"/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22" w:name="_Toc6406"/>
      <w:r>
        <w:rPr>
          <w:rFonts w:hint="eastAsia" w:ascii="宋体" w:hAnsi="宋体" w:cs="宋体"/>
          <w:b/>
          <w:caps/>
          <w:kern w:val="0"/>
          <w:szCs w:val="21"/>
        </w:rPr>
        <w:t>2.1项目背景</w:t>
      </w:r>
      <w:bookmarkEnd w:id="22"/>
    </w:p>
    <w:p>
      <w:pPr>
        <w:ind w:firstLine="420"/>
      </w:pPr>
      <w:r>
        <w:t>电力系统低碳调度决策基于资源最优配置及安全约束优化，建立日前与实时调度优化算法与节点电价算法。为了提升低碳调度支持负荷侧可调节资源等值模型的前瞻性模拟，参与电力系统低碳调度决策，并对统一电力系统具有经验推广及工程实践借鉴意义，拟</w:t>
      </w:r>
      <w:r>
        <w:rPr>
          <w:rFonts w:hint="eastAsia"/>
        </w:rPr>
        <w:t>研制电力系统低碳</w:t>
      </w:r>
      <w:r>
        <w:t>调度优化</w:t>
      </w:r>
      <w:r>
        <w:rPr>
          <w:rFonts w:hint="eastAsia"/>
        </w:rPr>
        <w:t>计算功能模块</w:t>
      </w:r>
      <w:r>
        <w:t>软件，从生产环境业务问题中抽象出一般性、通用性的问题模型、算法和解决方案，从而高效、快速地模拟整个系统的经济效益和运行效率。</w:t>
      </w:r>
    </w:p>
    <w:p>
      <w:pPr>
        <w:tabs>
          <w:tab w:val="left" w:pos="4980"/>
        </w:tabs>
        <w:spacing w:after="120" w:afterLines="50"/>
        <w:ind w:left="273" w:leftChars="130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23" w:name="_Toc2251"/>
      <w:r>
        <w:rPr>
          <w:rFonts w:hint="eastAsia" w:ascii="宋体" w:hAnsi="宋体" w:cs="宋体"/>
          <w:b/>
          <w:caps/>
          <w:kern w:val="0"/>
          <w:szCs w:val="21"/>
        </w:rPr>
        <w:t>2.2项目目标</w:t>
      </w:r>
      <w:bookmarkEnd w:id="23"/>
    </w:p>
    <w:p>
      <w:pPr>
        <w:ind w:firstLine="420"/>
      </w:pPr>
      <w:r>
        <w:t>在</w:t>
      </w:r>
      <w:r>
        <w:rPr>
          <w:rFonts w:hint="eastAsia"/>
        </w:rPr>
        <w:t>电力系统低碳调度决策</w:t>
      </w:r>
      <w:r>
        <w:t>过程中，</w:t>
      </w:r>
      <w:r>
        <w:rPr>
          <w:rFonts w:hint="eastAsia"/>
        </w:rPr>
        <w:t>本项目将通过</w:t>
      </w:r>
      <w:r>
        <w:t>成功地部署并应用国产</w:t>
      </w:r>
      <w:r>
        <w:rPr>
          <w:rFonts w:hint="eastAsia"/>
        </w:rPr>
        <w:t>电力系统低碳调度优化</w:t>
      </w:r>
      <w:r>
        <w:t>软件</w:t>
      </w:r>
      <w:r>
        <w:rPr>
          <w:rFonts w:hint="eastAsia"/>
        </w:rPr>
        <w:t>，</w:t>
      </w:r>
      <w:r>
        <w:t>深入分析生产环境中的实际业务问题，抽象出具有普遍适用性和高度通用性的问题模型、优化算法以及相应的解决方案。这种方法不仅使我们能够高效、快速地模拟整个电力</w:t>
      </w:r>
      <w:r>
        <w:rPr>
          <w:rFonts w:hint="eastAsia"/>
        </w:rPr>
        <w:t>系统</w:t>
      </w:r>
      <w:r>
        <w:t>的经济效益和运行效率，还显著提升了系统的稳定性和可靠性。此外，</w:t>
      </w:r>
      <w:r>
        <w:rPr>
          <w:rFonts w:hint="eastAsia"/>
        </w:rPr>
        <w:t>此功能模块</w:t>
      </w:r>
      <w:r>
        <w:t>的应用</w:t>
      </w:r>
      <w:r>
        <w:rPr>
          <w:rFonts w:hint="eastAsia"/>
        </w:rPr>
        <w:t>也</w:t>
      </w:r>
      <w:r>
        <w:t>有助于降低运营成本，增强数据</w:t>
      </w:r>
      <w:r>
        <w:rPr>
          <w:rFonts w:hint="eastAsia"/>
        </w:rPr>
        <w:t>和技术</w:t>
      </w:r>
      <w:r>
        <w:t>安全性，并提高对本地市场需求的响应速度。</w:t>
      </w:r>
      <w:bookmarkStart w:id="24" w:name="_Toc2369"/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2.3交付成果</w:t>
      </w:r>
      <w:bookmarkEnd w:id="24"/>
    </w:p>
    <w:p>
      <w:pPr>
        <w:ind w:right="-6"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1、电力系统低碳调度优化计算功能模块1套（质保期：1年）</w:t>
      </w:r>
    </w:p>
    <w:p>
      <w:pPr>
        <w:pStyle w:val="2"/>
        <w:ind w:left="0" w:leftChars="0" w:firstLineChars="0"/>
        <w:rPr>
          <w:rFonts w:hint="eastAsia" w:ascii="宋体" w:hAnsi="宋体" w:cs="宋体"/>
          <w:szCs w:val="21"/>
        </w:rPr>
      </w:pPr>
      <w:r>
        <w:rPr>
          <w:lang w:val="en-US"/>
        </w:rPr>
        <w:t>2</w:t>
      </w:r>
      <w:r>
        <w:rPr>
          <w:rFonts w:hint="eastAsia"/>
          <w:lang w:val="en-US"/>
        </w:rPr>
        <w:t>、</w:t>
      </w:r>
      <w:r>
        <w:rPr>
          <w:rFonts w:hint="eastAsia" w:ascii="宋体" w:hAnsi="宋体" w:cs="宋体"/>
          <w:szCs w:val="21"/>
        </w:rPr>
        <w:t>电力系统低碳调度优化计算功能模块使用说明手册1份（中、英）</w:t>
      </w:r>
    </w:p>
    <w:p>
      <w:pPr>
        <w:spacing w:after="120" w:afterLines="50"/>
        <w:ind w:firstLine="422"/>
        <w:outlineLvl w:val="0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ascii="宋体" w:hAnsi="宋体" w:cs="宋体"/>
          <w:b/>
          <w:caps/>
          <w:kern w:val="0"/>
          <w:szCs w:val="21"/>
        </w:rPr>
        <w:t>3</w:t>
      </w:r>
      <w:r>
        <w:rPr>
          <w:rFonts w:hint="eastAsia" w:ascii="宋体" w:hAnsi="宋体" w:cs="宋体"/>
          <w:b/>
          <w:caps/>
          <w:kern w:val="0"/>
          <w:szCs w:val="21"/>
        </w:rPr>
        <w:t>技术要求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ascii="宋体" w:hAnsi="宋体" w:cs="宋体"/>
          <w:b/>
          <w:caps/>
          <w:kern w:val="0"/>
          <w:szCs w:val="21"/>
        </w:rPr>
        <w:t>3.1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电力系统低碳调度优化底层算法研发技术要求</w:t>
      </w:r>
    </w:p>
    <w:p>
      <w:pPr>
        <w:ind w:firstLine="420"/>
      </w:pPr>
      <w:r>
        <w:t>为了有效支持电力</w:t>
      </w:r>
      <w:r>
        <w:rPr>
          <w:rFonts w:hint="eastAsia"/>
        </w:rPr>
        <w:t>系统低碳调度</w:t>
      </w:r>
      <w:r>
        <w:t>优化中的各种底层问题求解，本模块要求研发多种</w:t>
      </w:r>
      <w:r>
        <w:rPr>
          <w:rFonts w:hint="eastAsia"/>
        </w:rPr>
        <w:t>先进的</w:t>
      </w:r>
      <w:r>
        <w:t>求解算法，涵盖不同类型的数学规划问题</w:t>
      </w:r>
      <w:r>
        <w:rPr>
          <w:rFonts w:hint="eastAsia"/>
        </w:rPr>
        <w:t>，包括：单纯形法、内点法、一阶算法、交替乘子下降法、分支切割法等，</w:t>
      </w:r>
      <w:r>
        <w:t>以确保在电力</w:t>
      </w:r>
      <w:r>
        <w:rPr>
          <w:rFonts w:hint="eastAsia"/>
        </w:rPr>
        <w:t>系统调度</w:t>
      </w:r>
      <w:r>
        <w:t>的大规模优化过程中，能够高效、稳定地处理复杂的</w:t>
      </w:r>
      <w:r>
        <w:rPr>
          <w:rFonts w:hint="eastAsia"/>
        </w:rPr>
        <w:t>调度优化</w:t>
      </w:r>
      <w:r>
        <w:t>问题。</w:t>
      </w:r>
    </w:p>
    <w:tbl>
      <w:tblPr>
        <w:tblStyle w:val="15"/>
        <w:tblW w:w="82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5"/>
        <w:gridCol w:w="41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tabs>
                <w:tab w:val="left" w:pos="797"/>
              </w:tabs>
              <w:ind w:firstLine="42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问题类型</w:t>
            </w:r>
          </w:p>
        </w:tc>
        <w:tc>
          <w:tcPr>
            <w:tcW w:w="4145" w:type="dxa"/>
          </w:tcPr>
          <w:p>
            <w:pPr>
              <w:tabs>
                <w:tab w:val="left" w:pos="797"/>
              </w:tabs>
              <w:ind w:firstLine="42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求解算法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tabs>
                <w:tab w:val="left" w:pos="797"/>
              </w:tabs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线性规划 </w:t>
            </w:r>
            <w:r>
              <w:rPr>
                <w:color w:val="000000"/>
                <w:szCs w:val="21"/>
              </w:rPr>
              <w:t>(LP)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对偶单纯形法、内点法、一阶算法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二阶锥规划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(SOCP)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指数锥规划 (</w:t>
            </w:r>
            <w:r>
              <w:rPr>
                <w:color w:val="000000"/>
                <w:szCs w:val="21"/>
              </w:rPr>
              <w:t>E</w:t>
            </w:r>
            <w:r>
              <w:rPr>
                <w:rFonts w:hint="eastAsia"/>
                <w:color w:val="000000"/>
                <w:szCs w:val="21"/>
              </w:rPr>
              <w:t>xp</w:t>
            </w:r>
            <w:r>
              <w:rPr>
                <w:color w:val="000000"/>
                <w:szCs w:val="21"/>
              </w:rPr>
              <w:t>C</w:t>
            </w:r>
            <w:r>
              <w:rPr>
                <w:rFonts w:hint="eastAsia"/>
                <w:color w:val="000000"/>
                <w:szCs w:val="21"/>
              </w:rPr>
              <w:t>one)</w:t>
            </w:r>
          </w:p>
        </w:tc>
        <w:tc>
          <w:tcPr>
            <w:tcW w:w="4145" w:type="dxa"/>
          </w:tcPr>
          <w:p>
            <w:pPr>
              <w:ind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凸二次规划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(QP)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凸二次约束规划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(QCP)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半定规划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(SDP)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内点法、交替乘子下降法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混合整数线性规划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(MILP)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分支切割法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混合整数二阶锥规划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(MISOCP)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分支切割法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混合整数凸二次规划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(MIQP)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分支切割法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混合整数凸二次约束规划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(MIQCP)</w:t>
            </w:r>
          </w:p>
        </w:tc>
        <w:tc>
          <w:tcPr>
            <w:tcW w:w="4145" w:type="dxa"/>
          </w:tcPr>
          <w:p>
            <w:pPr>
              <w:ind w:firstLine="420"/>
              <w:rPr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分支切割法</w:t>
            </w:r>
          </w:p>
        </w:tc>
      </w:tr>
    </w:tbl>
    <w:p>
      <w:pPr>
        <w:ind w:firstLine="420"/>
      </w:pP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3</w:t>
      </w:r>
      <w:r>
        <w:rPr>
          <w:rFonts w:ascii="宋体" w:hAnsi="宋体" w:cs="宋体"/>
          <w:b/>
          <w:caps/>
          <w:kern w:val="0"/>
          <w:szCs w:val="21"/>
        </w:rPr>
        <w:t>.2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电力系统低碳调度优化底层算法性能指标技术要求</w:t>
      </w:r>
    </w:p>
    <w:p>
      <w:pPr>
        <w:ind w:firstLine="420"/>
      </w:pPr>
      <w:r>
        <w:tab/>
      </w:r>
      <w:r>
        <w:t>本模块要求</w:t>
      </w:r>
      <w:r>
        <w:rPr>
          <w:rFonts w:hint="eastAsia"/>
        </w:rPr>
        <w:t>研发实现底层算法性能指标要求如下：</w:t>
      </w:r>
    </w:p>
    <w:p>
      <w:pPr>
        <w:pStyle w:val="2"/>
        <w:rPr>
          <w:rFonts w:hint="eastAsia" w:eastAsia="宋体"/>
          <w:lang w:val="en-US" w:eastAsia="zh-CN"/>
        </w:rPr>
      </w:pPr>
      <w:r>
        <w:rPr>
          <w:rFonts w:hint="eastAsia"/>
          <w:lang w:val="en-US"/>
        </w:rPr>
        <w:t>1）</w:t>
      </w:r>
      <w:r>
        <w:rPr>
          <w:rFonts w:hint="eastAsia"/>
          <w:lang w:val="en-US" w:eastAsia="zh-CN"/>
        </w:rPr>
        <w:t>能够满足低碳调度</w:t>
      </w:r>
      <w:r>
        <w:rPr>
          <w:rFonts w:hint="eastAsia"/>
          <w:lang w:val="en-US"/>
        </w:rPr>
        <w:t>决策支持功能模块详细参数查询分析与计算：</w:t>
      </w:r>
      <w:r>
        <w:rPr>
          <w:rFonts w:hint="eastAsia"/>
          <w:lang w:val="en-US" w:eastAsia="zh-CN"/>
        </w:rPr>
        <w:t>①</w:t>
      </w:r>
      <w:r>
        <w:rPr>
          <w:rFonts w:hint="eastAsia"/>
          <w:lang w:val="en-US"/>
        </w:rPr>
        <w:t>支持大于1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val="en-US"/>
        </w:rPr>
        <w:t>00电网节点，</w:t>
      </w:r>
      <w:r>
        <w:rPr>
          <w:rFonts w:hint="eastAsia"/>
          <w:lang w:val="en-US" w:eastAsia="zh-CN"/>
        </w:rPr>
        <w:t>20</w:t>
      </w:r>
      <w:r>
        <w:rPr>
          <w:rFonts w:hint="eastAsia"/>
          <w:lang w:val="en-US"/>
        </w:rPr>
        <w:t>00台发电设施的计算规模；②</w:t>
      </w:r>
      <w:r>
        <w:rPr>
          <w:rFonts w:hint="eastAsia"/>
          <w:lang w:val="en-US" w:eastAsia="zh-CN"/>
        </w:rPr>
        <w:t>低碳调度</w:t>
      </w:r>
      <w:r>
        <w:rPr>
          <w:rFonts w:hint="eastAsia"/>
          <w:lang w:val="en-US"/>
        </w:rPr>
        <w:t>决策支持功能模块指标评估与决策支持：指标评估计算耗时小于2分钟，决策支持计算耗时小于3分钟；③</w:t>
      </w:r>
      <w:r>
        <w:rPr>
          <w:rFonts w:hint="eastAsia"/>
          <w:lang w:val="en-US" w:eastAsia="zh-CN"/>
        </w:rPr>
        <w:t>低碳调度</w:t>
      </w:r>
      <w:r>
        <w:rPr>
          <w:rFonts w:hint="eastAsia"/>
          <w:lang w:val="en-US"/>
        </w:rPr>
        <w:t>决策支持功能模块的容纳能力：支持超过</w:t>
      </w:r>
      <w:r>
        <w:rPr>
          <w:rFonts w:hint="eastAsia"/>
          <w:lang w:val="en-US" w:eastAsia="zh-CN"/>
        </w:rPr>
        <w:t>20</w:t>
      </w:r>
      <w:r>
        <w:rPr>
          <w:rFonts w:hint="eastAsia"/>
          <w:lang w:val="en-US"/>
        </w:rPr>
        <w:t>00个主体的</w:t>
      </w:r>
      <w:r>
        <w:rPr>
          <w:rFonts w:hint="eastAsia"/>
          <w:lang w:val="en-US" w:eastAsia="zh-CN"/>
        </w:rPr>
        <w:t>在线计算规模；</w:t>
      </w:r>
    </w:p>
    <w:p>
      <w:pPr>
        <w:pStyle w:val="2"/>
        <w:rPr>
          <w:lang w:val="en-US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en-US"/>
        </w:rPr>
        <w:t>）针对Hans Mittlemann公开测试榜单中的MIPLIB和NETLIB等中的线性规划问题，在15000秒内保证能成功求解全部问题；</w:t>
      </w:r>
    </w:p>
    <w:p>
      <w:pPr>
        <w:pStyle w:val="2"/>
        <w:rPr>
          <w:lang w:val="en-US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  <w:lang w:val="en-US"/>
        </w:rPr>
        <w:t>）</w:t>
      </w:r>
      <w:r>
        <w:rPr>
          <w:rFonts w:hint="eastAsia"/>
        </w:rPr>
        <w:t>针对</w:t>
      </w:r>
      <w:r>
        <w:rPr>
          <w:lang w:val="en-US"/>
        </w:rPr>
        <w:t>Hans Mittlemann</w:t>
      </w:r>
      <w:r>
        <w:rPr>
          <w:rFonts w:hint="eastAsia"/>
        </w:rPr>
        <w:t>公开测试榜单中的运筹学算例集</w:t>
      </w:r>
      <w:r>
        <w:rPr>
          <w:lang w:val="en-US"/>
        </w:rPr>
        <w:t>MIPLIB2017</w:t>
      </w:r>
      <w:r>
        <w:rPr>
          <w:rFonts w:hint="eastAsia"/>
          <w:lang w:val="en-US"/>
        </w:rPr>
        <w:t>（</w:t>
      </w:r>
      <w:r>
        <w:rPr>
          <w:lang w:val="en-US"/>
        </w:rPr>
        <w:t>The Mixed Integer Programming Library 2017</w:t>
      </w:r>
      <w:r>
        <w:rPr>
          <w:rFonts w:hint="eastAsia"/>
          <w:lang w:val="en-US"/>
        </w:rPr>
        <w:t>）</w:t>
      </w:r>
      <w:r>
        <w:rPr>
          <w:rFonts w:hint="eastAsia"/>
        </w:rPr>
        <w:t>中的</w:t>
      </w:r>
      <w:r>
        <w:rPr>
          <w:lang w:val="en-US"/>
        </w:rPr>
        <w:t>240</w:t>
      </w:r>
      <w:r>
        <w:rPr>
          <w:rFonts w:hint="eastAsia"/>
        </w:rPr>
        <w:t>个</w:t>
      </w:r>
      <w:r>
        <w:rPr>
          <w:lang w:val="en-US"/>
        </w:rPr>
        <w:t>MILP</w:t>
      </w:r>
      <w:r>
        <w:rPr>
          <w:rFonts w:hint="eastAsia"/>
          <w:lang w:val="en-US"/>
        </w:rPr>
        <w:t>（</w:t>
      </w:r>
      <w:r>
        <w:rPr>
          <w:lang w:val="en-US"/>
        </w:rPr>
        <w:t>Mixed Integer Linear Programming</w:t>
      </w:r>
      <w:r>
        <w:rPr>
          <w:rFonts w:hint="eastAsia"/>
          <w:lang w:val="en-US"/>
        </w:rPr>
        <w:t>）</w:t>
      </w:r>
      <w:r>
        <w:rPr>
          <w:rFonts w:hint="eastAsia"/>
        </w:rPr>
        <w:t>算例问题</w:t>
      </w:r>
      <w:r>
        <w:rPr>
          <w:rFonts w:hint="eastAsia"/>
          <w:lang w:val="en-US"/>
        </w:rPr>
        <w:t>，</w:t>
      </w:r>
      <w:r>
        <w:rPr>
          <w:rFonts w:hint="eastAsia"/>
        </w:rPr>
        <w:t>在</w:t>
      </w:r>
      <w:r>
        <w:rPr>
          <w:lang w:val="en-US"/>
        </w:rPr>
        <w:t>2</w:t>
      </w:r>
      <w:r>
        <w:rPr>
          <w:rFonts w:hint="eastAsia"/>
        </w:rPr>
        <w:t>小时内保证能全部成功求解</w:t>
      </w:r>
      <w:r>
        <w:rPr>
          <w:lang w:val="en-US"/>
        </w:rPr>
        <w:t>90%</w:t>
      </w:r>
      <w:r>
        <w:rPr>
          <w:rFonts w:hint="eastAsia"/>
        </w:rPr>
        <w:t>以上的算例问题。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3</w:t>
      </w:r>
      <w:r>
        <w:rPr>
          <w:rFonts w:ascii="宋体" w:hAnsi="宋体" w:cs="宋体"/>
          <w:b/>
          <w:caps/>
          <w:kern w:val="0"/>
          <w:szCs w:val="21"/>
        </w:rPr>
        <w:t>.3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电力系统低碳调度优化通用模型研发技术要求</w:t>
      </w:r>
    </w:p>
    <w:p>
      <w:pPr>
        <w:ind w:firstLine="420"/>
      </w:pPr>
      <w:r>
        <w:t>在</w:t>
      </w:r>
      <w:r>
        <w:rPr>
          <w:rFonts w:hint="eastAsia"/>
        </w:rPr>
        <w:t>电力系统低碳调度</w:t>
      </w:r>
      <w:r>
        <w:t>优化过程中，需要考虑复杂的市场机制、资源约束和动态调度要求</w:t>
      </w:r>
      <w:r>
        <w:rPr>
          <w:rFonts w:hint="eastAsia"/>
        </w:rPr>
        <w:t>。</w:t>
      </w:r>
      <w:r>
        <w:t>因此，本模块研发支持多种常见的数学规划模型，</w:t>
      </w:r>
      <w:r>
        <w:rPr>
          <w:rFonts w:hint="eastAsia" w:ascii="宋体" w:hAnsi="宋体"/>
        </w:rPr>
        <w:t>实现包括</w:t>
      </w:r>
      <w:r>
        <w:t>线性规划（LP）、混合整数规划（MIP）、</w:t>
      </w:r>
      <w:r>
        <w:rPr>
          <w:rFonts w:hint="eastAsia"/>
        </w:rPr>
        <w:t>凸二</w:t>
      </w:r>
      <w:r>
        <w:t>次</w:t>
      </w:r>
      <w:r>
        <w:rPr>
          <w:rFonts w:hint="eastAsia"/>
        </w:rPr>
        <w:t>（约束）</w:t>
      </w:r>
      <w:r>
        <w:t>规划（Q(C)P）、半定规划（SDP）、二阶锥规划（SOCP）</w:t>
      </w:r>
      <w:r>
        <w:rPr>
          <w:rFonts w:hint="eastAsia"/>
        </w:rPr>
        <w:t>、混合整数二阶锥规划（M</w:t>
      </w:r>
      <w:r>
        <w:t>ISOCP</w:t>
      </w:r>
      <w:r>
        <w:rPr>
          <w:rFonts w:hint="eastAsia"/>
        </w:rPr>
        <w:t>）、混合整数凸二次（约束）规划（M</w:t>
      </w:r>
      <w:r>
        <w:t>IQ(C)P</w:t>
      </w:r>
      <w:r>
        <w:rPr>
          <w:rFonts w:hint="eastAsia"/>
        </w:rPr>
        <w:t>）等常见的数学规划模型的建模技术；要求研发构建的标准约束库包括：线</w:t>
      </w:r>
      <w:r>
        <w:t>性</w:t>
      </w:r>
      <w:r>
        <w:rPr>
          <w:rFonts w:hint="eastAsia"/>
        </w:rPr>
        <w:t>约束</w:t>
      </w:r>
      <w:r>
        <w:t>、</w:t>
      </w:r>
      <w:r>
        <w:rPr>
          <w:rFonts w:hint="eastAsia"/>
        </w:rPr>
        <w:t>凸</w:t>
      </w:r>
      <w:r>
        <w:t>二次约束、逻辑约束</w:t>
      </w:r>
      <w:r>
        <w:rPr>
          <w:rFonts w:hint="eastAsia"/>
        </w:rPr>
        <w:t>、二阶锥约束、指数锥约束等</w:t>
      </w:r>
      <w:r>
        <w:t>编码实现和封装</w:t>
      </w:r>
      <w:r>
        <w:rPr>
          <w:rFonts w:hint="eastAsia"/>
        </w:rPr>
        <w:t>，</w:t>
      </w:r>
      <w:r>
        <w:t>以便应对电力</w:t>
      </w:r>
      <w:r>
        <w:rPr>
          <w:rFonts w:hint="eastAsia"/>
        </w:rPr>
        <w:t>系统调度</w:t>
      </w:r>
      <w:r>
        <w:t>中各种优化问题的建模需求。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bCs/>
          <w:caps/>
          <w:kern w:val="0"/>
          <w:szCs w:val="21"/>
        </w:rPr>
      </w:pPr>
      <w:r>
        <w:rPr>
          <w:rFonts w:ascii="宋体" w:hAnsi="宋体" w:cs="宋体"/>
          <w:b/>
          <w:caps/>
          <w:kern w:val="0"/>
          <w:szCs w:val="21"/>
        </w:rPr>
        <w:t>3.4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</w:t>
      </w:r>
      <w:r>
        <w:rPr>
          <w:rFonts w:hint="eastAsia" w:ascii="宋体" w:hAnsi="宋体" w:cs="宋体"/>
          <w:b/>
          <w:bCs/>
          <w:caps/>
          <w:kern w:val="0"/>
          <w:szCs w:val="21"/>
        </w:rPr>
        <w:t>模型分析和诊断技术</w:t>
      </w:r>
      <w:r>
        <w:rPr>
          <w:rFonts w:hint="eastAsia" w:ascii="宋体" w:hAnsi="宋体" w:cs="宋体"/>
          <w:b/>
          <w:caps/>
          <w:kern w:val="0"/>
          <w:szCs w:val="21"/>
        </w:rPr>
        <w:t>要求</w:t>
      </w:r>
    </w:p>
    <w:p>
      <w:pPr>
        <w:ind w:firstLine="420"/>
      </w:pPr>
      <w:r>
        <w:rPr>
          <w:rFonts w:hint="eastAsia"/>
        </w:rPr>
        <w:t>本模块要求研发实现针对电力</w:t>
      </w:r>
      <w:r>
        <w:t>系统低碳调度</w:t>
      </w:r>
      <w:r>
        <w:rPr>
          <w:rFonts w:hint="eastAsia"/>
        </w:rPr>
        <w:t>优化不可行模型诊断和分析的两种技术方案。需包括：</w:t>
      </w:r>
    </w:p>
    <w:p>
      <w:pPr>
        <w:ind w:firstLine="420"/>
      </w:pPr>
      <w:r>
        <w:t>1</w:t>
      </w:r>
      <w:r>
        <w:rPr>
          <w:rFonts w:hint="eastAsia"/>
        </w:rPr>
        <w:t>）计算</w:t>
      </w:r>
      <w:r>
        <w:t>IIS</w:t>
      </w:r>
      <w:r>
        <w:rPr>
          <w:rFonts w:hint="eastAsia"/>
        </w:rPr>
        <w:t>（最小不可行子集），要求计算生成包含最小冲突集的模型（</w:t>
      </w:r>
      <w:r>
        <w:t>.iis</w:t>
      </w:r>
      <w:r>
        <w:rPr>
          <w:rFonts w:hint="eastAsia"/>
        </w:rPr>
        <w:t>格式</w:t>
      </w:r>
      <w:r>
        <w:t>）</w:t>
      </w:r>
      <w:r>
        <w:rPr>
          <w:rFonts w:hint="eastAsia"/>
        </w:rPr>
        <w:t>；</w:t>
      </w:r>
    </w:p>
    <w:p>
      <w:pPr>
        <w:ind w:firstLine="420"/>
        <w:rPr>
          <w:rFonts w:hint="eastAsia" w:ascii="宋体" w:hAnsi="宋体"/>
        </w:rPr>
      </w:pPr>
      <w:r>
        <w:rPr>
          <w:rFonts w:ascii="宋体" w:hAnsi="宋体"/>
        </w:rPr>
        <w:t>2</w:t>
      </w:r>
      <w:r>
        <w:rPr>
          <w:rFonts w:hint="eastAsia" w:ascii="宋体" w:hAnsi="宋体"/>
        </w:rPr>
        <w:t>）计算</w:t>
      </w:r>
      <w:r>
        <w:rPr>
          <w:rFonts w:ascii="宋体" w:hAnsi="宋体"/>
        </w:rPr>
        <w:t>FeasRelax</w:t>
      </w:r>
      <w:r>
        <w:rPr>
          <w:rFonts w:hint="eastAsia" w:ascii="宋体" w:hAnsi="宋体"/>
        </w:rPr>
        <w:t>（可行化松弛），支持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灵活选择合适计算模式，生成包含最小改动的可行化模型（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.relax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格式）。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ascii="宋体" w:hAnsi="宋体" w:cs="宋体"/>
          <w:b/>
          <w:caps/>
          <w:kern w:val="0"/>
          <w:szCs w:val="21"/>
        </w:rPr>
        <w:t>3.5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电力系统低碳调度优化参数调优技术要求</w:t>
      </w:r>
    </w:p>
    <w:p>
      <w:pPr>
        <w:ind w:firstLine="420"/>
      </w:pPr>
      <w:r>
        <w:t>本模块要求研发</w:t>
      </w:r>
      <w:r>
        <w:rPr>
          <w:rFonts w:hint="eastAsia"/>
        </w:rPr>
        <w:t>电力</w:t>
      </w:r>
      <w:r>
        <w:t>系统</w:t>
      </w:r>
      <w:r>
        <w:rPr>
          <w:rFonts w:hint="eastAsia"/>
        </w:rPr>
        <w:t>低碳调度优化的</w:t>
      </w:r>
      <w:r>
        <w:t>参数调优技术，确保系统能够在多种优化求解任务中自动化、灵活地调整参数，以提高求解效率和优化效果。</w:t>
      </w:r>
      <w:r>
        <w:rPr>
          <w:rFonts w:hint="eastAsia"/>
        </w:rPr>
        <w:t>需包括：</w:t>
      </w:r>
    </w:p>
    <w:p>
      <w:pPr>
        <w:ind w:firstLine="420"/>
      </w:pPr>
      <w:r>
        <w:t>1</w:t>
      </w:r>
      <w:r>
        <w:rPr>
          <w:rFonts w:hint="eastAsia"/>
        </w:rPr>
        <w:t>）支持设置调节不同类型的调度优化求解参数，包括限制和容差类、线性规划算法、整数规划算法、并行计算相关参数等；</w:t>
      </w:r>
    </w:p>
    <w:p>
      <w:pPr>
        <w:ind w:firstLine="420"/>
      </w:pPr>
      <w:r>
        <w:t>2</w:t>
      </w:r>
      <w:r>
        <w:rPr>
          <w:rFonts w:hint="eastAsia"/>
        </w:rPr>
        <w:t>）研发调度优化系统参数自动调优工具，支持自定义调优目标和调优模式，权衡调优耗时和调优效果，选择贪婪或激进调优策略、支持自定义基准参数、支持自定义调优终止目标、支持设定每组参数的扰动次数、支持设定基于平均值或极值的最优参数计算方式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3</w:t>
      </w:r>
      <w:r>
        <w:rPr>
          <w:rFonts w:ascii="宋体" w:hAnsi="宋体" w:cs="宋体"/>
          <w:b/>
          <w:caps/>
          <w:kern w:val="0"/>
          <w:szCs w:val="21"/>
        </w:rPr>
        <w:t>.6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电力系统低碳调度优化软件</w:t>
      </w:r>
      <w:r>
        <w:rPr>
          <w:rFonts w:hint="eastAsia" w:ascii="宋体" w:hAnsi="宋体" w:cs="宋体"/>
          <w:b/>
          <w:bCs/>
          <w:caps/>
          <w:kern w:val="0"/>
          <w:szCs w:val="21"/>
        </w:rPr>
        <w:t>接口集成技术</w:t>
      </w:r>
      <w:r>
        <w:rPr>
          <w:rFonts w:hint="eastAsia" w:ascii="宋体" w:hAnsi="宋体" w:cs="宋体"/>
          <w:b/>
          <w:caps/>
          <w:kern w:val="0"/>
          <w:szCs w:val="21"/>
        </w:rPr>
        <w:t>要求</w:t>
      </w:r>
    </w:p>
    <w:p>
      <w:pPr>
        <w:ind w:firstLine="420"/>
        <w:rPr>
          <w:rFonts w:hint="eastAsia" w:ascii="Times New Roman Regular" w:hAnsi="Times New Roman Regular" w:cs="Times New Roman Regular"/>
          <w:szCs w:val="21"/>
          <w:lang w:bidi="ar"/>
        </w:rPr>
      </w:pPr>
      <w:r>
        <w:t>本模块要求</w:t>
      </w:r>
      <w:r>
        <w:rPr>
          <w:rFonts w:hint="eastAsia"/>
        </w:rPr>
        <w:t>研发实现电力系统低碳调度优化软件</w:t>
      </w:r>
      <w:r>
        <w:t>针对所有主流编程语言和第三方建模工具的接口库</w:t>
      </w:r>
      <w:r>
        <w:rPr>
          <w:rFonts w:hint="eastAsia"/>
        </w:rPr>
        <w:t>封装</w:t>
      </w:r>
      <w:r>
        <w:t>，确保</w:t>
      </w:r>
      <w:r>
        <w:rPr>
          <w:rFonts w:hint="eastAsia"/>
        </w:rPr>
        <w:t>系</w:t>
      </w:r>
      <w:r>
        <w:t>统能够与不同的开发环境和建模工具进行高效的集成与交互。具体</w:t>
      </w:r>
      <w:r>
        <w:rPr>
          <w:rFonts w:hint="eastAsia"/>
        </w:rPr>
        <w:t>需包括</w:t>
      </w:r>
      <w:r>
        <w:rPr>
          <w:rFonts w:hint="eastAsia" w:ascii="Times New Roman Regular" w:hAnsi="Times New Roman Regular" w:cs="Times New Roman Regular"/>
          <w:szCs w:val="21"/>
          <w:lang w:bidi="ar"/>
        </w:rPr>
        <w:t>C, C++, C#, Java, Python，以及第三方建模工具Pyomo, PuLP</w:t>
      </w:r>
      <w:r>
        <w:t xml:space="preserve">, </w:t>
      </w:r>
      <w:r>
        <w:rPr>
          <w:rFonts w:hint="eastAsia" w:ascii="Times New Roman Regular" w:hAnsi="Times New Roman Regular" w:cs="Times New Roman Regular"/>
          <w:szCs w:val="21"/>
          <w:lang w:bidi="ar"/>
        </w:rPr>
        <w:t>CVXPY，Julia等，能够支持通过上述接口实现建模输入。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bCs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3</w:t>
      </w:r>
      <w:r>
        <w:rPr>
          <w:rFonts w:ascii="宋体" w:hAnsi="宋体" w:cs="宋体"/>
          <w:b/>
          <w:caps/>
          <w:kern w:val="0"/>
          <w:szCs w:val="21"/>
        </w:rPr>
        <w:t>.7</w:t>
      </w:r>
      <w:r>
        <w:rPr>
          <w:rFonts w:hint="eastAsia" w:ascii="宋体" w:hAnsi="宋体" w:cs="宋体"/>
          <w:b/>
          <w:caps/>
          <w:kern w:val="0"/>
          <w:szCs w:val="21"/>
        </w:rPr>
        <w:t>电力系统低碳调度优化软件标准化</w:t>
      </w:r>
      <w:r>
        <w:rPr>
          <w:rFonts w:hint="eastAsia" w:ascii="宋体" w:hAnsi="宋体" w:cs="宋体"/>
          <w:b/>
          <w:bCs/>
          <w:caps/>
          <w:kern w:val="0"/>
          <w:szCs w:val="21"/>
        </w:rPr>
        <w:t>数据交互技术</w:t>
      </w:r>
      <w:r>
        <w:rPr>
          <w:rFonts w:hint="eastAsia" w:ascii="宋体" w:hAnsi="宋体" w:cs="宋体"/>
          <w:b/>
          <w:caps/>
          <w:kern w:val="0"/>
          <w:szCs w:val="21"/>
        </w:rPr>
        <w:t>要求</w:t>
      </w:r>
    </w:p>
    <w:p>
      <w:pPr>
        <w:ind w:firstLine="420"/>
      </w:pPr>
      <w:r>
        <w:t>本模块要求</w:t>
      </w:r>
      <w:r>
        <w:rPr>
          <w:rFonts w:hint="eastAsia"/>
        </w:rPr>
        <w:t>研发实现</w:t>
      </w:r>
      <w:r>
        <w:t>支持主流数学模型和优化参数的输入输出标准格式，以确保</w:t>
      </w:r>
      <w:r>
        <w:rPr>
          <w:rFonts w:hint="eastAsia" w:ascii="宋体" w:hAnsi="宋体" w:cs="宋体"/>
          <w:b/>
          <w:bCs/>
          <w:caps/>
          <w:kern w:val="0"/>
          <w:szCs w:val="21"/>
        </w:rPr>
        <w:t>电力系统低碳调度软件</w:t>
      </w:r>
      <w:r>
        <w:t>能够在不同平台和</w:t>
      </w:r>
      <w:r>
        <w:rPr>
          <w:rFonts w:hint="eastAsia"/>
        </w:rPr>
        <w:t>系统</w:t>
      </w:r>
      <w:r>
        <w:t>下进行无缝的数据交换和集成。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针对主流数学模型、优化参数、优化结果等实现标准格式输入和输出，需包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 xml:space="preserve">括 MPS、LP、SDPA、CBF、NL 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SOL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BAS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PAR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等格式。</w:t>
      </w:r>
    </w:p>
    <w:p>
      <w:pPr>
        <w:pStyle w:val="2"/>
        <w:rPr>
          <w:lang w:val="en-US"/>
        </w:rPr>
      </w:pP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3</w:t>
      </w:r>
      <w:r>
        <w:rPr>
          <w:rFonts w:ascii="宋体" w:hAnsi="宋体" w:cs="宋体"/>
          <w:b/>
          <w:caps/>
          <w:kern w:val="0"/>
          <w:szCs w:val="21"/>
        </w:rPr>
        <w:t>.8</w:t>
      </w:r>
      <w:r>
        <w:rPr>
          <w:rFonts w:hint="eastAsia" w:ascii="宋体" w:hAnsi="宋体" w:cs="宋体"/>
          <w:b/>
          <w:caps/>
          <w:kern w:val="0"/>
          <w:szCs w:val="21"/>
        </w:rPr>
        <w:t>培训服务要求</w:t>
      </w:r>
    </w:p>
    <w:p>
      <w:pPr>
        <w:ind w:firstLine="420"/>
      </w:pPr>
      <w:r>
        <w:rPr>
          <w:rFonts w:hint="eastAsia"/>
        </w:rPr>
        <w:t>为了使得用户</w:t>
      </w:r>
      <w:r>
        <w:t>能够全面掌握</w:t>
      </w:r>
      <w:r>
        <w:rPr>
          <w:szCs w:val="21"/>
        </w:rPr>
        <w:t>国产</w:t>
      </w:r>
      <w:r>
        <w:rPr>
          <w:rFonts w:hint="eastAsia"/>
          <w:szCs w:val="21"/>
        </w:rPr>
        <w:t>电力系统低碳调度优化</w:t>
      </w:r>
      <w:r>
        <w:rPr>
          <w:rFonts w:hint="eastAsia"/>
        </w:rPr>
        <w:t>计算功能模块</w:t>
      </w:r>
      <w:r>
        <w:t>的功能及应用，</w:t>
      </w:r>
      <w:r>
        <w:rPr>
          <w:rFonts w:hint="eastAsia"/>
        </w:rPr>
        <w:t>要求</w:t>
      </w:r>
      <w:r>
        <w:t>提供一套完整、切实可行的培训</w:t>
      </w:r>
      <w:r>
        <w:rPr>
          <w:rFonts w:hint="eastAsia"/>
        </w:rPr>
        <w:t>服务</w:t>
      </w:r>
      <w:r>
        <w:t>方案，安排专业技术人员对用户相关人员进行详细的关于使用操作、维护等方面的技术培训</w:t>
      </w:r>
      <w:r>
        <w:rPr>
          <w:rFonts w:hint="eastAsia"/>
        </w:rPr>
        <w:t>。</w:t>
      </w:r>
      <w:r>
        <w:t>具体培训计划</w:t>
      </w:r>
      <w:r>
        <w:rPr>
          <w:rFonts w:hint="eastAsia"/>
        </w:rPr>
        <w:t>和内容要求如下</w:t>
      </w:r>
      <w:r>
        <w:t>：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7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0" w:firstLineChars="0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时间</w:t>
            </w:r>
          </w:p>
        </w:tc>
        <w:tc>
          <w:tcPr>
            <w:tcW w:w="7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2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培训内容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0" w:firstLineChars="0"/>
              <w:jc w:val="center"/>
              <w:rPr>
                <w:szCs w:val="21"/>
              </w:rPr>
            </w:pPr>
            <w:r>
              <w:rPr>
                <w:szCs w:val="21"/>
              </w:rPr>
              <w:t>上午</w:t>
            </w:r>
          </w:p>
        </w:tc>
        <w:tc>
          <w:tcPr>
            <w:tcW w:w="7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9"/>
              <w:numPr>
                <w:ilvl w:val="0"/>
                <w:numId w:val="2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国产电力系统低碳调度优化计算功能模块介绍</w:t>
            </w:r>
          </w:p>
          <w:p>
            <w:pPr>
              <w:pStyle w:val="39"/>
              <w:numPr>
                <w:ilvl w:val="0"/>
                <w:numId w:val="2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国产电力系统低碳调度优化计算功能模块性能和功能概览</w:t>
            </w:r>
          </w:p>
          <w:p>
            <w:pPr>
              <w:pStyle w:val="39"/>
              <w:numPr>
                <w:ilvl w:val="0"/>
                <w:numId w:val="2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安装和配置国产电力系统低碳调度优化计算功能模块及其接口</w:t>
            </w:r>
          </w:p>
          <w:p>
            <w:pPr>
              <w:pStyle w:val="39"/>
              <w:numPr>
                <w:ilvl w:val="0"/>
                <w:numId w:val="2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快速入门：如何使用国产电力系统低碳调度优化计算功能模块建模求解，基本实操及函数用法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0" w:firstLineChars="0"/>
              <w:jc w:val="center"/>
              <w:rPr>
                <w:szCs w:val="21"/>
              </w:rPr>
            </w:pPr>
            <w:r>
              <w:rPr>
                <w:szCs w:val="21"/>
              </w:rPr>
              <w:t>下午</w:t>
            </w:r>
          </w:p>
        </w:tc>
        <w:tc>
          <w:tcPr>
            <w:tcW w:w="7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9"/>
              <w:numPr>
                <w:ilvl w:val="0"/>
                <w:numId w:val="3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国产电力系统低碳调度优化计算功能模块建模技巧和工具</w:t>
            </w:r>
          </w:p>
          <w:p>
            <w:pPr>
              <w:pStyle w:val="39"/>
              <w:numPr>
                <w:ilvl w:val="0"/>
                <w:numId w:val="3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国产电力系统低碳调度优化计算功能模块非线性问题的建模和求解</w:t>
            </w:r>
          </w:p>
          <w:p>
            <w:pPr>
              <w:pStyle w:val="39"/>
              <w:numPr>
                <w:ilvl w:val="0"/>
                <w:numId w:val="3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国产电力系统低碳调度优化计算功能模块优化参数和求解日志</w:t>
            </w:r>
          </w:p>
          <w:p>
            <w:pPr>
              <w:pStyle w:val="39"/>
              <w:numPr>
                <w:ilvl w:val="0"/>
                <w:numId w:val="3"/>
              </w:numPr>
              <w:ind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国产电力系统低碳调度优化计算功能模块的高级功能和用法</w:t>
            </w:r>
          </w:p>
        </w:tc>
      </w:tr>
    </w:tbl>
    <w:p>
      <w:pPr>
        <w:ind w:firstLine="420"/>
      </w:pP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3</w:t>
      </w:r>
      <w:r>
        <w:rPr>
          <w:rFonts w:ascii="宋体" w:hAnsi="宋体" w:cs="宋体"/>
          <w:b/>
          <w:caps/>
          <w:kern w:val="0"/>
          <w:szCs w:val="21"/>
        </w:rPr>
        <w:t>.</w:t>
      </w:r>
      <w:r>
        <w:rPr>
          <w:rFonts w:hint="eastAsia" w:ascii="宋体" w:hAnsi="宋体" w:cs="宋体"/>
          <w:b/>
          <w:caps/>
          <w:kern w:val="0"/>
          <w:szCs w:val="21"/>
        </w:rPr>
        <w:t>9满足资格条件业绩</w:t>
      </w:r>
    </w:p>
    <w:p>
      <w:pPr>
        <w:spacing w:after="120" w:afterLines="50"/>
        <w:ind w:firstLine="420"/>
        <w:outlineLvl w:val="0"/>
      </w:pPr>
      <w:bookmarkStart w:id="25" w:name="_Toc1036"/>
      <w:r>
        <w:rPr>
          <w:rFonts w:hint="eastAsia"/>
        </w:rPr>
        <w:t>同类项目业绩不少于2个，电力行业优化类项目业绩优先，需提供合同扫描件，包括合 同首页、签字盖章页及合同关键页等能体现上述要求的相关材料。</w:t>
      </w:r>
    </w:p>
    <w:p>
      <w:pPr>
        <w:spacing w:after="120" w:afterLines="50"/>
        <w:ind w:firstLine="422"/>
        <w:outlineLvl w:val="0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4 项目实施保证</w:t>
      </w:r>
      <w:bookmarkEnd w:id="25"/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26" w:name="_Toc31050"/>
      <w:r>
        <w:rPr>
          <w:rFonts w:hint="eastAsia" w:ascii="宋体" w:hAnsi="宋体" w:cs="宋体"/>
          <w:b/>
          <w:caps/>
          <w:kern w:val="0"/>
          <w:szCs w:val="21"/>
        </w:rPr>
        <w:t>4.1组织保证及研发能力</w:t>
      </w:r>
      <w:bookmarkEnd w:id="26"/>
    </w:p>
    <w:p>
      <w:pPr>
        <w:ind w:firstLine="420"/>
        <w:rPr>
          <w:rFonts w:hint="eastAsia" w:ascii="宋体" w:hAnsi="宋体" w:cs="宋体"/>
          <w:caps/>
          <w:szCs w:val="21"/>
        </w:rPr>
      </w:pPr>
      <w:r>
        <w:rPr>
          <w:rFonts w:hint="eastAsia" w:ascii="宋体" w:hAnsi="宋体" w:cs="宋体"/>
          <w:caps/>
          <w:szCs w:val="21"/>
        </w:rPr>
        <w:t>4.1.1组织保证</w:t>
      </w:r>
    </w:p>
    <w:p>
      <w:pPr>
        <w:ind w:right="-6"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无</w:t>
      </w:r>
    </w:p>
    <w:p>
      <w:pPr>
        <w:ind w:firstLine="420"/>
        <w:rPr>
          <w:rFonts w:hint="eastAsia" w:ascii="宋体" w:hAnsi="宋体" w:cs="宋体"/>
          <w:caps/>
          <w:szCs w:val="21"/>
        </w:rPr>
      </w:pPr>
      <w:r>
        <w:rPr>
          <w:rFonts w:hint="eastAsia" w:ascii="宋体" w:hAnsi="宋体" w:cs="宋体"/>
          <w:caps/>
          <w:szCs w:val="21"/>
        </w:rPr>
        <w:t>4.1.2研发能力</w:t>
      </w:r>
    </w:p>
    <w:p>
      <w:pPr>
        <w:ind w:right="-6" w:firstLine="420"/>
        <w:rPr>
          <w:rFonts w:hint="eastAsia" w:ascii="宋体" w:hAnsi="宋体" w:cs="宋体"/>
          <w:szCs w:val="21"/>
        </w:rPr>
      </w:pPr>
      <w:bookmarkStart w:id="27" w:name="_Toc30539"/>
      <w:r>
        <w:rPr>
          <w:rFonts w:hint="eastAsia" w:ascii="宋体" w:hAnsi="宋体" w:cs="宋体"/>
          <w:szCs w:val="21"/>
        </w:rPr>
        <w:t>无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r>
        <w:rPr>
          <w:rFonts w:hint="eastAsia" w:ascii="宋体" w:hAnsi="宋体" w:cs="宋体"/>
          <w:b/>
          <w:caps/>
          <w:kern w:val="0"/>
          <w:szCs w:val="21"/>
        </w:rPr>
        <w:t>4.2质量保证</w:t>
      </w:r>
      <w:bookmarkEnd w:id="27"/>
    </w:p>
    <w:p>
      <w:pPr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针对3.1-3.7条款方案，阐述本次服务采用的相关标准和保障措施；</w:t>
      </w:r>
    </w:p>
    <w:p>
      <w:pPr>
        <w:pStyle w:val="2"/>
        <w:ind w:firstLine="0" w:firstLineChars="0"/>
        <w:rPr>
          <w:rFonts w:hint="eastAsia" w:ascii="宋体" w:hAnsi="宋体" w:cs="宋体"/>
          <w:szCs w:val="21"/>
        </w:rPr>
      </w:pPr>
      <w:r>
        <w:rPr>
          <w:rFonts w:hint="eastAsia"/>
          <w:lang w:val="en-US"/>
        </w:rPr>
        <w:t>本次服务质保期要求为1年。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28" w:name="_Toc15494"/>
      <w:r>
        <w:rPr>
          <w:rFonts w:hint="eastAsia" w:ascii="宋体" w:hAnsi="宋体" w:cs="宋体"/>
          <w:b/>
          <w:caps/>
          <w:kern w:val="0"/>
          <w:szCs w:val="21"/>
        </w:rPr>
        <w:t>4.3实施计划</w:t>
      </w:r>
      <w:bookmarkEnd w:id="28"/>
    </w:p>
    <w:p>
      <w:pPr>
        <w:tabs>
          <w:tab w:val="right" w:leader="dot" w:pos="8296"/>
        </w:tabs>
        <w:ind w:firstLine="420"/>
        <w:jc w:val="left"/>
        <w:rPr>
          <w:rFonts w:hint="eastAsia" w:ascii="宋体" w:hAnsi="宋体" w:cs="宋体"/>
          <w:caps/>
          <w:szCs w:val="21"/>
        </w:rPr>
      </w:pPr>
      <w:r>
        <w:rPr>
          <w:rFonts w:hint="eastAsia" w:ascii="宋体" w:hAnsi="宋体" w:cs="宋体"/>
          <w:szCs w:val="21"/>
        </w:rPr>
        <w:t>合同签订之日起至</w:t>
      </w:r>
      <w:r>
        <w:rPr>
          <w:rFonts w:hint="eastAsia" w:ascii="宋体" w:hAnsi="宋体" w:cs="宋体"/>
          <w:szCs w:val="21"/>
          <w:u w:val="single"/>
        </w:rPr>
        <w:t xml:space="preserve"> 202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6</w:t>
      </w:r>
      <w:r>
        <w:rPr>
          <w:rFonts w:hint="eastAsia" w:ascii="宋体" w:hAnsi="宋体" w:cs="宋体"/>
          <w:szCs w:val="21"/>
          <w:u w:val="single"/>
        </w:rPr>
        <w:t>年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1</w:t>
      </w:r>
      <w:r>
        <w:rPr>
          <w:rFonts w:hint="eastAsia" w:ascii="宋体" w:hAnsi="宋体" w:cs="宋体"/>
          <w:szCs w:val="21"/>
          <w:u w:val="single"/>
        </w:rPr>
        <w:t>月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1</w:t>
      </w:r>
      <w:r>
        <w:rPr>
          <w:rFonts w:hint="eastAsia" w:ascii="宋体" w:hAnsi="宋体" w:cs="宋体"/>
          <w:szCs w:val="21"/>
          <w:u w:val="single"/>
        </w:rPr>
        <w:t>日</w:t>
      </w:r>
      <w:r>
        <w:rPr>
          <w:rFonts w:hint="eastAsia" w:ascii="宋体" w:hAnsi="宋体" w:cs="宋体"/>
          <w:caps/>
          <w:szCs w:val="21"/>
        </w:rPr>
        <w:t>前完成项目要求内容。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29" w:name="_Toc26060"/>
      <w:r>
        <w:rPr>
          <w:rFonts w:hint="eastAsia" w:ascii="宋体" w:hAnsi="宋体" w:cs="宋体"/>
          <w:b/>
          <w:caps/>
          <w:kern w:val="0"/>
          <w:szCs w:val="21"/>
        </w:rPr>
        <w:t>4.4服务承诺</w:t>
      </w:r>
      <w:bookmarkEnd w:id="29"/>
    </w:p>
    <w:p>
      <w:pPr>
        <w:ind w:left="-92" w:leftChars="-44" w:right="-6"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项目研发期内需保证在接到通知后24小时内答复问题，如有必要48小时内到达现场，处理时间应不超过5个工作日。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30" w:name="_Toc6921"/>
      <w:r>
        <w:rPr>
          <w:rFonts w:hint="eastAsia" w:ascii="宋体" w:hAnsi="宋体" w:cs="宋体"/>
          <w:b/>
          <w:caps/>
          <w:kern w:val="0"/>
          <w:szCs w:val="21"/>
        </w:rPr>
        <w:t>4.5服务期限</w:t>
      </w:r>
      <w:bookmarkEnd w:id="30"/>
    </w:p>
    <w:p>
      <w:pPr>
        <w:ind w:left="-92" w:leftChars="-44" w:right="-6"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合同签订之日起至</w:t>
      </w:r>
      <w:r>
        <w:rPr>
          <w:rFonts w:hint="eastAsia" w:ascii="宋体" w:hAnsi="宋体" w:cs="宋体"/>
          <w:szCs w:val="21"/>
          <w:u w:val="single"/>
        </w:rPr>
        <w:t xml:space="preserve"> 202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6</w:t>
      </w:r>
      <w:r>
        <w:rPr>
          <w:rFonts w:hint="eastAsia" w:ascii="宋体" w:hAnsi="宋体" w:cs="宋体"/>
          <w:szCs w:val="21"/>
          <w:u w:val="single"/>
        </w:rPr>
        <w:t>年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1</w:t>
      </w:r>
      <w:r>
        <w:rPr>
          <w:rFonts w:hint="eastAsia" w:ascii="宋体" w:hAnsi="宋体" w:cs="宋体"/>
          <w:szCs w:val="21"/>
          <w:u w:val="single"/>
        </w:rPr>
        <w:t>月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1</w:t>
      </w:r>
      <w:r>
        <w:rPr>
          <w:rFonts w:hint="eastAsia" w:ascii="宋体" w:hAnsi="宋体" w:cs="宋体"/>
          <w:szCs w:val="21"/>
          <w:u w:val="single"/>
        </w:rPr>
        <w:t>日</w:t>
      </w:r>
      <w:r>
        <w:rPr>
          <w:rFonts w:hint="eastAsia" w:ascii="宋体" w:hAnsi="宋体" w:cs="宋体"/>
          <w:szCs w:val="21"/>
        </w:rPr>
        <w:t>项目验收完成止。</w:t>
      </w:r>
    </w:p>
    <w:p>
      <w:pPr>
        <w:spacing w:after="120" w:afterLines="50"/>
        <w:ind w:firstLine="422"/>
        <w:outlineLvl w:val="0"/>
        <w:rPr>
          <w:rFonts w:hint="eastAsia" w:ascii="宋体" w:hAnsi="宋体" w:cs="宋体"/>
          <w:b/>
          <w:caps/>
          <w:kern w:val="0"/>
          <w:szCs w:val="21"/>
        </w:rPr>
      </w:pPr>
      <w:bookmarkStart w:id="31" w:name="_Toc21594"/>
      <w:r>
        <w:rPr>
          <w:rFonts w:hint="eastAsia" w:ascii="宋体" w:hAnsi="宋体" w:cs="宋体"/>
          <w:b/>
          <w:caps/>
          <w:kern w:val="0"/>
          <w:szCs w:val="21"/>
        </w:rPr>
        <w:t>5验收</w:t>
      </w:r>
      <w:bookmarkEnd w:id="31"/>
      <w:bookmarkStart w:id="35" w:name="_GoBack"/>
      <w:bookmarkEnd w:id="35"/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32" w:name="_Toc6334"/>
      <w:r>
        <w:rPr>
          <w:rFonts w:hint="eastAsia" w:ascii="宋体" w:hAnsi="宋体" w:cs="宋体"/>
          <w:b/>
          <w:caps/>
          <w:kern w:val="0"/>
          <w:szCs w:val="21"/>
        </w:rPr>
        <w:t>5.1验收标准</w:t>
      </w:r>
      <w:bookmarkEnd w:id="32"/>
    </w:p>
    <w:p>
      <w:pPr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在要求服务周期内，按照双方约定的工作内容，同时达到甲方工作质量要求，中标方应提交满足本技术约定的研究成果。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33" w:name="_Toc18489"/>
      <w:r>
        <w:rPr>
          <w:rFonts w:hint="eastAsia" w:ascii="宋体" w:hAnsi="宋体" w:cs="宋体"/>
          <w:b/>
          <w:caps/>
          <w:kern w:val="0"/>
          <w:szCs w:val="21"/>
        </w:rPr>
        <w:t>5.2验收方法及时间</w:t>
      </w:r>
      <w:bookmarkEnd w:id="33"/>
    </w:p>
    <w:p>
      <w:pPr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中标方应在具备验收条件后向甲方提供完整的验收资料，中标方按照合同约定时间</w:t>
      </w:r>
      <w:r>
        <w:rPr>
          <w:rFonts w:hint="eastAsia" w:ascii="Calibri" w:hAnsi="Calibri"/>
          <w:color w:val="000000" w:themeColor="text1"/>
          <w14:textFill>
            <w14:solidFill>
              <w14:schemeClr w14:val="tx1"/>
            </w14:solidFill>
          </w14:textFill>
        </w:rPr>
        <w:t>以书面方式向甲方</w:t>
      </w:r>
      <w:r>
        <w:rPr>
          <w:rFonts w:hint="eastAsia" w:ascii="宋体" w:hAnsi="宋体" w:cs="宋体"/>
          <w:szCs w:val="21"/>
        </w:rPr>
        <w:t>提交验收申请，经甲方确认提交资料满足采购方项目验收标准，可以开展验收。</w:t>
      </w:r>
    </w:p>
    <w:p>
      <w:pPr>
        <w:tabs>
          <w:tab w:val="left" w:pos="4980"/>
        </w:tabs>
        <w:spacing w:after="120" w:afterLines="50"/>
        <w:ind w:left="482" w:firstLine="422"/>
        <w:outlineLvl w:val="1"/>
        <w:rPr>
          <w:rFonts w:hint="eastAsia" w:ascii="宋体" w:hAnsi="宋体" w:cs="宋体"/>
          <w:b/>
          <w:caps/>
          <w:kern w:val="0"/>
          <w:szCs w:val="21"/>
        </w:rPr>
      </w:pPr>
      <w:bookmarkStart w:id="34" w:name="_Toc6846"/>
      <w:r>
        <w:rPr>
          <w:rFonts w:hint="eastAsia" w:ascii="宋体" w:hAnsi="宋体" w:cs="宋体"/>
          <w:b/>
          <w:caps/>
          <w:kern w:val="0"/>
          <w:szCs w:val="21"/>
        </w:rPr>
        <w:t>5.3验收地点</w:t>
      </w:r>
      <w:bookmarkEnd w:id="34"/>
    </w:p>
    <w:p>
      <w:pPr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甲方另行指定。</w:t>
      </w:r>
      <w:bookmarkEnd w:id="0"/>
      <w:bookmarkEnd w:id="1"/>
      <w:bookmarkEnd w:id="2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7" w:h="16839"/>
      <w:pgMar w:top="1440" w:right="1797" w:bottom="1440" w:left="1797" w:header="850" w:footer="850" w:gutter="0"/>
      <w:pgNumType w:start="1"/>
      <w:cols w:space="72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黑体简体">
    <w:altName w:val="方正黑体_GBK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ˎ̥">
    <w:altName w:val="华文中宋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 New Roman Regular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numPr>
        <w:ilvl w:val="6"/>
        <w:numId w:val="0"/>
      </w:numPr>
      <w:ind w:leftChars="200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3B42CC"/>
    <w:multiLevelType w:val="multilevel"/>
    <w:tmpl w:val="363B42CC"/>
    <w:lvl w:ilvl="0" w:tentative="0">
      <w:start w:val="1"/>
      <w:numFmt w:val="decimal"/>
      <w:lvlText w:val="(%1)"/>
      <w:lvlJc w:val="left"/>
      <w:pPr>
        <w:ind w:left="440" w:hanging="440"/>
      </w:pPr>
      <w:rPr>
        <w:rFonts w:hint="default" w:ascii="Times New Roman" w:hAnsi="Times New Roman" w:cs="Times New Roman"/>
        <w:b w:val="0"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39925965"/>
    <w:multiLevelType w:val="multilevel"/>
    <w:tmpl w:val="39925965"/>
    <w:lvl w:ilvl="0" w:tentative="0">
      <w:start w:val="1"/>
      <w:numFmt w:val="decimal"/>
      <w:lvlText w:val="(%1)"/>
      <w:lvlJc w:val="left"/>
      <w:pPr>
        <w:ind w:left="440" w:hanging="440"/>
      </w:pPr>
      <w:rPr>
        <w:rFonts w:hint="default" w:ascii="Times New Roman" w:hAnsi="Times New Roman" w:cs="Times New Roman"/>
        <w:b w:val="0"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6CEA2025"/>
    <w:multiLevelType w:val="multilevel"/>
    <w:tmpl w:val="6CEA2025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0"/>
      <w:suff w:val="nothing"/>
      <w:lvlText w:val="%1%2.%3.%4.%5.%6.%7　"/>
      <w:lvlJc w:val="left"/>
      <w:pPr>
        <w:ind w:left="3119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46"/>
    <w:rsid w:val="00011078"/>
    <w:rsid w:val="00041ECA"/>
    <w:rsid w:val="000826D1"/>
    <w:rsid w:val="00086C6A"/>
    <w:rsid w:val="000B1D49"/>
    <w:rsid w:val="00113EB5"/>
    <w:rsid w:val="0011422D"/>
    <w:rsid w:val="001211C5"/>
    <w:rsid w:val="00147DD2"/>
    <w:rsid w:val="001C0D9E"/>
    <w:rsid w:val="001F4FDA"/>
    <w:rsid w:val="00202250"/>
    <w:rsid w:val="00210D46"/>
    <w:rsid w:val="002856DB"/>
    <w:rsid w:val="002A16EE"/>
    <w:rsid w:val="002B065F"/>
    <w:rsid w:val="002B6352"/>
    <w:rsid w:val="002F1773"/>
    <w:rsid w:val="002F63AC"/>
    <w:rsid w:val="002F6EE3"/>
    <w:rsid w:val="002F7E54"/>
    <w:rsid w:val="00303AED"/>
    <w:rsid w:val="00314EBA"/>
    <w:rsid w:val="00387BF7"/>
    <w:rsid w:val="004341AB"/>
    <w:rsid w:val="00437910"/>
    <w:rsid w:val="00474154"/>
    <w:rsid w:val="00486F23"/>
    <w:rsid w:val="005067E8"/>
    <w:rsid w:val="005254C1"/>
    <w:rsid w:val="00526FFD"/>
    <w:rsid w:val="00535E26"/>
    <w:rsid w:val="005E19D9"/>
    <w:rsid w:val="005F6F40"/>
    <w:rsid w:val="00652A1F"/>
    <w:rsid w:val="00654A25"/>
    <w:rsid w:val="00671FD6"/>
    <w:rsid w:val="006B1C57"/>
    <w:rsid w:val="006B74AF"/>
    <w:rsid w:val="006C29AB"/>
    <w:rsid w:val="006C6E2F"/>
    <w:rsid w:val="00715292"/>
    <w:rsid w:val="007243A9"/>
    <w:rsid w:val="00740CCA"/>
    <w:rsid w:val="00745084"/>
    <w:rsid w:val="00750D8B"/>
    <w:rsid w:val="00754A37"/>
    <w:rsid w:val="00761A8E"/>
    <w:rsid w:val="00777E02"/>
    <w:rsid w:val="007B547D"/>
    <w:rsid w:val="007C0E5C"/>
    <w:rsid w:val="007E291F"/>
    <w:rsid w:val="00836CD0"/>
    <w:rsid w:val="008400A4"/>
    <w:rsid w:val="008443CE"/>
    <w:rsid w:val="00850B66"/>
    <w:rsid w:val="008C2B4C"/>
    <w:rsid w:val="0090779A"/>
    <w:rsid w:val="00964536"/>
    <w:rsid w:val="00971D5D"/>
    <w:rsid w:val="00973E42"/>
    <w:rsid w:val="00992EE2"/>
    <w:rsid w:val="009C6DB6"/>
    <w:rsid w:val="009D3212"/>
    <w:rsid w:val="00A02860"/>
    <w:rsid w:val="00A02D77"/>
    <w:rsid w:val="00A12C30"/>
    <w:rsid w:val="00A151C6"/>
    <w:rsid w:val="00A161EF"/>
    <w:rsid w:val="00A435DA"/>
    <w:rsid w:val="00AB566F"/>
    <w:rsid w:val="00AE387F"/>
    <w:rsid w:val="00B120AA"/>
    <w:rsid w:val="00B14A99"/>
    <w:rsid w:val="00B5630C"/>
    <w:rsid w:val="00B6164B"/>
    <w:rsid w:val="00BD3447"/>
    <w:rsid w:val="00BD6438"/>
    <w:rsid w:val="00C04498"/>
    <w:rsid w:val="00C3734F"/>
    <w:rsid w:val="00C52A2F"/>
    <w:rsid w:val="00C83F38"/>
    <w:rsid w:val="00CB43E4"/>
    <w:rsid w:val="00CC3C30"/>
    <w:rsid w:val="00CD0C0F"/>
    <w:rsid w:val="00D04300"/>
    <w:rsid w:val="00D4729D"/>
    <w:rsid w:val="00D53AC3"/>
    <w:rsid w:val="00D604B9"/>
    <w:rsid w:val="00D6170C"/>
    <w:rsid w:val="00D91031"/>
    <w:rsid w:val="00DE2057"/>
    <w:rsid w:val="00E115C5"/>
    <w:rsid w:val="00E23FBC"/>
    <w:rsid w:val="00E35A58"/>
    <w:rsid w:val="00EA037F"/>
    <w:rsid w:val="00EB2246"/>
    <w:rsid w:val="00EC1EC1"/>
    <w:rsid w:val="00EE138C"/>
    <w:rsid w:val="00F311BA"/>
    <w:rsid w:val="00FD79B5"/>
    <w:rsid w:val="0100714E"/>
    <w:rsid w:val="010F07B1"/>
    <w:rsid w:val="013A7CB1"/>
    <w:rsid w:val="013C736E"/>
    <w:rsid w:val="01687D74"/>
    <w:rsid w:val="01726041"/>
    <w:rsid w:val="0176049E"/>
    <w:rsid w:val="01962831"/>
    <w:rsid w:val="01965485"/>
    <w:rsid w:val="01B30CF8"/>
    <w:rsid w:val="01FF31D6"/>
    <w:rsid w:val="02076205"/>
    <w:rsid w:val="02924F8E"/>
    <w:rsid w:val="02C6585D"/>
    <w:rsid w:val="02D24201"/>
    <w:rsid w:val="02D8286D"/>
    <w:rsid w:val="032B3EA7"/>
    <w:rsid w:val="033B244A"/>
    <w:rsid w:val="038E1E95"/>
    <w:rsid w:val="03931EAD"/>
    <w:rsid w:val="03A80914"/>
    <w:rsid w:val="03B75D0D"/>
    <w:rsid w:val="03E34467"/>
    <w:rsid w:val="03EC5962"/>
    <w:rsid w:val="03ED1B1C"/>
    <w:rsid w:val="04043C8E"/>
    <w:rsid w:val="0431568D"/>
    <w:rsid w:val="0436539C"/>
    <w:rsid w:val="04412392"/>
    <w:rsid w:val="04474228"/>
    <w:rsid w:val="04501E1A"/>
    <w:rsid w:val="045E1BE6"/>
    <w:rsid w:val="048E4B0D"/>
    <w:rsid w:val="04BC5B91"/>
    <w:rsid w:val="04E67884"/>
    <w:rsid w:val="04F00872"/>
    <w:rsid w:val="056C2FF3"/>
    <w:rsid w:val="056E152F"/>
    <w:rsid w:val="057A314E"/>
    <w:rsid w:val="05AD1CED"/>
    <w:rsid w:val="05E2559E"/>
    <w:rsid w:val="06096535"/>
    <w:rsid w:val="06110BC2"/>
    <w:rsid w:val="06125C5C"/>
    <w:rsid w:val="061F50E7"/>
    <w:rsid w:val="064F2EB4"/>
    <w:rsid w:val="06640FDB"/>
    <w:rsid w:val="066929FA"/>
    <w:rsid w:val="066C1E8C"/>
    <w:rsid w:val="06986EB9"/>
    <w:rsid w:val="06AF2E48"/>
    <w:rsid w:val="06CB4FCC"/>
    <w:rsid w:val="06DE1C86"/>
    <w:rsid w:val="06E3686F"/>
    <w:rsid w:val="06EE5F84"/>
    <w:rsid w:val="06F454C9"/>
    <w:rsid w:val="074C4EF5"/>
    <w:rsid w:val="07735980"/>
    <w:rsid w:val="07915DF8"/>
    <w:rsid w:val="07C42E16"/>
    <w:rsid w:val="07E041E3"/>
    <w:rsid w:val="07EF7FC3"/>
    <w:rsid w:val="080B3E1E"/>
    <w:rsid w:val="082C20CA"/>
    <w:rsid w:val="085A1C52"/>
    <w:rsid w:val="08644FFA"/>
    <w:rsid w:val="08A73043"/>
    <w:rsid w:val="08B062D5"/>
    <w:rsid w:val="08B538FE"/>
    <w:rsid w:val="08F60A51"/>
    <w:rsid w:val="08F7425F"/>
    <w:rsid w:val="091D153B"/>
    <w:rsid w:val="09341E77"/>
    <w:rsid w:val="098438A3"/>
    <w:rsid w:val="09887C51"/>
    <w:rsid w:val="099B5235"/>
    <w:rsid w:val="09A84704"/>
    <w:rsid w:val="09D27504"/>
    <w:rsid w:val="0A0E5314"/>
    <w:rsid w:val="0A5D3C5E"/>
    <w:rsid w:val="0A872947"/>
    <w:rsid w:val="0AA12BB2"/>
    <w:rsid w:val="0AB633AB"/>
    <w:rsid w:val="0ABA0EC3"/>
    <w:rsid w:val="0AD219D7"/>
    <w:rsid w:val="0AFF1DB7"/>
    <w:rsid w:val="0B49555F"/>
    <w:rsid w:val="0B565FB4"/>
    <w:rsid w:val="0B5B6211"/>
    <w:rsid w:val="0B694092"/>
    <w:rsid w:val="0B6A4056"/>
    <w:rsid w:val="0B717BCC"/>
    <w:rsid w:val="0B960CFA"/>
    <w:rsid w:val="0BA50FDA"/>
    <w:rsid w:val="0BB50C62"/>
    <w:rsid w:val="0BC67224"/>
    <w:rsid w:val="0C0E5B97"/>
    <w:rsid w:val="0C1B5117"/>
    <w:rsid w:val="0C1D7555"/>
    <w:rsid w:val="0C232414"/>
    <w:rsid w:val="0C3C0CD7"/>
    <w:rsid w:val="0C507825"/>
    <w:rsid w:val="0C5A5898"/>
    <w:rsid w:val="0C786603"/>
    <w:rsid w:val="0C937218"/>
    <w:rsid w:val="0C942024"/>
    <w:rsid w:val="0C966E21"/>
    <w:rsid w:val="0C9F20CC"/>
    <w:rsid w:val="0CA14D52"/>
    <w:rsid w:val="0CAA67D0"/>
    <w:rsid w:val="0CB606FB"/>
    <w:rsid w:val="0CC46729"/>
    <w:rsid w:val="0CCF0249"/>
    <w:rsid w:val="0CED2AC4"/>
    <w:rsid w:val="0CFA4F4B"/>
    <w:rsid w:val="0D0E7206"/>
    <w:rsid w:val="0D1D1CC0"/>
    <w:rsid w:val="0D2174EF"/>
    <w:rsid w:val="0D3B5542"/>
    <w:rsid w:val="0D4B2288"/>
    <w:rsid w:val="0D920AC9"/>
    <w:rsid w:val="0D926276"/>
    <w:rsid w:val="0DBF479B"/>
    <w:rsid w:val="0DC23FE4"/>
    <w:rsid w:val="0DCF2DD5"/>
    <w:rsid w:val="0DF60DA5"/>
    <w:rsid w:val="0DFD2872"/>
    <w:rsid w:val="0E0B49EF"/>
    <w:rsid w:val="0E2637EB"/>
    <w:rsid w:val="0E477F23"/>
    <w:rsid w:val="0E6B2294"/>
    <w:rsid w:val="0E730F13"/>
    <w:rsid w:val="0E904584"/>
    <w:rsid w:val="0E9F1980"/>
    <w:rsid w:val="0EA113DE"/>
    <w:rsid w:val="0EA64B66"/>
    <w:rsid w:val="0EAB4CF6"/>
    <w:rsid w:val="0EAB63EA"/>
    <w:rsid w:val="0F3D0DBC"/>
    <w:rsid w:val="0F802E3F"/>
    <w:rsid w:val="0FA85E6D"/>
    <w:rsid w:val="0FB9772B"/>
    <w:rsid w:val="0FCA3226"/>
    <w:rsid w:val="0FD0634C"/>
    <w:rsid w:val="0FD9458B"/>
    <w:rsid w:val="0FFE4AD0"/>
    <w:rsid w:val="10102D63"/>
    <w:rsid w:val="10174669"/>
    <w:rsid w:val="10227A54"/>
    <w:rsid w:val="1032274C"/>
    <w:rsid w:val="103B4C3B"/>
    <w:rsid w:val="104205CD"/>
    <w:rsid w:val="106F43AF"/>
    <w:rsid w:val="10B32304"/>
    <w:rsid w:val="10C93B8B"/>
    <w:rsid w:val="1128739F"/>
    <w:rsid w:val="114058F3"/>
    <w:rsid w:val="116F5980"/>
    <w:rsid w:val="11734E88"/>
    <w:rsid w:val="118C1D0E"/>
    <w:rsid w:val="11C663F5"/>
    <w:rsid w:val="12017730"/>
    <w:rsid w:val="12266F4A"/>
    <w:rsid w:val="12471CB1"/>
    <w:rsid w:val="125B1C03"/>
    <w:rsid w:val="127367A1"/>
    <w:rsid w:val="1296359D"/>
    <w:rsid w:val="129D0BA0"/>
    <w:rsid w:val="12C24DBE"/>
    <w:rsid w:val="12E904A7"/>
    <w:rsid w:val="12F02547"/>
    <w:rsid w:val="1303262E"/>
    <w:rsid w:val="130E7B6C"/>
    <w:rsid w:val="133463E0"/>
    <w:rsid w:val="138843FF"/>
    <w:rsid w:val="13896916"/>
    <w:rsid w:val="13A72E6C"/>
    <w:rsid w:val="13EB6F42"/>
    <w:rsid w:val="148E572D"/>
    <w:rsid w:val="14B70D36"/>
    <w:rsid w:val="151300CA"/>
    <w:rsid w:val="15475F99"/>
    <w:rsid w:val="157942A1"/>
    <w:rsid w:val="157D10E7"/>
    <w:rsid w:val="15BA302A"/>
    <w:rsid w:val="15CF527F"/>
    <w:rsid w:val="15D13F13"/>
    <w:rsid w:val="160C294D"/>
    <w:rsid w:val="161A585A"/>
    <w:rsid w:val="166340FA"/>
    <w:rsid w:val="16824432"/>
    <w:rsid w:val="168730D7"/>
    <w:rsid w:val="16990D90"/>
    <w:rsid w:val="16A64C36"/>
    <w:rsid w:val="16B350FA"/>
    <w:rsid w:val="16C35AF2"/>
    <w:rsid w:val="17110BE4"/>
    <w:rsid w:val="1713631D"/>
    <w:rsid w:val="173349B4"/>
    <w:rsid w:val="175F3876"/>
    <w:rsid w:val="178A0E8C"/>
    <w:rsid w:val="17C805C3"/>
    <w:rsid w:val="17D45EB7"/>
    <w:rsid w:val="17E91510"/>
    <w:rsid w:val="17F534AE"/>
    <w:rsid w:val="18013D6E"/>
    <w:rsid w:val="18092C92"/>
    <w:rsid w:val="180B62EF"/>
    <w:rsid w:val="182150BE"/>
    <w:rsid w:val="18417784"/>
    <w:rsid w:val="184522A9"/>
    <w:rsid w:val="187E4E71"/>
    <w:rsid w:val="18801586"/>
    <w:rsid w:val="18CE6600"/>
    <w:rsid w:val="18CE70DE"/>
    <w:rsid w:val="18E97056"/>
    <w:rsid w:val="18F72FA1"/>
    <w:rsid w:val="193842CA"/>
    <w:rsid w:val="195071FC"/>
    <w:rsid w:val="197705D1"/>
    <w:rsid w:val="198540F1"/>
    <w:rsid w:val="199F384B"/>
    <w:rsid w:val="19C63E21"/>
    <w:rsid w:val="1A00285D"/>
    <w:rsid w:val="1A2C380F"/>
    <w:rsid w:val="1A59011D"/>
    <w:rsid w:val="1A776734"/>
    <w:rsid w:val="1A814763"/>
    <w:rsid w:val="1A8851BF"/>
    <w:rsid w:val="1B17281A"/>
    <w:rsid w:val="1B615F5B"/>
    <w:rsid w:val="1B7F4F57"/>
    <w:rsid w:val="1B8E49BC"/>
    <w:rsid w:val="1B9667CE"/>
    <w:rsid w:val="1C3B5737"/>
    <w:rsid w:val="1C446ACF"/>
    <w:rsid w:val="1C4C5C20"/>
    <w:rsid w:val="1C532931"/>
    <w:rsid w:val="1C655DF3"/>
    <w:rsid w:val="1C905D20"/>
    <w:rsid w:val="1C9E1804"/>
    <w:rsid w:val="1D984134"/>
    <w:rsid w:val="1DA426D1"/>
    <w:rsid w:val="1DE30F68"/>
    <w:rsid w:val="1DF16736"/>
    <w:rsid w:val="1E03219B"/>
    <w:rsid w:val="1E0509DF"/>
    <w:rsid w:val="1E151D82"/>
    <w:rsid w:val="1E2040C5"/>
    <w:rsid w:val="1E3B04EA"/>
    <w:rsid w:val="1E5C0517"/>
    <w:rsid w:val="1E683B48"/>
    <w:rsid w:val="1E735059"/>
    <w:rsid w:val="1E892F4E"/>
    <w:rsid w:val="1E9C6A12"/>
    <w:rsid w:val="1EB504B3"/>
    <w:rsid w:val="1EC96243"/>
    <w:rsid w:val="1EDA1B4A"/>
    <w:rsid w:val="1EF4360F"/>
    <w:rsid w:val="1F3F52BA"/>
    <w:rsid w:val="1F547688"/>
    <w:rsid w:val="1F5C199A"/>
    <w:rsid w:val="1F617725"/>
    <w:rsid w:val="1F806B6E"/>
    <w:rsid w:val="1FA71853"/>
    <w:rsid w:val="20046EAB"/>
    <w:rsid w:val="20092E53"/>
    <w:rsid w:val="200E3C20"/>
    <w:rsid w:val="201354FC"/>
    <w:rsid w:val="201D5552"/>
    <w:rsid w:val="20325029"/>
    <w:rsid w:val="20453C43"/>
    <w:rsid w:val="204B6885"/>
    <w:rsid w:val="20570EC4"/>
    <w:rsid w:val="208A110D"/>
    <w:rsid w:val="20B63E4A"/>
    <w:rsid w:val="20DC2256"/>
    <w:rsid w:val="20DD0B2A"/>
    <w:rsid w:val="20E66C96"/>
    <w:rsid w:val="20F43A87"/>
    <w:rsid w:val="210D2AB1"/>
    <w:rsid w:val="210E2B64"/>
    <w:rsid w:val="211941E3"/>
    <w:rsid w:val="217B6247"/>
    <w:rsid w:val="219F65C5"/>
    <w:rsid w:val="21C85B94"/>
    <w:rsid w:val="21CA4314"/>
    <w:rsid w:val="21D17011"/>
    <w:rsid w:val="21F95C31"/>
    <w:rsid w:val="21F9AF9F"/>
    <w:rsid w:val="220B3A7E"/>
    <w:rsid w:val="225651FD"/>
    <w:rsid w:val="226004BC"/>
    <w:rsid w:val="22601AC4"/>
    <w:rsid w:val="226977BC"/>
    <w:rsid w:val="227D1866"/>
    <w:rsid w:val="22A27868"/>
    <w:rsid w:val="22C921F4"/>
    <w:rsid w:val="22D34EBD"/>
    <w:rsid w:val="231B6789"/>
    <w:rsid w:val="2343368B"/>
    <w:rsid w:val="238D67F5"/>
    <w:rsid w:val="2398331D"/>
    <w:rsid w:val="23AD4498"/>
    <w:rsid w:val="23E8365B"/>
    <w:rsid w:val="23F2576D"/>
    <w:rsid w:val="24120D42"/>
    <w:rsid w:val="24332B4D"/>
    <w:rsid w:val="245F60B4"/>
    <w:rsid w:val="247F624E"/>
    <w:rsid w:val="2498760B"/>
    <w:rsid w:val="249E6AB4"/>
    <w:rsid w:val="24E8068C"/>
    <w:rsid w:val="24E8352E"/>
    <w:rsid w:val="25186261"/>
    <w:rsid w:val="2571437F"/>
    <w:rsid w:val="259522C5"/>
    <w:rsid w:val="25A01A96"/>
    <w:rsid w:val="25C833D9"/>
    <w:rsid w:val="25CF64A1"/>
    <w:rsid w:val="25FF7297"/>
    <w:rsid w:val="2610005A"/>
    <w:rsid w:val="26162AAC"/>
    <w:rsid w:val="26185506"/>
    <w:rsid w:val="26390411"/>
    <w:rsid w:val="26441AC8"/>
    <w:rsid w:val="2658545C"/>
    <w:rsid w:val="267220A5"/>
    <w:rsid w:val="268571FE"/>
    <w:rsid w:val="26AB0117"/>
    <w:rsid w:val="26BE5321"/>
    <w:rsid w:val="26F15D35"/>
    <w:rsid w:val="26FE575F"/>
    <w:rsid w:val="27145112"/>
    <w:rsid w:val="271C65EE"/>
    <w:rsid w:val="27216E82"/>
    <w:rsid w:val="2724103D"/>
    <w:rsid w:val="27380F17"/>
    <w:rsid w:val="27844B34"/>
    <w:rsid w:val="27903611"/>
    <w:rsid w:val="27D47895"/>
    <w:rsid w:val="27F47B7D"/>
    <w:rsid w:val="281141DF"/>
    <w:rsid w:val="28137A8C"/>
    <w:rsid w:val="28216AB1"/>
    <w:rsid w:val="283172AF"/>
    <w:rsid w:val="284E557C"/>
    <w:rsid w:val="28794E38"/>
    <w:rsid w:val="289B1F7C"/>
    <w:rsid w:val="28AF3BC5"/>
    <w:rsid w:val="28B20749"/>
    <w:rsid w:val="28D27BC0"/>
    <w:rsid w:val="29013BAD"/>
    <w:rsid w:val="29600121"/>
    <w:rsid w:val="29AB0F01"/>
    <w:rsid w:val="29C57A44"/>
    <w:rsid w:val="29F6157D"/>
    <w:rsid w:val="2A10101C"/>
    <w:rsid w:val="2A146146"/>
    <w:rsid w:val="2A232B80"/>
    <w:rsid w:val="2A5F3B30"/>
    <w:rsid w:val="2A802565"/>
    <w:rsid w:val="2A921DA8"/>
    <w:rsid w:val="2A9E0560"/>
    <w:rsid w:val="2AAD2679"/>
    <w:rsid w:val="2AD33076"/>
    <w:rsid w:val="2AE94FAF"/>
    <w:rsid w:val="2AF97F03"/>
    <w:rsid w:val="2AFA317E"/>
    <w:rsid w:val="2B156D4D"/>
    <w:rsid w:val="2B227518"/>
    <w:rsid w:val="2B2B571F"/>
    <w:rsid w:val="2B606C35"/>
    <w:rsid w:val="2B77500B"/>
    <w:rsid w:val="2B8374C4"/>
    <w:rsid w:val="2B917993"/>
    <w:rsid w:val="2BAE278C"/>
    <w:rsid w:val="2BCC38F0"/>
    <w:rsid w:val="2BFF4F64"/>
    <w:rsid w:val="2C5106C1"/>
    <w:rsid w:val="2C867A42"/>
    <w:rsid w:val="2CAA091D"/>
    <w:rsid w:val="2CD022CC"/>
    <w:rsid w:val="2CDC2135"/>
    <w:rsid w:val="2CEE0F94"/>
    <w:rsid w:val="2CFF0019"/>
    <w:rsid w:val="2D1443BD"/>
    <w:rsid w:val="2D237C95"/>
    <w:rsid w:val="2D2F49BA"/>
    <w:rsid w:val="2D3E6B75"/>
    <w:rsid w:val="2E171BC7"/>
    <w:rsid w:val="2E304614"/>
    <w:rsid w:val="2E3131E7"/>
    <w:rsid w:val="2E604D2D"/>
    <w:rsid w:val="2E655995"/>
    <w:rsid w:val="2E7C64C0"/>
    <w:rsid w:val="2ED57520"/>
    <w:rsid w:val="2EDF21C9"/>
    <w:rsid w:val="2F080926"/>
    <w:rsid w:val="2F291C47"/>
    <w:rsid w:val="2F6A07AA"/>
    <w:rsid w:val="2F7065E3"/>
    <w:rsid w:val="2F8B6CFE"/>
    <w:rsid w:val="2FA104BD"/>
    <w:rsid w:val="2FBBA7C3"/>
    <w:rsid w:val="2FEA49F4"/>
    <w:rsid w:val="301960BA"/>
    <w:rsid w:val="30224F67"/>
    <w:rsid w:val="30302653"/>
    <w:rsid w:val="30531BCC"/>
    <w:rsid w:val="306C3A49"/>
    <w:rsid w:val="30AD269A"/>
    <w:rsid w:val="30EA3BFF"/>
    <w:rsid w:val="31134EC8"/>
    <w:rsid w:val="31233A4D"/>
    <w:rsid w:val="313D22CF"/>
    <w:rsid w:val="315B757B"/>
    <w:rsid w:val="317B6D9E"/>
    <w:rsid w:val="31CE1669"/>
    <w:rsid w:val="31CE447F"/>
    <w:rsid w:val="31D2781C"/>
    <w:rsid w:val="31E5227C"/>
    <w:rsid w:val="32280697"/>
    <w:rsid w:val="323414AB"/>
    <w:rsid w:val="3269132D"/>
    <w:rsid w:val="326E2C35"/>
    <w:rsid w:val="32902617"/>
    <w:rsid w:val="329A05CC"/>
    <w:rsid w:val="32C020DA"/>
    <w:rsid w:val="32D469CD"/>
    <w:rsid w:val="32E6121A"/>
    <w:rsid w:val="32F14B12"/>
    <w:rsid w:val="32F83838"/>
    <w:rsid w:val="333A30CB"/>
    <w:rsid w:val="333B0F19"/>
    <w:rsid w:val="335F0CBD"/>
    <w:rsid w:val="33C33832"/>
    <w:rsid w:val="33D9363E"/>
    <w:rsid w:val="33FF0AE5"/>
    <w:rsid w:val="3431638F"/>
    <w:rsid w:val="344E35E8"/>
    <w:rsid w:val="344F1379"/>
    <w:rsid w:val="348B684B"/>
    <w:rsid w:val="34905316"/>
    <w:rsid w:val="349214B2"/>
    <w:rsid w:val="34A7569A"/>
    <w:rsid w:val="34D02BEA"/>
    <w:rsid w:val="34DC6401"/>
    <w:rsid w:val="34EE4AE8"/>
    <w:rsid w:val="35240A5E"/>
    <w:rsid w:val="352663DA"/>
    <w:rsid w:val="352D16ED"/>
    <w:rsid w:val="3533588D"/>
    <w:rsid w:val="35400F17"/>
    <w:rsid w:val="35675330"/>
    <w:rsid w:val="359B0DAF"/>
    <w:rsid w:val="35BA5740"/>
    <w:rsid w:val="35BDD843"/>
    <w:rsid w:val="35C93F02"/>
    <w:rsid w:val="35CD05F5"/>
    <w:rsid w:val="35F7165A"/>
    <w:rsid w:val="36061440"/>
    <w:rsid w:val="365B3088"/>
    <w:rsid w:val="36647E1E"/>
    <w:rsid w:val="36CB427E"/>
    <w:rsid w:val="375553A2"/>
    <w:rsid w:val="37991538"/>
    <w:rsid w:val="37AE21A9"/>
    <w:rsid w:val="37C03BC6"/>
    <w:rsid w:val="37C664F4"/>
    <w:rsid w:val="37D9523B"/>
    <w:rsid w:val="37DB1DA5"/>
    <w:rsid w:val="37F4339D"/>
    <w:rsid w:val="3824376E"/>
    <w:rsid w:val="383F3B60"/>
    <w:rsid w:val="38807699"/>
    <w:rsid w:val="3884454D"/>
    <w:rsid w:val="38927B24"/>
    <w:rsid w:val="389A249F"/>
    <w:rsid w:val="38A73703"/>
    <w:rsid w:val="38CD0FA6"/>
    <w:rsid w:val="38EF14E0"/>
    <w:rsid w:val="38F5720E"/>
    <w:rsid w:val="3902020C"/>
    <w:rsid w:val="39286FEF"/>
    <w:rsid w:val="397E5DB7"/>
    <w:rsid w:val="39D66992"/>
    <w:rsid w:val="39EE76CF"/>
    <w:rsid w:val="3A081C32"/>
    <w:rsid w:val="3A2931AB"/>
    <w:rsid w:val="3A5F5EFD"/>
    <w:rsid w:val="3A632EE8"/>
    <w:rsid w:val="3A655DC4"/>
    <w:rsid w:val="3A767909"/>
    <w:rsid w:val="3AC243EB"/>
    <w:rsid w:val="3AE26CAB"/>
    <w:rsid w:val="3AF84598"/>
    <w:rsid w:val="3B0B741E"/>
    <w:rsid w:val="3B595985"/>
    <w:rsid w:val="3B603379"/>
    <w:rsid w:val="3B654989"/>
    <w:rsid w:val="3B7A2D02"/>
    <w:rsid w:val="3B822EB6"/>
    <w:rsid w:val="3B851640"/>
    <w:rsid w:val="3B89594A"/>
    <w:rsid w:val="3B9A527C"/>
    <w:rsid w:val="3BD964C9"/>
    <w:rsid w:val="3BE478AD"/>
    <w:rsid w:val="3BEE06B5"/>
    <w:rsid w:val="3BFD25C3"/>
    <w:rsid w:val="3C041BE3"/>
    <w:rsid w:val="3C1037D6"/>
    <w:rsid w:val="3C2D55C2"/>
    <w:rsid w:val="3C634538"/>
    <w:rsid w:val="3C6A70F8"/>
    <w:rsid w:val="3C713DC5"/>
    <w:rsid w:val="3C8B1EB8"/>
    <w:rsid w:val="3CD82F62"/>
    <w:rsid w:val="3CDE0D8E"/>
    <w:rsid w:val="3CDF4A8F"/>
    <w:rsid w:val="3CE87274"/>
    <w:rsid w:val="3D14297A"/>
    <w:rsid w:val="3D1D5F17"/>
    <w:rsid w:val="3D3B6A6C"/>
    <w:rsid w:val="3D467AB8"/>
    <w:rsid w:val="3D497E03"/>
    <w:rsid w:val="3D4C20BE"/>
    <w:rsid w:val="3D5521CA"/>
    <w:rsid w:val="3D7E370C"/>
    <w:rsid w:val="3DE13B6E"/>
    <w:rsid w:val="3DF42FE6"/>
    <w:rsid w:val="3DF50034"/>
    <w:rsid w:val="3DFB2FE3"/>
    <w:rsid w:val="3E0A08BA"/>
    <w:rsid w:val="3E12530C"/>
    <w:rsid w:val="3E1B5D3E"/>
    <w:rsid w:val="3E682718"/>
    <w:rsid w:val="3E6F2FAE"/>
    <w:rsid w:val="3E95608C"/>
    <w:rsid w:val="3EBB34AA"/>
    <w:rsid w:val="3EBE1841"/>
    <w:rsid w:val="3ECB60DC"/>
    <w:rsid w:val="3EFA796D"/>
    <w:rsid w:val="3F2775F7"/>
    <w:rsid w:val="3F435B1C"/>
    <w:rsid w:val="3F4FBDBE"/>
    <w:rsid w:val="3F8C04E0"/>
    <w:rsid w:val="3F922C3C"/>
    <w:rsid w:val="3F95091D"/>
    <w:rsid w:val="3FB73B1A"/>
    <w:rsid w:val="3FEF2FDC"/>
    <w:rsid w:val="3FF62CA5"/>
    <w:rsid w:val="3FF64F9A"/>
    <w:rsid w:val="402551EC"/>
    <w:rsid w:val="404232C9"/>
    <w:rsid w:val="4053214A"/>
    <w:rsid w:val="40806112"/>
    <w:rsid w:val="40846367"/>
    <w:rsid w:val="40C31AFE"/>
    <w:rsid w:val="40CF36B9"/>
    <w:rsid w:val="40E200D7"/>
    <w:rsid w:val="40ED7B1A"/>
    <w:rsid w:val="40FA47AB"/>
    <w:rsid w:val="410F5DE8"/>
    <w:rsid w:val="412E2D5B"/>
    <w:rsid w:val="413B7D59"/>
    <w:rsid w:val="41472B32"/>
    <w:rsid w:val="41510E36"/>
    <w:rsid w:val="419A72CB"/>
    <w:rsid w:val="41E73E7E"/>
    <w:rsid w:val="42130E56"/>
    <w:rsid w:val="421D3964"/>
    <w:rsid w:val="42410052"/>
    <w:rsid w:val="42687565"/>
    <w:rsid w:val="42803E9C"/>
    <w:rsid w:val="42A36A6A"/>
    <w:rsid w:val="43332E63"/>
    <w:rsid w:val="43820E36"/>
    <w:rsid w:val="43AF41EE"/>
    <w:rsid w:val="43B908AC"/>
    <w:rsid w:val="43C942D6"/>
    <w:rsid w:val="43F1253A"/>
    <w:rsid w:val="43F4792C"/>
    <w:rsid w:val="44101099"/>
    <w:rsid w:val="443E1868"/>
    <w:rsid w:val="4453525B"/>
    <w:rsid w:val="447D0245"/>
    <w:rsid w:val="448F70D5"/>
    <w:rsid w:val="44B1581F"/>
    <w:rsid w:val="44DD28D5"/>
    <w:rsid w:val="45597769"/>
    <w:rsid w:val="457F57FF"/>
    <w:rsid w:val="461E1439"/>
    <w:rsid w:val="46211A8F"/>
    <w:rsid w:val="46405192"/>
    <w:rsid w:val="469B2ACC"/>
    <w:rsid w:val="469F36B2"/>
    <w:rsid w:val="46A03B46"/>
    <w:rsid w:val="46EC6E3C"/>
    <w:rsid w:val="470A28FF"/>
    <w:rsid w:val="4737263C"/>
    <w:rsid w:val="478A61DF"/>
    <w:rsid w:val="47CB143C"/>
    <w:rsid w:val="47F3682B"/>
    <w:rsid w:val="482C6EEC"/>
    <w:rsid w:val="484B345D"/>
    <w:rsid w:val="48807003"/>
    <w:rsid w:val="488F5A0E"/>
    <w:rsid w:val="489F4809"/>
    <w:rsid w:val="48D3326E"/>
    <w:rsid w:val="48F64179"/>
    <w:rsid w:val="491D0285"/>
    <w:rsid w:val="4933296B"/>
    <w:rsid w:val="49486BBC"/>
    <w:rsid w:val="495223C4"/>
    <w:rsid w:val="496837E0"/>
    <w:rsid w:val="497B27B2"/>
    <w:rsid w:val="497D7E3E"/>
    <w:rsid w:val="49935612"/>
    <w:rsid w:val="49A87448"/>
    <w:rsid w:val="49AC39B0"/>
    <w:rsid w:val="49FF73D0"/>
    <w:rsid w:val="4A260EA6"/>
    <w:rsid w:val="4A4B6973"/>
    <w:rsid w:val="4A8E3980"/>
    <w:rsid w:val="4A945177"/>
    <w:rsid w:val="4A986A99"/>
    <w:rsid w:val="4AA0028E"/>
    <w:rsid w:val="4AAE20D8"/>
    <w:rsid w:val="4AEB0823"/>
    <w:rsid w:val="4B3C214A"/>
    <w:rsid w:val="4B3F0B56"/>
    <w:rsid w:val="4B573789"/>
    <w:rsid w:val="4B755580"/>
    <w:rsid w:val="4B911737"/>
    <w:rsid w:val="4BB15FF8"/>
    <w:rsid w:val="4BD33760"/>
    <w:rsid w:val="4BE21857"/>
    <w:rsid w:val="4BF15138"/>
    <w:rsid w:val="4C016A77"/>
    <w:rsid w:val="4C1354FA"/>
    <w:rsid w:val="4C3B18E6"/>
    <w:rsid w:val="4C3E0E37"/>
    <w:rsid w:val="4C461178"/>
    <w:rsid w:val="4C49188D"/>
    <w:rsid w:val="4C4A625B"/>
    <w:rsid w:val="4C701906"/>
    <w:rsid w:val="4C8D0C49"/>
    <w:rsid w:val="4CAB33A5"/>
    <w:rsid w:val="4CAC736B"/>
    <w:rsid w:val="4CD60726"/>
    <w:rsid w:val="4CDB2EF5"/>
    <w:rsid w:val="4D125842"/>
    <w:rsid w:val="4D1D3FAD"/>
    <w:rsid w:val="4D400B0D"/>
    <w:rsid w:val="4D4848D4"/>
    <w:rsid w:val="4D4D60F1"/>
    <w:rsid w:val="4D672568"/>
    <w:rsid w:val="4D727990"/>
    <w:rsid w:val="4D73522E"/>
    <w:rsid w:val="4DAF3131"/>
    <w:rsid w:val="4DB60BFB"/>
    <w:rsid w:val="4DB941CD"/>
    <w:rsid w:val="4DC359AB"/>
    <w:rsid w:val="4E2F19D8"/>
    <w:rsid w:val="4E540F26"/>
    <w:rsid w:val="4EAF40B3"/>
    <w:rsid w:val="4EB317F1"/>
    <w:rsid w:val="4ECA16A6"/>
    <w:rsid w:val="4ECE12F8"/>
    <w:rsid w:val="4EEC5117"/>
    <w:rsid w:val="4EFB6895"/>
    <w:rsid w:val="4F511461"/>
    <w:rsid w:val="4F5E52CC"/>
    <w:rsid w:val="4FA65AB1"/>
    <w:rsid w:val="4FAC0A2B"/>
    <w:rsid w:val="4FB64D24"/>
    <w:rsid w:val="4FB82271"/>
    <w:rsid w:val="4FC20EB9"/>
    <w:rsid w:val="50013733"/>
    <w:rsid w:val="501966C1"/>
    <w:rsid w:val="501A1F18"/>
    <w:rsid w:val="505C7F65"/>
    <w:rsid w:val="50707FAF"/>
    <w:rsid w:val="510A3101"/>
    <w:rsid w:val="51221C1F"/>
    <w:rsid w:val="51261C89"/>
    <w:rsid w:val="51392C26"/>
    <w:rsid w:val="513D5538"/>
    <w:rsid w:val="51520DE4"/>
    <w:rsid w:val="5189163D"/>
    <w:rsid w:val="519232F3"/>
    <w:rsid w:val="519F4304"/>
    <w:rsid w:val="51C55F04"/>
    <w:rsid w:val="51D377C7"/>
    <w:rsid w:val="5206342E"/>
    <w:rsid w:val="52145838"/>
    <w:rsid w:val="524E1569"/>
    <w:rsid w:val="525C5022"/>
    <w:rsid w:val="52623D49"/>
    <w:rsid w:val="527D52FA"/>
    <w:rsid w:val="52821561"/>
    <w:rsid w:val="528B590A"/>
    <w:rsid w:val="52AE3447"/>
    <w:rsid w:val="52CE5878"/>
    <w:rsid w:val="52F92C6D"/>
    <w:rsid w:val="535C4B79"/>
    <w:rsid w:val="537151F4"/>
    <w:rsid w:val="537C0E33"/>
    <w:rsid w:val="53F06165"/>
    <w:rsid w:val="541E6503"/>
    <w:rsid w:val="54352A69"/>
    <w:rsid w:val="54411C04"/>
    <w:rsid w:val="544537CB"/>
    <w:rsid w:val="54562055"/>
    <w:rsid w:val="548A49B0"/>
    <w:rsid w:val="548C6958"/>
    <w:rsid w:val="54DD6DB3"/>
    <w:rsid w:val="550E7062"/>
    <w:rsid w:val="55261595"/>
    <w:rsid w:val="55540CA7"/>
    <w:rsid w:val="555501A3"/>
    <w:rsid w:val="55671987"/>
    <w:rsid w:val="559C0F95"/>
    <w:rsid w:val="55BF6F2F"/>
    <w:rsid w:val="55C16949"/>
    <w:rsid w:val="55E82E1C"/>
    <w:rsid w:val="55FD4132"/>
    <w:rsid w:val="56311D24"/>
    <w:rsid w:val="5633455A"/>
    <w:rsid w:val="56387EF4"/>
    <w:rsid w:val="564A686F"/>
    <w:rsid w:val="56B843F1"/>
    <w:rsid w:val="56C6262F"/>
    <w:rsid w:val="56E23838"/>
    <w:rsid w:val="56FFDBA8"/>
    <w:rsid w:val="570D4A09"/>
    <w:rsid w:val="5715054B"/>
    <w:rsid w:val="571C0276"/>
    <w:rsid w:val="57274446"/>
    <w:rsid w:val="5738306F"/>
    <w:rsid w:val="57526B9E"/>
    <w:rsid w:val="57560CA9"/>
    <w:rsid w:val="57596D32"/>
    <w:rsid w:val="5787670E"/>
    <w:rsid w:val="5795360F"/>
    <w:rsid w:val="57A63241"/>
    <w:rsid w:val="57AA249F"/>
    <w:rsid w:val="57D9507A"/>
    <w:rsid w:val="57DF5AB5"/>
    <w:rsid w:val="57E915AF"/>
    <w:rsid w:val="58040CB7"/>
    <w:rsid w:val="58154B37"/>
    <w:rsid w:val="58257DA4"/>
    <w:rsid w:val="585E23AC"/>
    <w:rsid w:val="58A46CC8"/>
    <w:rsid w:val="58A865E0"/>
    <w:rsid w:val="58B648A4"/>
    <w:rsid w:val="58B64E1C"/>
    <w:rsid w:val="58C57F02"/>
    <w:rsid w:val="59280AF3"/>
    <w:rsid w:val="592E144D"/>
    <w:rsid w:val="595D12CE"/>
    <w:rsid w:val="59B46739"/>
    <w:rsid w:val="59C35DBF"/>
    <w:rsid w:val="59F248E4"/>
    <w:rsid w:val="5A014622"/>
    <w:rsid w:val="5A066F3E"/>
    <w:rsid w:val="5A103CD0"/>
    <w:rsid w:val="5A110B44"/>
    <w:rsid w:val="5A1C04F3"/>
    <w:rsid w:val="5A444090"/>
    <w:rsid w:val="5A527264"/>
    <w:rsid w:val="5A752C31"/>
    <w:rsid w:val="5A822313"/>
    <w:rsid w:val="5A84316F"/>
    <w:rsid w:val="5A9C73DA"/>
    <w:rsid w:val="5A9F0A16"/>
    <w:rsid w:val="5AA2015B"/>
    <w:rsid w:val="5ABA2D2E"/>
    <w:rsid w:val="5AC51661"/>
    <w:rsid w:val="5B02495B"/>
    <w:rsid w:val="5B0E3679"/>
    <w:rsid w:val="5B2D2819"/>
    <w:rsid w:val="5B3D0883"/>
    <w:rsid w:val="5B7929C0"/>
    <w:rsid w:val="5B81247C"/>
    <w:rsid w:val="5B817D54"/>
    <w:rsid w:val="5B863C67"/>
    <w:rsid w:val="5B9F35A6"/>
    <w:rsid w:val="5BDD5EC3"/>
    <w:rsid w:val="5C047B47"/>
    <w:rsid w:val="5C282480"/>
    <w:rsid w:val="5C2F652D"/>
    <w:rsid w:val="5C3F5A57"/>
    <w:rsid w:val="5C4F77B1"/>
    <w:rsid w:val="5C7017F3"/>
    <w:rsid w:val="5C8E1370"/>
    <w:rsid w:val="5CBA6C5D"/>
    <w:rsid w:val="5CE86F79"/>
    <w:rsid w:val="5CFB2805"/>
    <w:rsid w:val="5D0C46D3"/>
    <w:rsid w:val="5D4A4BA5"/>
    <w:rsid w:val="5D86280F"/>
    <w:rsid w:val="5D9700E4"/>
    <w:rsid w:val="5DAE1150"/>
    <w:rsid w:val="5DBF45F2"/>
    <w:rsid w:val="5E2A4328"/>
    <w:rsid w:val="5E6170C2"/>
    <w:rsid w:val="5E724E15"/>
    <w:rsid w:val="5E7F52E9"/>
    <w:rsid w:val="5E830F53"/>
    <w:rsid w:val="5F0348D6"/>
    <w:rsid w:val="5F115E33"/>
    <w:rsid w:val="5F1B175F"/>
    <w:rsid w:val="5F2C14F2"/>
    <w:rsid w:val="5F2C7170"/>
    <w:rsid w:val="5F394F36"/>
    <w:rsid w:val="5F3C05D5"/>
    <w:rsid w:val="5F460391"/>
    <w:rsid w:val="5F69521A"/>
    <w:rsid w:val="5FBF39FA"/>
    <w:rsid w:val="5FCF7380"/>
    <w:rsid w:val="5FE9222A"/>
    <w:rsid w:val="5FEBB2E6"/>
    <w:rsid w:val="6000230C"/>
    <w:rsid w:val="60446A4C"/>
    <w:rsid w:val="60506B85"/>
    <w:rsid w:val="606E463B"/>
    <w:rsid w:val="606F248D"/>
    <w:rsid w:val="607E2A47"/>
    <w:rsid w:val="60A62751"/>
    <w:rsid w:val="60B2794B"/>
    <w:rsid w:val="60EC25FC"/>
    <w:rsid w:val="610A0392"/>
    <w:rsid w:val="61157F1D"/>
    <w:rsid w:val="613C1001"/>
    <w:rsid w:val="614D3410"/>
    <w:rsid w:val="61732E64"/>
    <w:rsid w:val="618574C1"/>
    <w:rsid w:val="61DB8A8D"/>
    <w:rsid w:val="61DE4A8F"/>
    <w:rsid w:val="620D0801"/>
    <w:rsid w:val="62400077"/>
    <w:rsid w:val="62586CF9"/>
    <w:rsid w:val="62AE0C89"/>
    <w:rsid w:val="62B125A1"/>
    <w:rsid w:val="62C06E1D"/>
    <w:rsid w:val="63104D17"/>
    <w:rsid w:val="63350AD4"/>
    <w:rsid w:val="637C6DAD"/>
    <w:rsid w:val="63B87155"/>
    <w:rsid w:val="63E8410D"/>
    <w:rsid w:val="63E870CB"/>
    <w:rsid w:val="63EC1397"/>
    <w:rsid w:val="640108EE"/>
    <w:rsid w:val="641550E5"/>
    <w:rsid w:val="644C016F"/>
    <w:rsid w:val="647D1DB7"/>
    <w:rsid w:val="64BB1ED5"/>
    <w:rsid w:val="64BE834C"/>
    <w:rsid w:val="64C469B0"/>
    <w:rsid w:val="64CB4DB6"/>
    <w:rsid w:val="652D7917"/>
    <w:rsid w:val="65464F19"/>
    <w:rsid w:val="65542065"/>
    <w:rsid w:val="659936CB"/>
    <w:rsid w:val="65EA4145"/>
    <w:rsid w:val="65F43D62"/>
    <w:rsid w:val="661220C9"/>
    <w:rsid w:val="662C7C42"/>
    <w:rsid w:val="66380DD0"/>
    <w:rsid w:val="663C39B0"/>
    <w:rsid w:val="665171A2"/>
    <w:rsid w:val="6659709C"/>
    <w:rsid w:val="666F2687"/>
    <w:rsid w:val="669C0911"/>
    <w:rsid w:val="66A322A9"/>
    <w:rsid w:val="66B0108D"/>
    <w:rsid w:val="66C5486C"/>
    <w:rsid w:val="66D51C80"/>
    <w:rsid w:val="6716009B"/>
    <w:rsid w:val="6750364B"/>
    <w:rsid w:val="677D213D"/>
    <w:rsid w:val="67907A5F"/>
    <w:rsid w:val="67941812"/>
    <w:rsid w:val="679E1B39"/>
    <w:rsid w:val="67A96E4B"/>
    <w:rsid w:val="67B3063F"/>
    <w:rsid w:val="67DD5834"/>
    <w:rsid w:val="67FD607E"/>
    <w:rsid w:val="68086C63"/>
    <w:rsid w:val="681701A6"/>
    <w:rsid w:val="681C57B7"/>
    <w:rsid w:val="68211153"/>
    <w:rsid w:val="68437AC6"/>
    <w:rsid w:val="686D1B16"/>
    <w:rsid w:val="68760019"/>
    <w:rsid w:val="68AC5848"/>
    <w:rsid w:val="68B03FED"/>
    <w:rsid w:val="68C51FBF"/>
    <w:rsid w:val="68C521EC"/>
    <w:rsid w:val="68DA7AAD"/>
    <w:rsid w:val="691502C2"/>
    <w:rsid w:val="696135E0"/>
    <w:rsid w:val="69793F89"/>
    <w:rsid w:val="699A7BAB"/>
    <w:rsid w:val="69AC07C0"/>
    <w:rsid w:val="69EA333E"/>
    <w:rsid w:val="69FF31AE"/>
    <w:rsid w:val="6A0437DE"/>
    <w:rsid w:val="6A111AA2"/>
    <w:rsid w:val="6A327ED0"/>
    <w:rsid w:val="6A350ED3"/>
    <w:rsid w:val="6A8E1ADA"/>
    <w:rsid w:val="6A9257F2"/>
    <w:rsid w:val="6AC534EF"/>
    <w:rsid w:val="6AF14F6A"/>
    <w:rsid w:val="6B4B552E"/>
    <w:rsid w:val="6B9A4C20"/>
    <w:rsid w:val="6BA01F1A"/>
    <w:rsid w:val="6BAD4BB9"/>
    <w:rsid w:val="6BB136A0"/>
    <w:rsid w:val="6BBF508C"/>
    <w:rsid w:val="6BF5D18B"/>
    <w:rsid w:val="6C6446FC"/>
    <w:rsid w:val="6CA65792"/>
    <w:rsid w:val="6CBFF819"/>
    <w:rsid w:val="6CFA130E"/>
    <w:rsid w:val="6D0B23CF"/>
    <w:rsid w:val="6D3F237F"/>
    <w:rsid w:val="6D6301B2"/>
    <w:rsid w:val="6D8E2E84"/>
    <w:rsid w:val="6DF37265"/>
    <w:rsid w:val="6E0A0A0D"/>
    <w:rsid w:val="6E5018C0"/>
    <w:rsid w:val="6E975003"/>
    <w:rsid w:val="6E983A09"/>
    <w:rsid w:val="6E9F6322"/>
    <w:rsid w:val="6EB009C4"/>
    <w:rsid w:val="6EB5427C"/>
    <w:rsid w:val="6EB7523F"/>
    <w:rsid w:val="6EBC232F"/>
    <w:rsid w:val="6EC766BA"/>
    <w:rsid w:val="6ECF7AAA"/>
    <w:rsid w:val="6ED7DC54"/>
    <w:rsid w:val="6F3C2E19"/>
    <w:rsid w:val="6F3E5491"/>
    <w:rsid w:val="6F6404E1"/>
    <w:rsid w:val="6F7C6E57"/>
    <w:rsid w:val="6F7FAC1C"/>
    <w:rsid w:val="6F817B6F"/>
    <w:rsid w:val="6F8F1DE5"/>
    <w:rsid w:val="6F9135B3"/>
    <w:rsid w:val="6F9E7E60"/>
    <w:rsid w:val="6FB4FD4D"/>
    <w:rsid w:val="6FB91A12"/>
    <w:rsid w:val="6FD559C5"/>
    <w:rsid w:val="6FD6290B"/>
    <w:rsid w:val="700539F0"/>
    <w:rsid w:val="70170D47"/>
    <w:rsid w:val="70223978"/>
    <w:rsid w:val="7048410B"/>
    <w:rsid w:val="705169F1"/>
    <w:rsid w:val="705E5FA2"/>
    <w:rsid w:val="707A0805"/>
    <w:rsid w:val="70820EE5"/>
    <w:rsid w:val="70BC4F7C"/>
    <w:rsid w:val="70C475CF"/>
    <w:rsid w:val="7114396B"/>
    <w:rsid w:val="71247C6E"/>
    <w:rsid w:val="714216AA"/>
    <w:rsid w:val="714F5FE1"/>
    <w:rsid w:val="71523B1C"/>
    <w:rsid w:val="71771CD1"/>
    <w:rsid w:val="71AB742D"/>
    <w:rsid w:val="71C10D31"/>
    <w:rsid w:val="71F84CC4"/>
    <w:rsid w:val="72163B00"/>
    <w:rsid w:val="72287919"/>
    <w:rsid w:val="72331ACD"/>
    <w:rsid w:val="723941F8"/>
    <w:rsid w:val="72A37A05"/>
    <w:rsid w:val="72B53273"/>
    <w:rsid w:val="72C66C84"/>
    <w:rsid w:val="73051E18"/>
    <w:rsid w:val="731204D6"/>
    <w:rsid w:val="73130FB0"/>
    <w:rsid w:val="73153339"/>
    <w:rsid w:val="7354482E"/>
    <w:rsid w:val="735C195E"/>
    <w:rsid w:val="73C62A98"/>
    <w:rsid w:val="73D60BDE"/>
    <w:rsid w:val="73DE407B"/>
    <w:rsid w:val="742F5682"/>
    <w:rsid w:val="745E2899"/>
    <w:rsid w:val="746265FC"/>
    <w:rsid w:val="74716236"/>
    <w:rsid w:val="74830D7F"/>
    <w:rsid w:val="74C97893"/>
    <w:rsid w:val="74DA1BFA"/>
    <w:rsid w:val="74E206DE"/>
    <w:rsid w:val="75177843"/>
    <w:rsid w:val="751E47C3"/>
    <w:rsid w:val="755306A4"/>
    <w:rsid w:val="756A0A37"/>
    <w:rsid w:val="756B2249"/>
    <w:rsid w:val="756B6591"/>
    <w:rsid w:val="7570430B"/>
    <w:rsid w:val="75763F08"/>
    <w:rsid w:val="759466AF"/>
    <w:rsid w:val="75EC3111"/>
    <w:rsid w:val="7614716E"/>
    <w:rsid w:val="76163F18"/>
    <w:rsid w:val="76220AC4"/>
    <w:rsid w:val="762C083C"/>
    <w:rsid w:val="763412D8"/>
    <w:rsid w:val="7659538F"/>
    <w:rsid w:val="76675230"/>
    <w:rsid w:val="767F647C"/>
    <w:rsid w:val="76A3490E"/>
    <w:rsid w:val="76B608B3"/>
    <w:rsid w:val="76BE5790"/>
    <w:rsid w:val="76E13F0B"/>
    <w:rsid w:val="76F377B8"/>
    <w:rsid w:val="76F754BD"/>
    <w:rsid w:val="771466AB"/>
    <w:rsid w:val="77225349"/>
    <w:rsid w:val="777C052D"/>
    <w:rsid w:val="77B1750F"/>
    <w:rsid w:val="77B87F41"/>
    <w:rsid w:val="77BA44BC"/>
    <w:rsid w:val="77DA0807"/>
    <w:rsid w:val="77EF40C5"/>
    <w:rsid w:val="77FB48C1"/>
    <w:rsid w:val="77FE72C6"/>
    <w:rsid w:val="78074724"/>
    <w:rsid w:val="78122E1C"/>
    <w:rsid w:val="781D02D1"/>
    <w:rsid w:val="782A3464"/>
    <w:rsid w:val="78503715"/>
    <w:rsid w:val="78586E42"/>
    <w:rsid w:val="785E706E"/>
    <w:rsid w:val="787774CE"/>
    <w:rsid w:val="787B6529"/>
    <w:rsid w:val="78851D2B"/>
    <w:rsid w:val="78A31EA4"/>
    <w:rsid w:val="78CA4EB2"/>
    <w:rsid w:val="78DF3812"/>
    <w:rsid w:val="78F324BF"/>
    <w:rsid w:val="79086C89"/>
    <w:rsid w:val="795D3068"/>
    <w:rsid w:val="798239B9"/>
    <w:rsid w:val="79EC58CE"/>
    <w:rsid w:val="79FA1FDF"/>
    <w:rsid w:val="79FB4607"/>
    <w:rsid w:val="7A0713CF"/>
    <w:rsid w:val="7A606780"/>
    <w:rsid w:val="7A6246A4"/>
    <w:rsid w:val="7AA43906"/>
    <w:rsid w:val="7AA56599"/>
    <w:rsid w:val="7AAA4AD3"/>
    <w:rsid w:val="7AC90610"/>
    <w:rsid w:val="7AD2010D"/>
    <w:rsid w:val="7AD33651"/>
    <w:rsid w:val="7ADC111B"/>
    <w:rsid w:val="7AF35E23"/>
    <w:rsid w:val="7B2D62CE"/>
    <w:rsid w:val="7B321CF8"/>
    <w:rsid w:val="7B431865"/>
    <w:rsid w:val="7B532E03"/>
    <w:rsid w:val="7B5C26AD"/>
    <w:rsid w:val="7B6C0156"/>
    <w:rsid w:val="7B6D691A"/>
    <w:rsid w:val="7BC61FE6"/>
    <w:rsid w:val="7BD71BEF"/>
    <w:rsid w:val="7BE15010"/>
    <w:rsid w:val="7C023D7D"/>
    <w:rsid w:val="7C1B71A3"/>
    <w:rsid w:val="7C1B7502"/>
    <w:rsid w:val="7C360BDC"/>
    <w:rsid w:val="7C3E1DC1"/>
    <w:rsid w:val="7C534465"/>
    <w:rsid w:val="7C6B66A2"/>
    <w:rsid w:val="7C853725"/>
    <w:rsid w:val="7CB3357F"/>
    <w:rsid w:val="7CBA13F1"/>
    <w:rsid w:val="7CF304C6"/>
    <w:rsid w:val="7D1C50DA"/>
    <w:rsid w:val="7D4943AD"/>
    <w:rsid w:val="7D542ACA"/>
    <w:rsid w:val="7D5F2D43"/>
    <w:rsid w:val="7D886CF0"/>
    <w:rsid w:val="7DA128D8"/>
    <w:rsid w:val="7DAC6D79"/>
    <w:rsid w:val="7DBFB555"/>
    <w:rsid w:val="7DC3AC97"/>
    <w:rsid w:val="7DEC77DA"/>
    <w:rsid w:val="7E084EED"/>
    <w:rsid w:val="7E14426F"/>
    <w:rsid w:val="7E1475E6"/>
    <w:rsid w:val="7E1CF67C"/>
    <w:rsid w:val="7E271332"/>
    <w:rsid w:val="7E2B6D2C"/>
    <w:rsid w:val="7E2FEB0C"/>
    <w:rsid w:val="7E806DC1"/>
    <w:rsid w:val="7E872C99"/>
    <w:rsid w:val="7E874DB8"/>
    <w:rsid w:val="7EA32BBC"/>
    <w:rsid w:val="7ECD1A96"/>
    <w:rsid w:val="7ED03238"/>
    <w:rsid w:val="7ED90F73"/>
    <w:rsid w:val="7F402A0E"/>
    <w:rsid w:val="7F455ED7"/>
    <w:rsid w:val="7F914E90"/>
    <w:rsid w:val="7F952F8E"/>
    <w:rsid w:val="7FEC7A53"/>
    <w:rsid w:val="7FF4F85F"/>
    <w:rsid w:val="9B7F4FE6"/>
    <w:rsid w:val="9C5C185D"/>
    <w:rsid w:val="9DDE6757"/>
    <w:rsid w:val="A171C275"/>
    <w:rsid w:val="A7F5F623"/>
    <w:rsid w:val="A7FE9C1E"/>
    <w:rsid w:val="AFFD15D6"/>
    <w:rsid w:val="B3F7B30B"/>
    <w:rsid w:val="B77B755E"/>
    <w:rsid w:val="B9F2BFB3"/>
    <w:rsid w:val="BF6F3A68"/>
    <w:rsid w:val="BF7389AD"/>
    <w:rsid w:val="BFBE6550"/>
    <w:rsid w:val="BFF7CE6E"/>
    <w:rsid w:val="BFFA6685"/>
    <w:rsid w:val="BFFBC233"/>
    <w:rsid w:val="D5CF2335"/>
    <w:rsid w:val="D69F7E40"/>
    <w:rsid w:val="DDAC9B31"/>
    <w:rsid w:val="DDBF9AC4"/>
    <w:rsid w:val="DDEFA6D7"/>
    <w:rsid w:val="DEFD0A72"/>
    <w:rsid w:val="DF9754AB"/>
    <w:rsid w:val="E77D5F48"/>
    <w:rsid w:val="E7AD4C57"/>
    <w:rsid w:val="EB78E692"/>
    <w:rsid w:val="EBAB58AD"/>
    <w:rsid w:val="EBFEFCE0"/>
    <w:rsid w:val="EE6DC4DC"/>
    <w:rsid w:val="EF3B5FCD"/>
    <w:rsid w:val="EFEFAF22"/>
    <w:rsid w:val="EFF7F430"/>
    <w:rsid w:val="F2DE3F51"/>
    <w:rsid w:val="F71F49AB"/>
    <w:rsid w:val="F7DC2FE1"/>
    <w:rsid w:val="FA7F8797"/>
    <w:rsid w:val="FABF0401"/>
    <w:rsid w:val="FB7F542A"/>
    <w:rsid w:val="FBE78744"/>
    <w:rsid w:val="FC1B7DE7"/>
    <w:rsid w:val="FC3B95B2"/>
    <w:rsid w:val="FD0FFF34"/>
    <w:rsid w:val="FDD7C09C"/>
    <w:rsid w:val="FE3F0ED8"/>
    <w:rsid w:val="FE77308E"/>
    <w:rsid w:val="FEBF1208"/>
    <w:rsid w:val="FEDF0E35"/>
    <w:rsid w:val="FEEFB870"/>
    <w:rsid w:val="FEFF8CB8"/>
    <w:rsid w:val="FEFFCE73"/>
    <w:rsid w:val="FF6CC4BB"/>
    <w:rsid w:val="FF9F7267"/>
    <w:rsid w:val="FFAF4A09"/>
    <w:rsid w:val="FFBDF9F0"/>
    <w:rsid w:val="FFCF700B"/>
    <w:rsid w:val="FFD5A658"/>
    <w:rsid w:val="FFEB42A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  <w:pPrChange w:id="0" w:author="范 智博" w:date="2025-02-20T16:08:00Z">
        <w:pPr>
          <w:widowControl w:val="0"/>
          <w:jc w:val="both"/>
        </w:pPr>
      </w:pPrChange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:rPrChange w:id="1" w:author="范 智博" w:date="2025-02-20T16:08:00Z">
        <w:rPr>
          <w:rFonts w:eastAsia="宋体"/>
          <w:kern w:val="2"/>
          <w:sz w:val="21"/>
          <w:szCs w:val="24"/>
          <w:lang w:val="en-US" w:eastAsia="zh-CN" w:bidi="ar-SA"/>
        </w:rPr>
      </w:rPrChange>
    </w:rPr>
  </w:style>
  <w:style w:type="paragraph" w:styleId="4">
    <w:name w:val="heading 1"/>
    <w:basedOn w:val="1"/>
    <w:next w:val="1"/>
    <w:qFormat/>
    <w:uiPriority w:val="0"/>
    <w:pPr>
      <w:keepNext/>
      <w:keepLines/>
      <w:contextualSpacing/>
      <w:jc w:val="center"/>
      <w:outlineLvl w:val="0"/>
    </w:pPr>
    <w:rPr>
      <w:rFonts w:eastAsia="黑体"/>
      <w:bCs/>
      <w:kern w:val="44"/>
      <w:sz w:val="32"/>
      <w:szCs w:val="44"/>
    </w:rPr>
  </w:style>
  <w:style w:type="paragraph" w:styleId="5">
    <w:name w:val="heading 2"/>
    <w:basedOn w:val="1"/>
    <w:next w:val="1"/>
    <w:link w:val="35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6">
    <w:name w:val="annotation text"/>
    <w:basedOn w:val="1"/>
    <w:link w:val="41"/>
    <w:qFormat/>
    <w:uiPriority w:val="0"/>
    <w:pPr>
      <w:jc w:val="left"/>
    </w:pPr>
  </w:style>
  <w:style w:type="paragraph" w:styleId="7">
    <w:name w:val="Plain Text"/>
    <w:basedOn w:val="1"/>
    <w:qFormat/>
    <w:uiPriority w:val="0"/>
    <w:rPr>
      <w:rFonts w:eastAsia="仿宋_GB2312"/>
      <w:sz w:val="32"/>
      <w:szCs w:val="20"/>
    </w:rPr>
  </w:style>
  <w:style w:type="paragraph" w:styleId="8">
    <w:name w:val="Balloon Text"/>
    <w:basedOn w:val="1"/>
    <w:link w:val="32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numPr>
        <w:ilvl w:val="6"/>
        <w:numId w:val="1"/>
      </w:num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  <w:pPr>
      <w:spacing w:before="120" w:after="120"/>
      <w:jc w:val="left"/>
    </w:pPr>
    <w:rPr>
      <w:rFonts w:ascii="等线" w:eastAsia="等线"/>
      <w:b/>
      <w:bCs/>
      <w:caps/>
      <w:sz w:val="20"/>
      <w:szCs w:val="20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Title"/>
    <w:basedOn w:val="1"/>
    <w:next w:val="1"/>
    <w:qFormat/>
    <w:uiPriority w:val="0"/>
    <w:pPr>
      <w:jc w:val="center"/>
      <w:outlineLvl w:val="0"/>
    </w:pPr>
    <w:rPr>
      <w:rFonts w:ascii="Cambria" w:hAnsi="Cambria" w:eastAsia="黑体"/>
      <w:bCs/>
      <w:sz w:val="32"/>
      <w:szCs w:val="32"/>
    </w:rPr>
  </w:style>
  <w:style w:type="table" w:styleId="15">
    <w:name w:val="Table Grid"/>
    <w:basedOn w:val="1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qFormat/>
    <w:uiPriority w:val="0"/>
    <w:rPr>
      <w:color w:val="0000FF"/>
      <w:u w:val="single"/>
    </w:rPr>
  </w:style>
  <w:style w:type="paragraph" w:customStyle="1" w:styleId="18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">
    <w:name w:val="段"/>
    <w:qFormat/>
    <w:uiPriority w:val="0"/>
    <w:pPr>
      <w:widowControl w:val="0"/>
      <w:autoSpaceDE w:val="0"/>
      <w:autoSpaceDN w:val="0"/>
      <w:spacing w:line="600" w:lineRule="exact"/>
      <w:ind w:firstLine="640" w:firstLineChars="200"/>
      <w:jc w:val="both"/>
    </w:pPr>
    <w:rPr>
      <w:rFonts w:ascii="宋体" w:hAnsi="宋体" w:eastAsia="宋体" w:cs="Times New Roman"/>
      <w:sz w:val="32"/>
      <w:szCs w:val="32"/>
      <w:lang w:val="en-US" w:eastAsia="zh-CN" w:bidi="ar-SA"/>
    </w:rPr>
  </w:style>
  <w:style w:type="paragraph" w:customStyle="1" w:styleId="20">
    <w:name w:val="Pa3+1"/>
    <w:basedOn w:val="1"/>
    <w:next w:val="1"/>
    <w:qFormat/>
    <w:uiPriority w:val="0"/>
    <w:pPr>
      <w:widowControl/>
      <w:autoSpaceDE w:val="0"/>
      <w:autoSpaceDN w:val="0"/>
      <w:spacing w:line="201" w:lineRule="atLeast"/>
      <w:jc w:val="left"/>
    </w:pPr>
    <w:rPr>
      <w:rFonts w:ascii="方正黑体简体" w:hAnsi="方正黑体简体" w:eastAsia="方正黑体简体"/>
      <w:color w:val="000000"/>
      <w:kern w:val="0"/>
      <w:sz w:val="24"/>
      <w:szCs w:val="20"/>
    </w:rPr>
  </w:style>
  <w:style w:type="paragraph" w:customStyle="1" w:styleId="21">
    <w:name w:val="列出段落1"/>
    <w:basedOn w:val="1"/>
    <w:qFormat/>
    <w:uiPriority w:val="34"/>
    <w:pPr>
      <w:ind w:firstLine="420"/>
    </w:pPr>
    <w:rPr>
      <w:rFonts w:ascii="Calibri" w:hAnsi="Calibri"/>
      <w:szCs w:val="22"/>
    </w:rPr>
  </w:style>
  <w:style w:type="paragraph" w:customStyle="1" w:styleId="22">
    <w:name w:val="无间隔1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23">
    <w:name w:val="正文文本缩进1"/>
    <w:basedOn w:val="1"/>
    <w:qFormat/>
    <w:uiPriority w:val="0"/>
    <w:pPr>
      <w:spacing w:after="120"/>
      <w:ind w:left="420" w:leftChars="200"/>
    </w:pPr>
  </w:style>
  <w:style w:type="paragraph" w:customStyle="1" w:styleId="24">
    <w:name w:val="_Style 2"/>
    <w:basedOn w:val="1"/>
    <w:qFormat/>
    <w:uiPriority w:val="1"/>
    <w:pPr>
      <w:ind w:firstLine="420"/>
    </w:pPr>
  </w:style>
  <w:style w:type="paragraph" w:customStyle="1" w:styleId="25">
    <w:name w:val="列表段落1"/>
    <w:basedOn w:val="1"/>
    <w:qFormat/>
    <w:uiPriority w:val="34"/>
    <w:pPr>
      <w:ind w:firstLine="420"/>
    </w:pPr>
  </w:style>
  <w:style w:type="paragraph" w:customStyle="1" w:styleId="26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7">
    <w:name w:val="章标题"/>
    <w:next w:val="1"/>
    <w:qFormat/>
    <w:uiPriority w:val="99"/>
    <w:pPr>
      <w:spacing w:beforeLines="50" w:afterLines="50"/>
      <w:jc w:val="both"/>
      <w:outlineLvl w:val="1"/>
    </w:pPr>
    <w:rPr>
      <w:rFonts w:ascii="黑体" w:hAnsi="Times New Roman" w:eastAsia="黑体" w:cs="黑体"/>
      <w:sz w:val="21"/>
      <w:szCs w:val="21"/>
      <w:lang w:val="en-US" w:eastAsia="zh-CN" w:bidi="ar-SA"/>
    </w:rPr>
  </w:style>
  <w:style w:type="character" w:customStyle="1" w:styleId="28">
    <w:name w:val="font5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29">
    <w:name w:val="内容正文"/>
    <w:basedOn w:val="1"/>
    <w:qFormat/>
    <w:uiPriority w:val="0"/>
    <w:pPr>
      <w:spacing w:beforeLines="50" w:afterLines="50"/>
    </w:pPr>
    <w:rPr>
      <w:rFonts w:ascii="Arial" w:hAnsi="Arial" w:eastAsia="Times New Roman"/>
      <w:szCs w:val="21"/>
    </w:rPr>
  </w:style>
  <w:style w:type="paragraph" w:customStyle="1" w:styleId="30">
    <w:name w:val="_Style 9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32">
    <w:name w:val="批注框文本 字符"/>
    <w:basedOn w:val="16"/>
    <w:link w:val="8"/>
    <w:qFormat/>
    <w:uiPriority w:val="0"/>
    <w:rPr>
      <w:kern w:val="2"/>
      <w:sz w:val="18"/>
      <w:szCs w:val="18"/>
    </w:rPr>
  </w:style>
  <w:style w:type="character" w:customStyle="1" w:styleId="33">
    <w:name w:val="正文缩进2字符 Char"/>
    <w:link w:val="34"/>
    <w:qFormat/>
    <w:locked/>
    <w:uiPriority w:val="0"/>
    <w:rPr>
      <w:rFonts w:ascii="ˎ̥" w:hAnsi="ˎ̥" w:cs="宋体"/>
      <w:color w:val="51585D"/>
    </w:rPr>
  </w:style>
  <w:style w:type="paragraph" w:customStyle="1" w:styleId="34">
    <w:name w:val="正文缩进2字符"/>
    <w:basedOn w:val="1"/>
    <w:link w:val="33"/>
    <w:qFormat/>
    <w:uiPriority w:val="0"/>
    <w:pPr>
      <w:widowControl/>
      <w:spacing w:before="100" w:beforeAutospacing="1" w:after="100" w:afterAutospacing="1" w:line="300" w:lineRule="auto"/>
      <w:ind w:left="357" w:firstLine="420"/>
      <w:jc w:val="left"/>
    </w:pPr>
    <w:rPr>
      <w:rFonts w:ascii="ˎ̥" w:hAnsi="ˎ̥" w:cs="宋体"/>
      <w:color w:val="51585D"/>
      <w:kern w:val="0"/>
      <w:sz w:val="20"/>
      <w:szCs w:val="20"/>
    </w:rPr>
  </w:style>
  <w:style w:type="character" w:customStyle="1" w:styleId="35">
    <w:name w:val="标题 2 字符"/>
    <w:basedOn w:val="16"/>
    <w:link w:val="5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36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正文（缩进）"/>
    <w:basedOn w:val="1"/>
    <w:qFormat/>
    <w:uiPriority w:val="0"/>
    <w:rPr>
      <w:rFonts w:ascii="Calibri" w:hAnsi="Calibri" w:cs="Calibri"/>
      <w:sz w:val="24"/>
      <w:szCs w:val="21"/>
    </w:rPr>
  </w:style>
  <w:style w:type="paragraph" w:styleId="39">
    <w:name w:val="List Paragraph"/>
    <w:basedOn w:val="1"/>
    <w:link w:val="40"/>
    <w:qFormat/>
    <w:uiPriority w:val="34"/>
    <w:pPr>
      <w:ind w:firstLine="420"/>
    </w:pPr>
    <w:rPr>
      <w:sz w:val="24"/>
    </w:rPr>
  </w:style>
  <w:style w:type="character" w:customStyle="1" w:styleId="40">
    <w:name w:val="列表段落 字符"/>
    <w:link w:val="39"/>
    <w:qFormat/>
    <w:uiPriority w:val="34"/>
    <w:rPr>
      <w:kern w:val="2"/>
      <w:sz w:val="24"/>
      <w:szCs w:val="24"/>
    </w:rPr>
  </w:style>
  <w:style w:type="character" w:customStyle="1" w:styleId="41">
    <w:name w:val="批注文字 字符"/>
    <w:basedOn w:val="16"/>
    <w:link w:val="6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3208</Words>
  <Characters>3532</Characters>
  <Lines>26</Lines>
  <Paragraphs>7</Paragraphs>
  <TotalTime>2</TotalTime>
  <ScaleCrop>false</ScaleCrop>
  <LinksUpToDate>false</LinksUpToDate>
  <CharactersWithSpaces>3566</CharactersWithSpaces>
  <Application>WPS Office_11.8.2.1130_F1E327BC-269C-435d-A152-05C5408002CA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2025-03-06T10:51:00Z</dcterms:created>
  <dc:creator>Data</dc:creator>
  <cp:lastModifiedBy>jiangshan</cp:lastModifiedBy>
  <cp:lastPrinted>2021-05-22T15:40:00Z</cp:lastPrinted>
  <dcterms:modified xsi:type="dcterms:W3CDTF">2025-07-25T11:00:16Z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2052-11.8.2.1130</vt:lpwstr>
  </property>
  <property fmtid="{D5CDD505-2E9C-101B-9397-08002B2CF9AE}" pid="3" name="ICV">
    <vt:lpwstr>D8581027D61F487994D07D109F675B22_13</vt:lpwstr>
  </property>
  <property fmtid="{D5CDD505-2E9C-101B-9397-08002B2CF9AE}" pid="4" name="KSOTemplateDocerSaveRecord">
    <vt:lpwstr>eyJoZGlkIjoiMWNkMjRiOWY5MWI2MWU2NzhkMmJmZmYwZTE3MmQ3Y2UiLCJ1c2VySWQiOiI0MTI2OTg5MDcifQ==</vt:lpwstr>
  </property>
</Properties>
</file>