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致招标人：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我公司承诺投标产品满足以下技术规范书要求：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default"/>
          <w:lang w:val="en-US" w:eastAsia="zh-CN"/>
        </w:rPr>
        <w:t>35kV_500kV交流站用型无间隙金属氧化物避雷器技术规范书-通用部分</w:t>
      </w:r>
      <w:r>
        <w:rPr>
          <w:rFonts w:hint="eastAsia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2、500kV变压器中性点无间隙金属氧化物避雷器（Y1.5W-96/260）技术规范书（专用部分）。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若违反本承诺，招标人有权根据《中国南方电网有限责任公司供应商失信扣分管理细则》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有关内容对我司进行处理，我司愿承担由此引起的各类风险和一切法律责任。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特此承诺！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投标人名称：（公章或电子章）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日期：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507A1"/>
    <w:rsid w:val="30D07FA5"/>
    <w:rsid w:val="3D9507A1"/>
    <w:rsid w:val="562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2025-08-04T08:51:00Z</dcterms:created>
  <dc:creator>邵江华</dc:creator>
  <cp:lastModifiedBy>邵江华</cp:lastModifiedBy>
  <dcterms:modified xsi:type="dcterms:W3CDTF">2025-08-04T09:09:23Z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8535C42BE99C4C9B9357DEC3DCE23BCF</vt:lpwstr>
  </property>
</Properties>
</file>