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rFonts w:hint="eastAsia" w:ascii="黑体" w:hAnsi="黑体" w:eastAsia="黑体"/>
          <w:b/>
          <w:color w:val="000000"/>
          <w:sz w:val="36"/>
          <w:szCs w:val="36"/>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5"/>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hint="eastAsia" w:ascii="黑体" w:hAnsi="黑体" w:eastAsia="黑体"/>
                                <w:b/>
                                <w:sz w:val="30"/>
                                <w:szCs w:val="30"/>
                                <w:u w:val="single"/>
                                <w:lang w:eastAsia="zh-CN"/>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5</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r>
                              <w:rPr>
                                <w:rFonts w:hint="eastAsia" w:ascii="黑体" w:hAnsi="黑体" w:eastAsia="黑体"/>
                                <w:b/>
                                <w:sz w:val="30"/>
                                <w:szCs w:val="30"/>
                                <w:u w:val="single"/>
                                <w:lang w:val="en-US" w:eastAsia="zh-CN"/>
                              </w:rPr>
                              <w:t>1</w:t>
                            </w:r>
                            <w:r>
                              <w:rPr>
                                <w:rFonts w:hint="eastAsia" w:ascii="黑体" w:hAnsi="黑体" w:eastAsia="黑体"/>
                                <w:b/>
                                <w:sz w:val="30"/>
                                <w:szCs w:val="30"/>
                                <w:u w:val="single"/>
                              </w:rPr>
                              <w:t>日</w:t>
                            </w:r>
                            <w:bookmarkEnd w:id="2"/>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hint="eastAsia" w:ascii="黑体" w:hAnsi="黑体" w:eastAsia="黑体"/>
                          <w:b/>
                          <w:sz w:val="30"/>
                          <w:szCs w:val="30"/>
                          <w:u w:val="single"/>
                          <w:lang w:eastAsia="zh-CN"/>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5</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r>
                        <w:rPr>
                          <w:rFonts w:hint="eastAsia" w:ascii="黑体" w:hAnsi="黑体" w:eastAsia="黑体"/>
                          <w:b/>
                          <w:sz w:val="30"/>
                          <w:szCs w:val="30"/>
                          <w:u w:val="single"/>
                          <w:lang w:val="en-US" w:eastAsia="zh-CN"/>
                        </w:rPr>
                        <w:t>1</w:t>
                      </w:r>
                      <w:r>
                        <w:rPr>
                          <w:rFonts w:hint="eastAsia" w:ascii="黑体" w:hAnsi="黑体" w:eastAsia="黑体"/>
                          <w:b/>
                          <w:sz w:val="30"/>
                          <w:szCs w:val="30"/>
                          <w:u w:val="single"/>
                        </w:rPr>
                        <w:t>日</w:t>
                      </w:r>
                      <w:bookmarkEnd w:id="2"/>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2336;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margin">
                  <wp:posOffset>422275</wp:posOffset>
                </wp:positionH>
                <wp:positionV relativeFrom="paragraph">
                  <wp:posOffset>3255645</wp:posOffset>
                </wp:positionV>
                <wp:extent cx="6160135" cy="1494155"/>
                <wp:effectExtent l="0" t="0" r="0" b="0"/>
                <wp:wrapNone/>
                <wp:docPr id="8" name="矩形 8"/>
                <wp:cNvGraphicFramePr/>
                <a:graphic xmlns:a="http://schemas.openxmlformats.org/drawingml/2006/main">
                  <a:graphicData uri="http://schemas.microsoft.com/office/word/2010/wordprocessingShape">
                    <wps:wsp>
                      <wps:cNvSpPr/>
                      <wps:spPr>
                        <a:xfrm>
                          <a:off x="0" y="0"/>
                          <a:ext cx="6160135" cy="1494155"/>
                        </a:xfrm>
                        <a:prstGeom prst="rect">
                          <a:avLst/>
                        </a:prstGeom>
                        <a:noFill/>
                        <a:ln>
                          <a:noFill/>
                        </a:ln>
                      </wps:spPr>
                      <wps:txbx>
                        <w:txbxContent>
                          <w:p>
                            <w:pPr>
                              <w:spacing w:before="156"/>
                              <w:jc w:val="right"/>
                              <w:rPr>
                                <w:rFonts w:hint="eastAsia" w:ascii="黑体" w:hAnsi="黑体" w:eastAsia="黑体"/>
                                <w:b/>
                                <w:bCs/>
                                <w:sz w:val="40"/>
                                <w:szCs w:val="40"/>
                                <w:u w:val="single"/>
                                <w:lang w:eastAsia="zh-CN"/>
                              </w:rPr>
                            </w:pPr>
                            <w:r>
                              <w:rPr>
                                <w:rFonts w:hint="eastAsia" w:ascii="黑体" w:hAnsi="黑体" w:eastAsia="黑体"/>
                                <w:b/>
                                <w:bCs/>
                                <w:sz w:val="40"/>
                                <w:szCs w:val="40"/>
                                <w:u w:val="single"/>
                                <w:lang w:eastAsia="zh-CN"/>
                              </w:rPr>
                              <w:t>南网共享公司202</w:t>
                            </w:r>
                            <w:r>
                              <w:rPr>
                                <w:rFonts w:hint="eastAsia" w:ascii="黑体" w:hAnsi="黑体" w:eastAsia="黑体"/>
                                <w:b/>
                                <w:bCs/>
                                <w:sz w:val="40"/>
                                <w:szCs w:val="40"/>
                                <w:u w:val="single"/>
                                <w:lang w:val="en-US" w:eastAsia="zh-CN"/>
                              </w:rPr>
                              <w:t>5</w:t>
                            </w:r>
                            <w:r>
                              <w:rPr>
                                <w:rFonts w:hint="eastAsia" w:ascii="黑体" w:hAnsi="黑体" w:eastAsia="黑体"/>
                                <w:b/>
                                <w:bCs/>
                                <w:sz w:val="40"/>
                                <w:szCs w:val="40"/>
                                <w:u w:val="single"/>
                                <w:lang w:eastAsia="zh-CN"/>
                              </w:rPr>
                              <w:t>年档案展陈室更新及档案宣传</w:t>
                            </w:r>
                          </w:p>
                          <w:p>
                            <w:pPr>
                              <w:spacing w:before="156"/>
                              <w:jc w:val="right"/>
                              <w:rPr>
                                <w:rFonts w:ascii="黑体" w:hAnsi="黑体" w:eastAsia="黑体"/>
                                <w:b/>
                                <w:bCs/>
                                <w:sz w:val="40"/>
                                <w:szCs w:val="40"/>
                                <w:u w:val="single"/>
                              </w:rPr>
                            </w:pPr>
                            <w:r>
                              <w:rPr>
                                <w:rFonts w:hint="eastAsia" w:ascii="黑体" w:hAnsi="黑体" w:eastAsia="黑体"/>
                                <w:b/>
                                <w:bCs/>
                                <w:sz w:val="40"/>
                                <w:szCs w:val="40"/>
                                <w:u w:val="single"/>
                                <w:lang w:eastAsia="zh-CN"/>
                              </w:rPr>
                              <w:t>服务项目</w:t>
                            </w:r>
                          </w:p>
                          <w:p/>
                        </w:txbxContent>
                      </wps:txbx>
                      <wps:bodyPr upright="1"/>
                    </wps:wsp>
                  </a:graphicData>
                </a:graphic>
              </wp:anchor>
            </w:drawing>
          </mc:Choice>
          <mc:Fallback>
            <w:pict>
              <v:rect id="_x0000_s1026" o:spid="_x0000_s1026" o:spt="1" style="position:absolute;left:0pt;margin-left:33.25pt;margin-top:256.35pt;height:117.65pt;width:485.05pt;mso-position-horizontal-relative:margin;z-index:251660288;mso-width-relative:page;mso-height-relative:page;" filled="f" stroked="f" coordsize="21600,21600" o:gfxdata="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G1UdbXcAAAACwEA&#10;AA8AAAAAAAAAAQAgAAAAIgAAAGRycy9kb3ducmV2LnhtbFBLAQIUABQAAAAIAIdO4kAaINqPpAEA&#10;AEIDAAAOAAAAAAAAAAEAIAAAACsBAABkcnMvZTJvRG9jLnhtbFBLBQYAAAAABgAGAFkBAABBBQAA&#10;AAA=&#10;">
                <v:fill on="f" focussize="0,0"/>
                <v:stroke on="f"/>
                <v:imagedata o:title=""/>
                <o:lock v:ext="edit" aspectratio="f"/>
                <v:textbox>
                  <w:txbxContent>
                    <w:p>
                      <w:pPr>
                        <w:spacing w:before="156"/>
                        <w:jc w:val="right"/>
                        <w:rPr>
                          <w:rFonts w:hint="eastAsia" w:ascii="黑体" w:hAnsi="黑体" w:eastAsia="黑体"/>
                          <w:b/>
                          <w:bCs/>
                          <w:sz w:val="40"/>
                          <w:szCs w:val="40"/>
                          <w:u w:val="single"/>
                          <w:lang w:eastAsia="zh-CN"/>
                        </w:rPr>
                      </w:pPr>
                      <w:r>
                        <w:rPr>
                          <w:rFonts w:hint="eastAsia" w:ascii="黑体" w:hAnsi="黑体" w:eastAsia="黑体"/>
                          <w:b/>
                          <w:bCs/>
                          <w:sz w:val="40"/>
                          <w:szCs w:val="40"/>
                          <w:u w:val="single"/>
                          <w:lang w:eastAsia="zh-CN"/>
                        </w:rPr>
                        <w:t>南网共享公司202</w:t>
                      </w:r>
                      <w:r>
                        <w:rPr>
                          <w:rFonts w:hint="eastAsia" w:ascii="黑体" w:hAnsi="黑体" w:eastAsia="黑体"/>
                          <w:b/>
                          <w:bCs/>
                          <w:sz w:val="40"/>
                          <w:szCs w:val="40"/>
                          <w:u w:val="single"/>
                          <w:lang w:val="en-US" w:eastAsia="zh-CN"/>
                        </w:rPr>
                        <w:t>5</w:t>
                      </w:r>
                      <w:r>
                        <w:rPr>
                          <w:rFonts w:hint="eastAsia" w:ascii="黑体" w:hAnsi="黑体" w:eastAsia="黑体"/>
                          <w:b/>
                          <w:bCs/>
                          <w:sz w:val="40"/>
                          <w:szCs w:val="40"/>
                          <w:u w:val="single"/>
                          <w:lang w:eastAsia="zh-CN"/>
                        </w:rPr>
                        <w:t>年档案展陈室更新及档案宣传</w:t>
                      </w:r>
                    </w:p>
                    <w:p>
                      <w:pPr>
                        <w:spacing w:before="156"/>
                        <w:jc w:val="right"/>
                        <w:rPr>
                          <w:rFonts w:ascii="黑体" w:hAnsi="黑体" w:eastAsia="黑体"/>
                          <w:b/>
                          <w:bCs/>
                          <w:sz w:val="40"/>
                          <w:szCs w:val="40"/>
                          <w:u w:val="single"/>
                        </w:rPr>
                      </w:pPr>
                      <w:r>
                        <w:rPr>
                          <w:rFonts w:hint="eastAsia" w:ascii="黑体" w:hAnsi="黑体" w:eastAsia="黑体"/>
                          <w:b/>
                          <w:bCs/>
                          <w:sz w:val="40"/>
                          <w:szCs w:val="40"/>
                          <w:u w:val="single"/>
                          <w:lang w:eastAsia="zh-CN"/>
                        </w:rPr>
                        <w:t>服务项目</w:t>
                      </w:r>
                    </w:p>
                    <w:p/>
                  </w:txbxContent>
                </v:textbox>
              </v:rect>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6"/>
                    <a:stretch>
                      <a:fillRect/>
                    </a:stretch>
                  </pic:blipFill>
                  <pic:spPr>
                    <a:xfrm>
                      <a:off x="0" y="0"/>
                      <a:ext cx="7569835" cy="7791450"/>
                    </a:xfrm>
                    <a:prstGeom prst="rect">
                      <a:avLst/>
                    </a:prstGeom>
                    <a:noFill/>
                    <a:ln>
                      <a:noFill/>
                    </a:ln>
                  </pic:spPr>
                </pic:pic>
              </a:graphicData>
            </a:graphic>
          </wp:anchor>
        </w:drawing>
      </w:r>
    </w:p>
    <w:p>
      <w:pPr>
        <w:adjustRightInd w:val="0"/>
        <w:snapToGrid w:val="0"/>
        <w:spacing w:before="156"/>
        <w:jc w:val="center"/>
        <w:rPr>
          <w:rFonts w:hint="eastAsia" w:ascii="黑体" w:hAnsi="黑体" w:eastAsia="黑体"/>
          <w:b/>
          <w:color w:val="000000"/>
          <w:sz w:val="36"/>
          <w:szCs w:val="36"/>
          <w:u w:val="single"/>
          <w:lang w:val="en-US" w:eastAsia="zh-CN"/>
        </w:rPr>
      </w:pPr>
      <w:r>
        <w:rPr>
          <w:rFonts w:hint="eastAsia" w:ascii="黑体" w:hAnsi="黑体" w:eastAsia="黑体"/>
          <w:b/>
          <w:color w:val="000000"/>
          <w:sz w:val="36"/>
          <w:szCs w:val="36"/>
          <w:u w:val="single"/>
          <w:lang w:val="en-US" w:eastAsia="zh-CN"/>
        </w:rPr>
        <w:t>南网共享公司</w:t>
      </w:r>
      <w:bookmarkEnd w:id="0"/>
      <w:r>
        <w:rPr>
          <w:rFonts w:hint="eastAsia" w:ascii="黑体" w:hAnsi="黑体" w:eastAsia="黑体"/>
          <w:b/>
          <w:color w:val="000000"/>
          <w:sz w:val="36"/>
          <w:szCs w:val="36"/>
          <w:u w:val="single"/>
          <w:lang w:val="en-US" w:eastAsia="zh-CN"/>
        </w:rPr>
        <w:t>2025年档案展陈室更新及档案宣传</w:t>
      </w:r>
    </w:p>
    <w:p>
      <w:pPr>
        <w:adjustRightInd w:val="0"/>
        <w:snapToGrid w:val="0"/>
        <w:spacing w:before="156"/>
        <w:jc w:val="center"/>
        <w:rPr>
          <w:rFonts w:hint="eastAsia"/>
          <w:b/>
          <w:color w:val="000000"/>
          <w:kern w:val="0"/>
          <w:sz w:val="28"/>
          <w:szCs w:val="28"/>
          <w:lang w:val="en-US" w:eastAsia="zh-CN"/>
        </w:rPr>
      </w:pPr>
      <w:r>
        <w:rPr>
          <w:rFonts w:hint="eastAsia" w:ascii="黑体" w:hAnsi="黑体" w:eastAsia="黑体"/>
          <w:b/>
          <w:color w:val="000000"/>
          <w:sz w:val="36"/>
          <w:szCs w:val="36"/>
          <w:u w:val="single"/>
          <w:lang w:val="en-US" w:eastAsia="zh-CN"/>
        </w:rPr>
        <w:t>服务项目</w:t>
      </w:r>
    </w:p>
    <w:p>
      <w:pPr>
        <w:adjustRightInd w:val="0"/>
        <w:snapToGrid w:val="0"/>
        <w:spacing w:before="156"/>
        <w:jc w:val="both"/>
        <w:rPr>
          <w:rFonts w:hint="eastAsia"/>
          <w:b/>
          <w:sz w:val="28"/>
          <w:szCs w:val="28"/>
        </w:rPr>
      </w:pPr>
      <w:r>
        <w:rPr>
          <w:rFonts w:hint="eastAsia"/>
          <w:b/>
          <w:color w:val="000000"/>
          <w:kern w:val="0"/>
          <w:sz w:val="28"/>
          <w:szCs w:val="28"/>
          <w:lang w:val="en-US" w:eastAsia="zh-CN"/>
        </w:rPr>
        <w:t>一、采购范围</w:t>
      </w:r>
      <w:r>
        <w:rPr>
          <w:rFonts w:hint="eastAsia"/>
          <w:b/>
          <w:sz w:val="28"/>
          <w:szCs w:val="28"/>
        </w:rPr>
        <w:t xml:space="preserve"> </w:t>
      </w:r>
    </w:p>
    <w:p>
      <w:pPr>
        <w:ind w:firstLine="560" w:firstLineChars="200"/>
        <w:rPr>
          <w:rFonts w:hint="default" w:ascii="楷体_GB2312" w:hAnsi="宋体" w:eastAsia="楷体_GB2312"/>
          <w:b/>
          <w:sz w:val="32"/>
          <w:szCs w:val="32"/>
          <w:highlight w:val="yellow"/>
          <w:u w:val="single"/>
          <w:lang w:val="en-US" w:eastAsia="zh-CN"/>
        </w:rPr>
      </w:pPr>
      <w:bookmarkStart w:id="3" w:name="_GoBack"/>
      <w:r>
        <w:rPr>
          <w:rFonts w:hint="eastAsia"/>
          <w:sz w:val="28"/>
          <w:szCs w:val="28"/>
          <w:lang w:val="en-US" w:eastAsia="zh-CN"/>
        </w:rPr>
        <w:t>南方电网公司档案展陈室内容更新、设计、粘贴、安装等</w:t>
      </w:r>
      <w:bookmarkEnd w:id="3"/>
      <w:r>
        <w:rPr>
          <w:rFonts w:hint="eastAsia"/>
          <w:sz w:val="28"/>
          <w:szCs w:val="28"/>
          <w:lang w:val="en-US" w:eastAsia="zh-CN"/>
        </w:rPr>
        <w:t>。</w:t>
      </w:r>
    </w:p>
    <w:p>
      <w:pPr>
        <w:shd w:val="clear" w:color="auto" w:fill="auto"/>
        <w:adjustRightInd w:val="0"/>
        <w:snapToGrid w:val="0"/>
        <w:spacing w:before="156"/>
        <w:jc w:val="both"/>
        <w:rPr>
          <w:rFonts w:hint="eastAsia" w:cs="Times New Roman"/>
          <w:b/>
          <w:color w:val="000000"/>
          <w:kern w:val="0"/>
          <w:sz w:val="28"/>
          <w:szCs w:val="28"/>
          <w:lang w:val="en-US" w:eastAsia="zh-CN"/>
        </w:rPr>
      </w:pPr>
      <w:r>
        <w:rPr>
          <w:rFonts w:hint="eastAsia" w:cs="Times New Roman"/>
          <w:b/>
          <w:color w:val="000000"/>
          <w:kern w:val="0"/>
          <w:sz w:val="28"/>
          <w:szCs w:val="28"/>
          <w:lang w:val="en-US" w:eastAsia="zh-CN"/>
        </w:rPr>
        <w:t>二、报价人资质要求</w:t>
      </w:r>
    </w:p>
    <w:p>
      <w:pPr>
        <w:spacing w:beforeLines="0" w:afterLines="0"/>
        <w:rPr>
          <w:rFonts w:hint="default"/>
          <w:sz w:val="24"/>
        </w:rPr>
      </w:pPr>
      <w:bookmarkStart w:id="1" w:name="XmInfoEntity_tyzgyqTable_1_1"/>
    </w:p>
    <w:tbl>
      <w:tblPr>
        <w:tblStyle w:val="11"/>
        <w:tblW w:w="84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73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499" w:type="dxa"/>
            <w:gridSpan w:val="2"/>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b/>
                <w:sz w:val="24"/>
              </w:rPr>
              <w:t>通用资格：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499"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bookmarkEnd w:id="1"/>
    </w:tbl>
    <w:p>
      <w:pPr>
        <w:adjustRightInd w:val="0"/>
        <w:snapToGrid w:val="0"/>
        <w:spacing w:before="156"/>
        <w:jc w:val="both"/>
        <w:rPr>
          <w:rFonts w:hint="eastAsia"/>
          <w:b/>
          <w:color w:val="000000"/>
          <w:kern w:val="0"/>
          <w:sz w:val="28"/>
          <w:szCs w:val="28"/>
          <w:lang w:val="en-US" w:eastAsia="zh-CN"/>
        </w:rPr>
      </w:pPr>
    </w:p>
    <w:p>
      <w:pPr>
        <w:rPr>
          <w:rFonts w:hint="default"/>
          <w:b/>
          <w:sz w:val="28"/>
          <w:szCs w:val="28"/>
          <w:lang w:val="en-US" w:eastAsia="zh-CN"/>
        </w:rPr>
      </w:pPr>
      <w:r>
        <w:rPr>
          <w:rFonts w:hint="eastAsia"/>
          <w:b/>
          <w:sz w:val="28"/>
          <w:szCs w:val="28"/>
          <w:lang w:val="en-US" w:eastAsia="zh-CN"/>
        </w:rPr>
        <w:t>三、报价要求</w:t>
      </w:r>
    </w:p>
    <w:p>
      <w:pPr>
        <w:rPr>
          <w:rFonts w:hint="eastAsia"/>
          <w:b/>
          <w:sz w:val="28"/>
          <w:szCs w:val="28"/>
          <w:lang w:val="en-US" w:eastAsia="zh-CN"/>
        </w:rPr>
      </w:pPr>
      <w:r>
        <w:rPr>
          <w:rFonts w:hint="eastAsia" w:ascii="宋体" w:hAnsi="宋体"/>
          <w:sz w:val="24"/>
          <w:lang w:val="en-US" w:eastAsia="zh-CN"/>
        </w:rPr>
        <w:t>项目按总价报价，总价最高限价10000元，报价不高于最高限价为有效报价。</w:t>
      </w:r>
    </w:p>
    <w:p>
      <w:pPr>
        <w:rPr>
          <w:rFonts w:hint="eastAsia"/>
          <w:b/>
          <w:sz w:val="28"/>
          <w:szCs w:val="28"/>
          <w:lang w:val="en-US" w:eastAsia="zh-CN"/>
        </w:rPr>
      </w:pPr>
    </w:p>
    <w:p>
      <w:pPr>
        <w:rPr>
          <w:rFonts w:hint="eastAsia"/>
          <w:b/>
          <w:sz w:val="28"/>
          <w:szCs w:val="28"/>
          <w:lang w:val="en-US" w:eastAsia="zh-CN"/>
        </w:rPr>
      </w:pPr>
      <w:r>
        <w:rPr>
          <w:rFonts w:hint="eastAsia"/>
          <w:b/>
          <w:sz w:val="28"/>
          <w:szCs w:val="28"/>
          <w:lang w:val="en-US" w:eastAsia="zh-CN"/>
        </w:rPr>
        <w:t>四、结算标准</w:t>
      </w:r>
    </w:p>
    <w:p>
      <w:pPr>
        <w:rPr>
          <w:rFonts w:hint="eastAsia" w:ascii="宋体" w:hAnsi="宋体"/>
          <w:sz w:val="24"/>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sz w:val="24"/>
          <w:lang w:val="en-US" w:eastAsia="zh-CN"/>
        </w:rPr>
        <w:t>按报价表总价结算。</w:t>
      </w:r>
    </w:p>
    <w:p>
      <w:pPr>
        <w:adjustRightInd w:val="0"/>
        <w:snapToGrid w:val="0"/>
        <w:spacing w:before="156"/>
        <w:jc w:val="cente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b/>
          <w:color w:val="000000"/>
          <w:sz w:val="36"/>
          <w:szCs w:val="36"/>
          <w:u w:val="single"/>
          <w:lang w:val="en-US" w:eastAsia="zh-CN"/>
        </w:rPr>
        <w:t>南网共享公司2025年档案展陈室更新及档案宣传服务零星采购项目</w:t>
      </w:r>
      <w:r>
        <w:rPr>
          <w:rFonts w:hint="eastAsia" w:ascii="黑体" w:hAnsi="黑体" w:eastAsia="黑体" w:cs="Times New Roman"/>
          <w:b/>
          <w:color w:val="000000"/>
          <w:kern w:val="2"/>
          <w:sz w:val="36"/>
          <w:szCs w:val="36"/>
          <w:u w:val="single"/>
          <w:lang w:val="en-US" w:eastAsia="zh-CN" w:bidi="ar-SA"/>
        </w:rPr>
        <w:t>报价文件</w:t>
      </w:r>
    </w:p>
    <w:p>
      <w:pPr>
        <w:pStyle w:val="6"/>
        <w:tabs>
          <w:tab w:val="left" w:pos="2127"/>
        </w:tabs>
        <w:kinsoku/>
        <w:overflowPunct/>
        <w:bidi w:val="0"/>
        <w:spacing w:line="360" w:lineRule="auto"/>
        <w:textAlignment w:val="auto"/>
        <w:rPr>
          <w:rFonts w:hint="eastAsia" w:ascii="宋体" w:hAnsi="宋体" w:eastAsia="宋体" w:cs="宋体"/>
          <w:color w:val="auto"/>
          <w:sz w:val="28"/>
          <w:szCs w:val="28"/>
          <w:highlight w:val="none"/>
          <w:lang w:eastAsia="zh-CN"/>
        </w:rPr>
      </w:pPr>
    </w:p>
    <w:p>
      <w:pPr>
        <w:pStyle w:val="6"/>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中国南方电网有限责任公司共享运营公司</w:t>
      </w:r>
      <w:r>
        <w:rPr>
          <w:rFonts w:hint="eastAsia" w:hAnsi="宋体" w:eastAsia="宋体" w:cs="宋体"/>
          <w:color w:val="auto"/>
          <w:sz w:val="28"/>
          <w:szCs w:val="28"/>
          <w:highlight w:val="none"/>
          <w:lang w:eastAsia="zh-CN"/>
        </w:rPr>
        <w:t>：</w:t>
      </w:r>
    </w:p>
    <w:p>
      <w:pPr>
        <w:pStyle w:val="6"/>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tbl>
      <w:tblPr>
        <w:tblStyle w:val="11"/>
        <w:tblW w:w="121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3"/>
        <w:gridCol w:w="1316"/>
        <w:gridCol w:w="3663"/>
        <w:gridCol w:w="1410"/>
        <w:gridCol w:w="1485"/>
        <w:gridCol w:w="915"/>
        <w:gridCol w:w="1305"/>
        <w:gridCol w:w="14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项目名称</w:t>
            </w:r>
          </w:p>
        </w:tc>
        <w:tc>
          <w:tcPr>
            <w:tcW w:w="36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 材质等要求</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（材质、颜色、包装等细节要求）</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总价（元）</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1</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设计费</w:t>
            </w:r>
          </w:p>
        </w:tc>
        <w:tc>
          <w:tcPr>
            <w:tcW w:w="36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内容修改、排版设计</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3</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个</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画面喷绘</w:t>
            </w:r>
          </w:p>
        </w:tc>
        <w:tc>
          <w:tcPr>
            <w:tcW w:w="36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高精度喷绘印制</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18.4</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平方米</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3</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画面喷绘</w:t>
            </w:r>
          </w:p>
        </w:tc>
        <w:tc>
          <w:tcPr>
            <w:tcW w:w="36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背胶裱安迪板</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0.9</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平方米</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布展、撤展人工</w:t>
            </w:r>
          </w:p>
        </w:tc>
        <w:tc>
          <w:tcPr>
            <w:tcW w:w="366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活动现场物料搭建，含物料装卸、现场清洁等工作</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4</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人/天</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5</w:t>
            </w:r>
          </w:p>
        </w:tc>
        <w:tc>
          <w:tcPr>
            <w:tcW w:w="13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运输</w:t>
            </w:r>
          </w:p>
        </w:tc>
        <w:tc>
          <w:tcPr>
            <w:tcW w:w="36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展架等物料运输（小面包）</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2</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车次</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6</w:t>
            </w:r>
          </w:p>
        </w:tc>
        <w:tc>
          <w:tcPr>
            <w:tcW w:w="13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贴墙宣传画</w:t>
            </w:r>
          </w:p>
        </w:tc>
        <w:tc>
          <w:tcPr>
            <w:tcW w:w="36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600*800Hmm，5+8透明亚克力夹高精度喷绘，广告钉固定。</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2</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个</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r>
    </w:tbl>
    <w:p>
      <w:pPr>
        <w:rPr>
          <w:rFonts w:hint="eastAsia" w:ascii="宋体" w:hAnsi="宋体" w:eastAsia="宋体" w:cs="宋体"/>
          <w:color w:val="auto"/>
          <w:sz w:val="28"/>
          <w:szCs w:val="28"/>
          <w:highlight w:val="none"/>
        </w:rPr>
      </w:pPr>
    </w:p>
    <w:p>
      <w:pPr>
        <w:pStyle w:val="6"/>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960" w:firstLineChars="400"/>
        <w:jc w:val="right"/>
        <w:textAlignment w:val="auto"/>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报价</w:t>
      </w:r>
      <w:r>
        <w:rPr>
          <w:rFonts w:hint="eastAsia" w:hAnsi="宋体" w:cs="宋体"/>
          <w:color w:val="auto"/>
          <w:sz w:val="24"/>
          <w:szCs w:val="24"/>
          <w:highlight w:val="none"/>
          <w:lang w:val="en-US" w:eastAsia="zh-CN"/>
        </w:rPr>
        <w:t>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r>
        <w:rPr>
          <w:rFonts w:hint="eastAsia" w:hAnsi="宋体" w:cs="宋体"/>
          <w:color w:val="auto"/>
          <w:sz w:val="24"/>
          <w:szCs w:val="24"/>
          <w:highlight w:val="none"/>
          <w:lang w:val="en-US" w:eastAsia="zh-CN"/>
        </w:rPr>
        <w:t xml:space="preserve">                                                   </w:t>
      </w:r>
    </w:p>
    <w:sectPr>
      <w:pgSz w:w="16838" w:h="11906" w:orient="landscape"/>
      <w:pgMar w:top="1800" w:right="1440" w:bottom="1576"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A1D18"/>
    <w:rsid w:val="029F5656"/>
    <w:rsid w:val="05461EF7"/>
    <w:rsid w:val="078E6538"/>
    <w:rsid w:val="091D36D9"/>
    <w:rsid w:val="0AAA549F"/>
    <w:rsid w:val="0AB768F7"/>
    <w:rsid w:val="0B0A34D3"/>
    <w:rsid w:val="106D42C0"/>
    <w:rsid w:val="11FE7CA5"/>
    <w:rsid w:val="150A5F35"/>
    <w:rsid w:val="150E27A5"/>
    <w:rsid w:val="15BB32DC"/>
    <w:rsid w:val="15F01FF8"/>
    <w:rsid w:val="168D01C7"/>
    <w:rsid w:val="17EB526F"/>
    <w:rsid w:val="17F63931"/>
    <w:rsid w:val="181C6AD5"/>
    <w:rsid w:val="208A36E5"/>
    <w:rsid w:val="208E033D"/>
    <w:rsid w:val="21955108"/>
    <w:rsid w:val="22D946BC"/>
    <w:rsid w:val="22E4212C"/>
    <w:rsid w:val="2319509E"/>
    <w:rsid w:val="28451B3B"/>
    <w:rsid w:val="28CF1D70"/>
    <w:rsid w:val="28D06E44"/>
    <w:rsid w:val="297C1E3D"/>
    <w:rsid w:val="2C351948"/>
    <w:rsid w:val="2E8E5C2A"/>
    <w:rsid w:val="2FE656E2"/>
    <w:rsid w:val="30D448E4"/>
    <w:rsid w:val="31277D1F"/>
    <w:rsid w:val="319017B1"/>
    <w:rsid w:val="32B8727E"/>
    <w:rsid w:val="32CB604C"/>
    <w:rsid w:val="344E3024"/>
    <w:rsid w:val="34AB357E"/>
    <w:rsid w:val="38A50DF1"/>
    <w:rsid w:val="394D67E1"/>
    <w:rsid w:val="39D15E97"/>
    <w:rsid w:val="3A2F1CE9"/>
    <w:rsid w:val="3A5147B5"/>
    <w:rsid w:val="3A600841"/>
    <w:rsid w:val="3C9472B4"/>
    <w:rsid w:val="3CA74111"/>
    <w:rsid w:val="3F0B45C4"/>
    <w:rsid w:val="3FF63B33"/>
    <w:rsid w:val="41FF0318"/>
    <w:rsid w:val="4261776A"/>
    <w:rsid w:val="426D6803"/>
    <w:rsid w:val="442236DE"/>
    <w:rsid w:val="457B670F"/>
    <w:rsid w:val="47831FB4"/>
    <w:rsid w:val="49C83F6A"/>
    <w:rsid w:val="4AE8302A"/>
    <w:rsid w:val="4F4D74D1"/>
    <w:rsid w:val="502366C9"/>
    <w:rsid w:val="50297923"/>
    <w:rsid w:val="520E1EA4"/>
    <w:rsid w:val="52A11A3D"/>
    <w:rsid w:val="54BC3A3F"/>
    <w:rsid w:val="56BD481B"/>
    <w:rsid w:val="57E7548D"/>
    <w:rsid w:val="58DB3CCF"/>
    <w:rsid w:val="59102C35"/>
    <w:rsid w:val="5A5D1956"/>
    <w:rsid w:val="5B230875"/>
    <w:rsid w:val="5D737D99"/>
    <w:rsid w:val="5DCE7EF9"/>
    <w:rsid w:val="5E5B6C7F"/>
    <w:rsid w:val="5EB6514C"/>
    <w:rsid w:val="5F512FF4"/>
    <w:rsid w:val="5FDE3F99"/>
    <w:rsid w:val="60B1497A"/>
    <w:rsid w:val="628E556A"/>
    <w:rsid w:val="62B00A9A"/>
    <w:rsid w:val="65E03333"/>
    <w:rsid w:val="66F14FA5"/>
    <w:rsid w:val="66F968E0"/>
    <w:rsid w:val="67D5349B"/>
    <w:rsid w:val="68BE1CD6"/>
    <w:rsid w:val="6BBE49BF"/>
    <w:rsid w:val="6D003E18"/>
    <w:rsid w:val="6D4E33BE"/>
    <w:rsid w:val="6FEB5D3E"/>
    <w:rsid w:val="7164687A"/>
    <w:rsid w:val="74175043"/>
    <w:rsid w:val="768E5ED5"/>
    <w:rsid w:val="76EB6C11"/>
    <w:rsid w:val="78CD455E"/>
    <w:rsid w:val="79341E13"/>
    <w:rsid w:val="7D1B2BB2"/>
    <w:rsid w:val="7D783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Body Text Indent"/>
    <w:basedOn w:val="1"/>
    <w:unhideWhenUsed/>
    <w:qFormat/>
    <w:uiPriority w:val="0"/>
    <w:pPr>
      <w:spacing w:after="120"/>
      <w:ind w:left="420" w:leftChars="200"/>
    </w:pPr>
  </w:style>
  <w:style w:type="paragraph" w:styleId="6">
    <w:name w:val="Plain Text"/>
    <w:basedOn w:val="1"/>
    <w:qFormat/>
    <w:uiPriority w:val="99"/>
    <w:rPr>
      <w:rFonts w:ascii="宋体" w:hAnsi="Courier New"/>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5"/>
    <w:qFormat/>
    <w:uiPriority w:val="0"/>
    <w:pPr>
      <w:ind w:firstLine="42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4">
    <w:name w:val="page number"/>
    <w:qFormat/>
    <w:uiPriority w:val="0"/>
  </w:style>
  <w:style w:type="character" w:customStyle="1" w:styleId="15">
    <w:name w:val="font21"/>
    <w:basedOn w:val="13"/>
    <w:qFormat/>
    <w:uiPriority w:val="0"/>
    <w:rPr>
      <w:rFonts w:hint="eastAsia" w:ascii="宋体" w:hAnsi="宋体" w:eastAsia="宋体" w:cs="宋体"/>
      <w:color w:val="000000"/>
      <w:sz w:val="20"/>
      <w:szCs w:val="20"/>
      <w:u w:val="none"/>
    </w:rPr>
  </w:style>
  <w:style w:type="character" w:customStyle="1" w:styleId="16">
    <w:name w:val="font31"/>
    <w:basedOn w:val="1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冷裕波（档案管理）</cp:lastModifiedBy>
  <cp:lastPrinted>2022-03-08T06:39:00Z</cp:lastPrinted>
  <dcterms:modified xsi:type="dcterms:W3CDTF">2025-08-04T06:05:14Z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4E4D1B5310A54E64B374333B66AB4DA6</vt:lpwstr>
  </property>
</Properties>
</file>