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7A56708">
      <w:pPr>
        <w:spacing w:beforeLines="200" w:line="360" w:lineRule="auto"/>
        <w:rPr>
          <w:rFonts w:asciiTheme="minorEastAsia" w:hAnsiTheme="minorEastAsia" w:eastAsiaTheme="minorEastAsia"/>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27C40A55">
      <w:pPr>
        <w:tabs>
          <w:tab w:val="left" w:pos="480"/>
        </w:tabs>
        <w:adjustRightInd w:val="0"/>
        <w:snapToGrid w:val="0"/>
        <w:spacing w:line="360" w:lineRule="auto"/>
        <w:jc w:val="center"/>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lang w:val="en-US" w:eastAsia="zh-CN"/>
        </w:rPr>
        <w:t>昌江</w:t>
      </w:r>
      <w:r>
        <w:rPr>
          <w:rFonts w:hint="eastAsia" w:asciiTheme="minorEastAsia" w:hAnsiTheme="minorEastAsia" w:eastAsiaTheme="minorEastAsia"/>
          <w:b/>
          <w:bCs/>
          <w:sz w:val="44"/>
          <w:szCs w:val="44"/>
        </w:rPr>
        <w:t>供电局</w:t>
      </w:r>
    </w:p>
    <w:p w14:paraId="1930ED12">
      <w:pPr>
        <w:tabs>
          <w:tab w:val="left" w:pos="480"/>
        </w:tabs>
        <w:adjustRightInd w:val="0"/>
        <w:snapToGrid w:val="0"/>
        <w:spacing w:line="360" w:lineRule="auto"/>
        <w:jc w:val="center"/>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202</w:t>
      </w:r>
      <w:r>
        <w:rPr>
          <w:rFonts w:hint="eastAsia" w:asciiTheme="minorEastAsia" w:hAnsiTheme="minorEastAsia" w:eastAsiaTheme="minorEastAsia"/>
          <w:b/>
          <w:bCs/>
          <w:sz w:val="44"/>
          <w:szCs w:val="44"/>
          <w:lang w:val="en-US" w:eastAsia="zh-CN"/>
        </w:rPr>
        <w:t>5电缆防窃监测终端</w:t>
      </w:r>
      <w:r>
        <w:rPr>
          <w:rFonts w:hint="eastAsia" w:asciiTheme="minorEastAsia" w:hAnsiTheme="minorEastAsia" w:eastAsiaTheme="minorEastAsia"/>
          <w:b/>
          <w:bCs/>
          <w:sz w:val="44"/>
          <w:szCs w:val="44"/>
        </w:rPr>
        <w:t>测试化验加工服务</w:t>
      </w:r>
    </w:p>
    <w:p w14:paraId="378C501F">
      <w:pPr>
        <w:pStyle w:val="3"/>
        <w:spacing w:line="360" w:lineRule="auto"/>
        <w:ind w:right="210"/>
        <w:jc w:val="center"/>
        <w:rPr>
          <w:rFonts w:asciiTheme="minorEastAsia" w:hAnsiTheme="minorEastAsia" w:eastAsiaTheme="minorEastAsia"/>
          <w:sz w:val="44"/>
          <w:szCs w:val="44"/>
        </w:rPr>
      </w:pPr>
      <w:bookmarkStart w:id="0" w:name="_Toc490994883"/>
      <w:bookmarkStart w:id="1" w:name="_Toc490828824"/>
      <w:bookmarkStart w:id="2" w:name="_Toc490993917"/>
      <w:bookmarkStart w:id="3" w:name="_Toc490836987"/>
      <w:bookmarkStart w:id="4" w:name="_Toc490836196"/>
      <w:bookmarkStart w:id="5" w:name="_Toc490828342"/>
      <w:bookmarkStart w:id="6" w:name="_Toc490992882"/>
      <w:bookmarkStart w:id="7" w:name="_Toc490833902"/>
      <w:bookmarkStart w:id="8" w:name="_Toc529463209"/>
      <w:bookmarkStart w:id="9" w:name="_Toc490836508"/>
      <w:bookmarkStart w:id="10" w:name="_Toc490993881"/>
      <w:bookmarkStart w:id="11" w:name="_Toc490836685"/>
      <w:bookmarkStart w:id="12" w:name="_Toc490827275"/>
      <w:r>
        <w:rPr>
          <w:rFonts w:asciiTheme="minorEastAsia" w:hAnsiTheme="minorEastAsia" w:eastAsiaTheme="minorEastAsia"/>
          <w:sz w:val="44"/>
          <w:szCs w:val="44"/>
        </w:rPr>
        <w:t>技术</w:t>
      </w:r>
      <w:r>
        <w:rPr>
          <w:rFonts w:hint="eastAsia" w:asciiTheme="minorEastAsia" w:hAnsiTheme="minorEastAsia" w:eastAsiaTheme="minorEastAsia"/>
          <w:sz w:val="44"/>
          <w:szCs w:val="44"/>
        </w:rPr>
        <w:t>规范书</w:t>
      </w:r>
      <w:bookmarkEnd w:id="0"/>
      <w:bookmarkEnd w:id="1"/>
      <w:bookmarkEnd w:id="2"/>
      <w:bookmarkEnd w:id="3"/>
      <w:bookmarkEnd w:id="4"/>
      <w:bookmarkEnd w:id="5"/>
      <w:bookmarkEnd w:id="6"/>
      <w:bookmarkEnd w:id="7"/>
      <w:bookmarkEnd w:id="8"/>
      <w:bookmarkEnd w:id="9"/>
      <w:bookmarkEnd w:id="10"/>
      <w:bookmarkEnd w:id="11"/>
      <w:bookmarkEnd w:id="12"/>
    </w:p>
    <w:p w14:paraId="56239A73">
      <w:pPr>
        <w:spacing w:beforeLines="200"/>
        <w:rPr>
          <w:rFonts w:asciiTheme="minorEastAsia" w:hAnsiTheme="minorEastAsia" w:eastAsiaTheme="minorEastAsia"/>
          <w:b/>
          <w:sz w:val="52"/>
          <w:szCs w:val="22"/>
        </w:rPr>
      </w:pPr>
    </w:p>
    <w:p w14:paraId="4938C191">
      <w:pPr>
        <w:spacing w:beforeLines="200"/>
        <w:rPr>
          <w:rFonts w:asciiTheme="minorEastAsia" w:hAnsiTheme="minorEastAsia" w:eastAsiaTheme="minorEastAsia"/>
          <w:b/>
          <w:sz w:val="52"/>
          <w:szCs w:val="22"/>
        </w:rPr>
      </w:pPr>
    </w:p>
    <w:p w14:paraId="0B7298F7">
      <w:pPr>
        <w:jc w:val="center"/>
        <w:rPr>
          <w:rFonts w:hint="eastAsia"/>
          <w:b/>
          <w:sz w:val="30"/>
          <w:szCs w:val="30"/>
          <w:lang w:eastAsia="zh-CN"/>
        </w:rPr>
      </w:pPr>
      <w:r>
        <w:rPr>
          <w:rFonts w:hint="eastAsia"/>
          <w:b/>
          <w:sz w:val="30"/>
          <w:szCs w:val="30"/>
          <w:lang w:val="en-US" w:eastAsia="zh-CN"/>
        </w:rPr>
        <w:t>昌江</w:t>
      </w:r>
      <w:r>
        <w:rPr>
          <w:rFonts w:hint="eastAsia"/>
          <w:b/>
          <w:sz w:val="30"/>
          <w:szCs w:val="30"/>
          <w:lang w:eastAsia="zh-CN"/>
        </w:rPr>
        <w:t>供电局</w:t>
      </w:r>
    </w:p>
    <w:p w14:paraId="406FCBC7">
      <w:pPr>
        <w:jc w:val="center"/>
        <w:rPr>
          <w:b/>
          <w:sz w:val="30"/>
          <w:szCs w:val="30"/>
        </w:rPr>
      </w:pPr>
      <w:r>
        <w:rPr>
          <w:b/>
          <w:sz w:val="30"/>
          <w:szCs w:val="30"/>
        </w:rPr>
        <w:t>二〇</w:t>
      </w:r>
      <w:r>
        <w:rPr>
          <w:rFonts w:hint="eastAsia"/>
          <w:b/>
          <w:sz w:val="30"/>
          <w:szCs w:val="30"/>
          <w:lang w:eastAsia="zh-CN"/>
        </w:rPr>
        <w:t>二</w:t>
      </w:r>
      <w:r>
        <w:rPr>
          <w:rFonts w:hint="eastAsia"/>
          <w:b/>
          <w:sz w:val="30"/>
          <w:szCs w:val="30"/>
          <w:lang w:val="en-US" w:eastAsia="zh-CN"/>
        </w:rPr>
        <w:t>五</w:t>
      </w:r>
      <w:r>
        <w:rPr>
          <w:b/>
          <w:sz w:val="30"/>
          <w:szCs w:val="30"/>
        </w:rPr>
        <w:t>年</w:t>
      </w:r>
      <w:r>
        <w:rPr>
          <w:rFonts w:hint="eastAsia"/>
          <w:b/>
          <w:sz w:val="30"/>
          <w:szCs w:val="30"/>
          <w:lang w:val="en-US" w:eastAsia="zh-CN"/>
        </w:rPr>
        <w:t>七</w:t>
      </w:r>
      <w:r>
        <w:rPr>
          <w:b/>
          <w:sz w:val="30"/>
          <w:szCs w:val="30"/>
        </w:rPr>
        <w:t>月</w:t>
      </w:r>
    </w:p>
    <w:p w14:paraId="44301817">
      <w:pPr>
        <w:jc w:val="center"/>
        <w:rPr>
          <w:rFonts w:hint="default" w:eastAsia="宋体"/>
          <w:b/>
          <w:sz w:val="30"/>
          <w:szCs w:val="30"/>
          <w:lang w:val="en-US" w:eastAsia="zh-CN"/>
        </w:rPr>
      </w:pPr>
      <w:r>
        <w:rPr>
          <w:rFonts w:hint="eastAsia"/>
          <w:b/>
          <w:sz w:val="30"/>
          <w:szCs w:val="30"/>
          <w:lang w:val="en-US" w:eastAsia="zh-CN"/>
        </w:rPr>
        <w:t>项目负责人：</w:t>
      </w:r>
      <w:r>
        <w:rPr>
          <w:rFonts w:hint="eastAsia"/>
          <w:b/>
          <w:sz w:val="30"/>
          <w:szCs w:val="30"/>
          <w:u w:val="single"/>
          <w:lang w:val="en-US" w:eastAsia="zh-CN"/>
        </w:rPr>
        <w:t xml:space="preserve">       </w:t>
      </w:r>
      <w:r>
        <w:rPr>
          <w:rFonts w:hint="eastAsia"/>
          <w:b/>
          <w:sz w:val="30"/>
          <w:szCs w:val="30"/>
          <w:lang w:val="en-US" w:eastAsia="zh-CN"/>
        </w:rPr>
        <w:t>（签名）</w:t>
      </w:r>
    </w:p>
    <w:p w14:paraId="6A57BA0B">
      <w:pPr>
        <w:rPr>
          <w:rFonts w:hint="eastAsia"/>
        </w:rPr>
      </w:pPr>
      <w:bookmarkStart w:id="13" w:name="_Toc490993882"/>
    </w:p>
    <w:p w14:paraId="09691703">
      <w:pPr>
        <w:pStyle w:val="2"/>
        <w:rPr>
          <w:rFonts w:hint="eastAsia"/>
        </w:rPr>
      </w:pPr>
    </w:p>
    <w:p w14:paraId="76A42C6F">
      <w:pPr>
        <w:pStyle w:val="3"/>
        <w:pageBreakBefore w:val="0"/>
        <w:kinsoku/>
        <w:wordWrap/>
        <w:overflowPunct/>
        <w:autoSpaceDE/>
        <w:autoSpaceDN/>
        <w:bidi w:val="0"/>
        <w:spacing w:line="560" w:lineRule="exact"/>
        <w:ind w:right="0" w:rightChars="0"/>
        <w:rPr>
          <w:sz w:val="32"/>
          <w:szCs w:val="32"/>
        </w:rPr>
      </w:pPr>
      <w:bookmarkStart w:id="14" w:name="_Toc529463210"/>
      <w:r>
        <w:rPr>
          <w:rFonts w:hint="eastAsia"/>
          <w:sz w:val="32"/>
          <w:szCs w:val="32"/>
        </w:rPr>
        <w:t>1.总则</w:t>
      </w:r>
      <w:bookmarkEnd w:id="13"/>
      <w:bookmarkEnd w:id="14"/>
    </w:p>
    <w:p w14:paraId="46F1F82A">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本技术规范书适用于电缆防窃监测终端的研发项目测试化验加工服务。</w:t>
      </w:r>
    </w:p>
    <w:p w14:paraId="4BDC19D6">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1.1本技术规范书规定了电缆防窃监测终端的</w:t>
      </w:r>
      <w:r>
        <w:rPr>
          <w:rFonts w:hint="eastAsia" w:asciiTheme="minorEastAsia" w:hAnsiTheme="minorEastAsia" w:eastAsiaTheme="minorEastAsia" w:cstheme="minorEastAsia"/>
          <w:sz w:val="24"/>
          <w:szCs w:val="24"/>
          <w:lang w:val="en-US" w:eastAsia="zh-CN"/>
        </w:rPr>
        <w:t>测试化验加工</w:t>
      </w:r>
      <w:r>
        <w:rPr>
          <w:rFonts w:hint="eastAsia" w:asciiTheme="minorEastAsia" w:hAnsiTheme="minorEastAsia" w:eastAsiaTheme="minorEastAsia" w:cstheme="minorEastAsia"/>
          <w:sz w:val="24"/>
          <w:szCs w:val="24"/>
          <w:lang w:eastAsia="zh-CN"/>
        </w:rPr>
        <w:t>服务界限</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技术要求、安全要求等</w:t>
      </w:r>
      <w:r>
        <w:rPr>
          <w:rFonts w:hint="eastAsia" w:asciiTheme="minorEastAsia" w:hAnsiTheme="minorEastAsia" w:eastAsiaTheme="minorEastAsia" w:cstheme="minorEastAsia"/>
          <w:sz w:val="24"/>
          <w:szCs w:val="24"/>
        </w:rPr>
        <w:t>具体内容。</w:t>
      </w:r>
    </w:p>
    <w:p w14:paraId="5755768D">
      <w:pPr>
        <w:pageBreakBefore w:val="0"/>
        <w:kinsoku/>
        <w:wordWrap/>
        <w:overflowPunct/>
        <w:autoSpaceDE/>
        <w:autoSpaceDN/>
        <w:bidi w:val="0"/>
        <w:spacing w:line="560" w:lineRule="exact"/>
        <w:ind w:right="0" w:rightChars="0" w:firstLine="480" w:firstLineChars="200"/>
        <w:rPr>
          <w:rFonts w:hint="eastAsia"/>
          <w:sz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本技术规范书提出的技术要求。除技术规范书中规定的技术参数和要求外，其余均遵循最新版本的国家标准（GB）、电力行业标准（DL）、IEC标准和国际单位（SI）。</w:t>
      </w:r>
    </w:p>
    <w:p w14:paraId="70132504">
      <w:pPr>
        <w:pStyle w:val="3"/>
        <w:pageBreakBefore w:val="0"/>
        <w:kinsoku/>
        <w:wordWrap/>
        <w:overflowPunct/>
        <w:autoSpaceDE/>
        <w:autoSpaceDN/>
        <w:bidi w:val="0"/>
        <w:spacing w:line="560" w:lineRule="exact"/>
        <w:ind w:right="0" w:rightChars="0"/>
        <w:rPr>
          <w:sz w:val="32"/>
          <w:szCs w:val="32"/>
        </w:rPr>
      </w:pPr>
      <w:bookmarkStart w:id="15" w:name="_Toc490993883"/>
      <w:bookmarkStart w:id="16" w:name="_Toc529463211"/>
      <w:r>
        <w:rPr>
          <w:rFonts w:hint="eastAsia"/>
          <w:sz w:val="32"/>
          <w:szCs w:val="32"/>
        </w:rPr>
        <w:t>2.</w:t>
      </w:r>
      <w:bookmarkEnd w:id="15"/>
      <w:bookmarkStart w:id="17" w:name="_Toc476060462"/>
      <w:bookmarkStart w:id="18" w:name="_Toc351722589"/>
      <w:bookmarkStart w:id="19" w:name="_Toc445396910"/>
      <w:r>
        <w:rPr>
          <w:rFonts w:hint="eastAsia"/>
          <w:sz w:val="32"/>
          <w:szCs w:val="32"/>
        </w:rPr>
        <w:t>项目目标</w:t>
      </w:r>
      <w:bookmarkEnd w:id="16"/>
      <w:bookmarkEnd w:id="17"/>
      <w:bookmarkEnd w:id="18"/>
      <w:bookmarkEnd w:id="19"/>
    </w:p>
    <w:p w14:paraId="115D800A">
      <w:pPr>
        <w:pageBreakBefore w:val="0"/>
        <w:kinsoku/>
        <w:wordWrap/>
        <w:overflowPunct/>
        <w:autoSpaceDE/>
        <w:autoSpaceDN/>
        <w:bidi w:val="0"/>
        <w:spacing w:line="560" w:lineRule="exact"/>
        <w:ind w:right="0" w:rightChars="0" w:firstLine="480" w:firstLineChars="200"/>
        <w:rPr>
          <w:rFonts w:hint="default" w:asciiTheme="minorEastAsia" w:hAnsiTheme="minorEastAsia" w:eastAsiaTheme="minorEastAsia" w:cstheme="minorEastAsia"/>
          <w:sz w:val="24"/>
          <w:szCs w:val="24"/>
          <w:lang w:val="en-US" w:eastAsia="zh-CN"/>
        </w:rPr>
      </w:pPr>
      <w:bookmarkStart w:id="20" w:name="_Toc351722590"/>
      <w:bookmarkStart w:id="21" w:name="_Toc291690055"/>
      <w:r>
        <w:rPr>
          <w:rFonts w:hint="eastAsia" w:asciiTheme="minorEastAsia" w:hAnsiTheme="minorEastAsia" w:eastAsiaTheme="minorEastAsia" w:cstheme="minorEastAsia"/>
          <w:sz w:val="24"/>
          <w:szCs w:val="24"/>
          <w:lang w:val="en-US" w:eastAsia="zh-CN"/>
        </w:rPr>
        <w:t>本项目是研制一种</w:t>
      </w:r>
      <w:r>
        <w:rPr>
          <w:rFonts w:hint="eastAsia" w:asciiTheme="minorEastAsia" w:hAnsiTheme="minorEastAsia" w:eastAsiaTheme="minorEastAsia" w:cstheme="minorEastAsia"/>
          <w:sz w:val="24"/>
          <w:szCs w:val="24"/>
          <w:lang w:eastAsia="zh-CN"/>
        </w:rPr>
        <w:t>未投运电缆防窃监测终端，通过技术手段为未投运电缆提供监测保护，最大限度地解决未投运电缆被盗问题。为了支撑城市建设，近年来大量投入电力电缆线路，在线路建设完成但尚未通电投运的时间窗口，发生了多起电力电缆被盗事件，很大程度上影响了供电服务水平，也在社会上产生了诸多不良影响。</w:t>
      </w:r>
      <w:r>
        <w:rPr>
          <w:rFonts w:hint="eastAsia" w:asciiTheme="minorEastAsia" w:hAnsiTheme="minorEastAsia" w:eastAsiaTheme="minorEastAsia" w:cstheme="minorEastAsia"/>
          <w:sz w:val="24"/>
          <w:szCs w:val="24"/>
          <w:lang w:val="en-US" w:eastAsia="zh-CN"/>
        </w:rPr>
        <w:t>本项目</w:t>
      </w:r>
      <w:r>
        <w:rPr>
          <w:rFonts w:hint="eastAsia" w:asciiTheme="minorEastAsia" w:hAnsiTheme="minorEastAsia" w:eastAsiaTheme="minorEastAsia" w:cstheme="minorEastAsia"/>
          <w:sz w:val="24"/>
          <w:szCs w:val="24"/>
          <w:lang w:eastAsia="zh-CN"/>
        </w:rPr>
        <w:t>通过技术手段为未投运电缆提供监测保护，</w:t>
      </w:r>
      <w:r>
        <w:rPr>
          <w:rFonts w:hint="eastAsia" w:asciiTheme="minorEastAsia" w:hAnsiTheme="minorEastAsia" w:eastAsiaTheme="minorEastAsia" w:cstheme="minorEastAsia"/>
          <w:sz w:val="24"/>
          <w:szCs w:val="24"/>
          <w:lang w:val="en-US" w:eastAsia="zh-CN"/>
        </w:rPr>
        <w:t>避免</w:t>
      </w:r>
      <w:r>
        <w:rPr>
          <w:rFonts w:hint="eastAsia" w:asciiTheme="minorEastAsia" w:hAnsiTheme="minorEastAsia" w:eastAsiaTheme="minorEastAsia" w:cstheme="minorEastAsia"/>
          <w:sz w:val="24"/>
          <w:szCs w:val="24"/>
          <w:lang w:eastAsia="zh-CN"/>
        </w:rPr>
        <w:t>未投运电缆被盗</w:t>
      </w:r>
      <w:r>
        <w:rPr>
          <w:rFonts w:hint="eastAsia" w:asciiTheme="minorEastAsia" w:hAnsiTheme="minorEastAsia" w:eastAsiaTheme="minorEastAsia" w:cstheme="minorEastAsia"/>
          <w:sz w:val="24"/>
          <w:szCs w:val="24"/>
          <w:lang w:val="en-US" w:eastAsia="zh-CN"/>
        </w:rPr>
        <w:t>事件的发生</w:t>
      </w:r>
      <w:r>
        <w:rPr>
          <w:rFonts w:hint="eastAsia" w:asciiTheme="minorEastAsia" w:hAnsiTheme="minorEastAsia" w:eastAsiaTheme="minorEastAsia" w:cstheme="minorEastAsia"/>
          <w:sz w:val="24"/>
          <w:szCs w:val="24"/>
          <w:lang w:eastAsia="zh-CN"/>
        </w:rPr>
        <w:t>。</w:t>
      </w:r>
    </w:p>
    <w:p w14:paraId="09B21A64">
      <w:pPr>
        <w:pStyle w:val="3"/>
        <w:pageBreakBefore w:val="0"/>
        <w:numPr>
          <w:ilvl w:val="0"/>
          <w:numId w:val="0"/>
        </w:numPr>
        <w:kinsoku/>
        <w:wordWrap/>
        <w:overflowPunct/>
        <w:autoSpaceDE/>
        <w:autoSpaceDN/>
        <w:bidi w:val="0"/>
        <w:spacing w:line="560" w:lineRule="exact"/>
        <w:ind w:right="0" w:rightChars="0"/>
        <w:rPr>
          <w:rFonts w:hint="eastAsia"/>
          <w:lang w:eastAsia="zh-CN"/>
        </w:rPr>
      </w:pPr>
      <w:bookmarkStart w:id="22" w:name="_Toc476060463"/>
      <w:bookmarkStart w:id="23" w:name="_Toc445396911"/>
      <w:bookmarkStart w:id="24" w:name="_Toc529463212"/>
      <w:r>
        <w:rPr>
          <w:rFonts w:hint="eastAsia"/>
          <w:sz w:val="32"/>
          <w:szCs w:val="32"/>
          <w:lang w:val="en-US" w:eastAsia="zh-CN"/>
        </w:rPr>
        <w:t>3.</w:t>
      </w:r>
      <w:r>
        <w:rPr>
          <w:rFonts w:hint="eastAsia"/>
          <w:sz w:val="32"/>
          <w:szCs w:val="32"/>
        </w:rPr>
        <w:t>服务</w:t>
      </w:r>
      <w:bookmarkEnd w:id="20"/>
      <w:bookmarkEnd w:id="21"/>
      <w:bookmarkEnd w:id="22"/>
      <w:bookmarkEnd w:id="23"/>
      <w:bookmarkEnd w:id="24"/>
      <w:r>
        <w:rPr>
          <w:rFonts w:hint="eastAsia"/>
          <w:sz w:val="32"/>
          <w:szCs w:val="32"/>
          <w:lang w:eastAsia="zh-CN"/>
        </w:rPr>
        <w:t>要求</w:t>
      </w:r>
    </w:p>
    <w:p w14:paraId="7BA8D29E">
      <w:pPr>
        <w:pStyle w:val="45"/>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本服务要求中标单位做好测试过程控制、加工精度保障和质量控制，使得</w:t>
      </w:r>
      <w:r>
        <w:rPr>
          <w:rFonts w:hint="eastAsia" w:asciiTheme="minorEastAsia" w:hAnsiTheme="minorEastAsia" w:eastAsiaTheme="minorEastAsia" w:cstheme="minorEastAsia"/>
          <w:sz w:val="24"/>
          <w:szCs w:val="24"/>
          <w:lang w:eastAsia="zh-CN"/>
        </w:rPr>
        <w:t>电缆防窃监测终端</w:t>
      </w:r>
      <w:r>
        <w:rPr>
          <w:rFonts w:hint="eastAsia" w:asciiTheme="minorEastAsia" w:hAnsiTheme="minorEastAsia" w:eastAsiaTheme="minorEastAsia" w:cstheme="minorEastAsia"/>
          <w:kern w:val="2"/>
          <w:sz w:val="24"/>
          <w:szCs w:val="24"/>
          <w:lang w:val="en-US" w:eastAsia="zh-CN" w:bidi="ar-SA"/>
        </w:rPr>
        <w:t>符合高效精准作业、安全保障升级、成本优化测试和场景适配性测试</w:t>
      </w:r>
      <w:bookmarkStart w:id="25" w:name="_Toc529463214"/>
      <w:bookmarkStart w:id="26" w:name="_Toc490993885"/>
      <w:r>
        <w:rPr>
          <w:rFonts w:hint="eastAsia" w:asciiTheme="minorEastAsia" w:hAnsiTheme="minorEastAsia" w:eastAsiaTheme="minorEastAsia" w:cstheme="minorEastAsia"/>
          <w:kern w:val="2"/>
          <w:sz w:val="24"/>
          <w:szCs w:val="24"/>
          <w:lang w:val="en-US" w:eastAsia="zh-CN" w:bidi="ar-SA"/>
        </w:rPr>
        <w:t>。</w:t>
      </w:r>
    </w:p>
    <w:p w14:paraId="0AB01EBD">
      <w:pPr>
        <w:pStyle w:val="3"/>
        <w:pageBreakBefore w:val="0"/>
        <w:numPr>
          <w:ilvl w:val="0"/>
          <w:numId w:val="2"/>
        </w:numPr>
        <w:kinsoku/>
        <w:wordWrap/>
        <w:overflowPunct/>
        <w:autoSpaceDE/>
        <w:autoSpaceDN/>
        <w:bidi w:val="0"/>
        <w:spacing w:line="560" w:lineRule="exact"/>
        <w:ind w:right="0" w:rightChars="0"/>
        <w:rPr>
          <w:rFonts w:hint="eastAsia"/>
          <w:sz w:val="32"/>
          <w:szCs w:val="32"/>
        </w:rPr>
      </w:pPr>
      <w:r>
        <w:rPr>
          <w:rFonts w:hint="eastAsia"/>
          <w:sz w:val="32"/>
          <w:szCs w:val="32"/>
        </w:rPr>
        <w:t>技术要求</w:t>
      </w:r>
      <w:bookmarkEnd w:id="25"/>
      <w:bookmarkEnd w:id="26"/>
    </w:p>
    <w:p w14:paraId="0ECAD8A3">
      <w:pPr>
        <w:pStyle w:val="45"/>
        <w:numPr>
          <w:ilvl w:val="0"/>
          <w:numId w:val="3"/>
        </w:numPr>
        <w:shd w:val="clear" w:color="auto" w:fill="FFFFFF"/>
        <w:tabs>
          <w:tab w:val="left" w:pos="0"/>
        </w:tabs>
        <w:spacing w:before="105" w:beforeAutospacing="0" w:after="105" w:afterAutospacing="0" w:line="435" w:lineRule="atLeast"/>
        <w:ind w:left="0" w:leftChars="0" w:firstLine="403"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lang w:val="en-US" w:eastAsia="zh-CN"/>
        </w:rPr>
        <w:t xml:space="preserve"> 电信号注入频次</w:t>
      </w:r>
      <w:r>
        <w:rPr>
          <w:rFonts w:hint="eastAsia" w:asciiTheme="minorEastAsia" w:hAnsiTheme="minorEastAsia" w:eastAsiaTheme="minorEastAsia" w:cstheme="minorEastAsia"/>
          <w:sz w:val="24"/>
          <w:szCs w:val="32"/>
        </w:rPr>
        <w:t>：不小于</w:t>
      </w:r>
      <w:r>
        <w:rPr>
          <w:rFonts w:hint="eastAsia" w:asciiTheme="minorEastAsia" w:hAnsiTheme="minorEastAsia" w:eastAsiaTheme="minorEastAsia" w:cstheme="minorEastAsia"/>
          <w:sz w:val="24"/>
          <w:szCs w:val="32"/>
          <w:lang w:val="en-US" w:eastAsia="zh-CN"/>
        </w:rPr>
        <w:t>1min/次</w:t>
      </w:r>
    </w:p>
    <w:p w14:paraId="1C0E605B">
      <w:pPr>
        <w:pStyle w:val="45"/>
        <w:numPr>
          <w:ilvl w:val="0"/>
          <w:numId w:val="3"/>
        </w:numPr>
        <w:shd w:val="clear" w:color="auto" w:fill="FFFFFF"/>
        <w:tabs>
          <w:tab w:val="left" w:pos="0"/>
        </w:tabs>
        <w:spacing w:before="105" w:beforeAutospacing="0" w:after="105" w:afterAutospacing="0" w:line="435" w:lineRule="atLeast"/>
        <w:ind w:left="0" w:leftChars="0" w:firstLine="403"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lang w:val="en-US" w:eastAsia="zh-CN"/>
        </w:rPr>
        <w:t xml:space="preserve"> 通讯距离</w:t>
      </w:r>
      <w:r>
        <w:rPr>
          <w:rFonts w:hint="eastAsia" w:asciiTheme="minorEastAsia" w:hAnsiTheme="minorEastAsia" w:eastAsiaTheme="minorEastAsia" w:cstheme="minorEastAsia"/>
          <w:sz w:val="24"/>
          <w:szCs w:val="32"/>
        </w:rPr>
        <w:t>：</w:t>
      </w:r>
      <w:r>
        <w:rPr>
          <w:rFonts w:hint="eastAsia" w:asciiTheme="minorEastAsia" w:hAnsiTheme="minorEastAsia" w:eastAsiaTheme="minorEastAsia" w:cstheme="minorEastAsia"/>
          <w:sz w:val="24"/>
          <w:szCs w:val="32"/>
          <w:lang w:val="en-US" w:eastAsia="zh-CN"/>
        </w:rPr>
        <w:t>≥5km</w:t>
      </w:r>
    </w:p>
    <w:p w14:paraId="02013F0F">
      <w:pPr>
        <w:pStyle w:val="45"/>
        <w:numPr>
          <w:ilvl w:val="0"/>
          <w:numId w:val="3"/>
        </w:numPr>
        <w:shd w:val="clear" w:color="auto" w:fill="FFFFFF"/>
        <w:tabs>
          <w:tab w:val="left" w:pos="0"/>
        </w:tabs>
        <w:spacing w:before="105" w:beforeAutospacing="0" w:after="105" w:afterAutospacing="0" w:line="435" w:lineRule="atLeast"/>
        <w:ind w:left="0" w:leftChars="0" w:firstLine="403"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lang w:val="en-US" w:eastAsia="zh-CN"/>
        </w:rPr>
        <w:t xml:space="preserve"> 功耗：≤100w</w:t>
      </w:r>
    </w:p>
    <w:p w14:paraId="297842F6">
      <w:pPr>
        <w:pStyle w:val="3"/>
        <w:pageBreakBefore w:val="0"/>
        <w:kinsoku/>
        <w:wordWrap/>
        <w:overflowPunct/>
        <w:autoSpaceDE/>
        <w:autoSpaceDN/>
        <w:bidi w:val="0"/>
        <w:spacing w:line="560" w:lineRule="exact"/>
        <w:ind w:right="0" w:rightChars="0"/>
        <w:rPr>
          <w:rFonts w:hint="eastAsia"/>
          <w:sz w:val="32"/>
          <w:szCs w:val="32"/>
        </w:rPr>
      </w:pPr>
      <w:r>
        <w:rPr>
          <w:rFonts w:hint="eastAsia"/>
          <w:sz w:val="32"/>
          <w:szCs w:val="32"/>
          <w:lang w:val="en-US" w:eastAsia="zh-CN"/>
        </w:rPr>
        <w:t>5</w:t>
      </w:r>
      <w:r>
        <w:rPr>
          <w:rFonts w:hint="eastAsia"/>
          <w:sz w:val="32"/>
          <w:szCs w:val="32"/>
        </w:rPr>
        <w:t>.</w:t>
      </w:r>
      <w:r>
        <w:rPr>
          <w:rFonts w:hint="eastAsia"/>
          <w:sz w:val="32"/>
          <w:szCs w:val="32"/>
          <w:lang w:eastAsia="zh-CN"/>
        </w:rPr>
        <w:t>安全责任</w:t>
      </w:r>
      <w:r>
        <w:rPr>
          <w:rFonts w:hint="eastAsia"/>
          <w:sz w:val="32"/>
          <w:szCs w:val="32"/>
        </w:rPr>
        <w:t>要求</w:t>
      </w:r>
    </w:p>
    <w:p w14:paraId="675EFC24">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在</w:t>
      </w:r>
      <w:r>
        <w:rPr>
          <w:rFonts w:hint="eastAsia" w:asciiTheme="minorEastAsia" w:hAnsiTheme="minorEastAsia" w:eastAsiaTheme="minorEastAsia" w:cstheme="minorEastAsia"/>
          <w:sz w:val="24"/>
          <w:szCs w:val="24"/>
          <w:lang w:eastAsia="zh-CN"/>
        </w:rPr>
        <w:t>电缆防窃监测终端</w:t>
      </w:r>
      <w:r>
        <w:rPr>
          <w:rFonts w:hint="eastAsia" w:asciiTheme="minorEastAsia" w:hAnsiTheme="minorEastAsia" w:eastAsiaTheme="minorEastAsia" w:cstheme="minorEastAsia"/>
          <w:kern w:val="0"/>
          <w:sz w:val="24"/>
          <w:lang w:val="en-US" w:eastAsia="zh-CN"/>
        </w:rPr>
        <w:t>制作、试验过程中，作业人员须严格落实安全责任：严禁以人力扶持、凳子/箱子/绳索等简易物品作为临时固定支撑，须使用专用电缆固定工器具，确保支撑稳固可靠；作业前须检查固定装置安全性，狭窄空间（如开关柜内）需增设防倾倒、防滑落措施；监护人全程监督，制止违规扶持或不规范固定行为；项目负责人需核查工器具合规性，强化现场安全交底。因固定不牢导致操作失误、试验事故的，严肃追究相关责任人责任，确保作业质量与人员安全双保障。</w:t>
      </w:r>
      <w:bookmarkStart w:id="27" w:name="_GoBack"/>
      <w:bookmarkEnd w:id="27"/>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D9E1">
    <w:pPr>
      <w:pStyle w:val="40"/>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E5E63">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CBF1A"/>
    <w:multiLevelType w:val="singleLevel"/>
    <w:tmpl w:val="8A5CBF1A"/>
    <w:lvl w:ilvl="0" w:tentative="0">
      <w:start w:val="4"/>
      <w:numFmt w:val="decimal"/>
      <w:lvlText w:val="%1."/>
      <w:lvlJc w:val="left"/>
      <w:pPr>
        <w:tabs>
          <w:tab w:val="left" w:pos="312"/>
        </w:tabs>
      </w:pPr>
    </w:lvl>
  </w:abstractNum>
  <w:abstractNum w:abstractNumId="1">
    <w:nsid w:val="C6C603DE"/>
    <w:multiLevelType w:val="singleLevel"/>
    <w:tmpl w:val="C6C603DE"/>
    <w:lvl w:ilvl="0" w:tentative="0">
      <w:start w:val="1"/>
      <w:numFmt w:val="decimal"/>
      <w:suff w:val="nothing"/>
      <w:lvlText w:val="4.%1"/>
      <w:lvlJc w:val="left"/>
      <w:pPr>
        <w:ind w:left="0" w:firstLine="403"/>
      </w:pPr>
      <w:rPr>
        <w:rFonts w:hint="default"/>
      </w:rPr>
    </w:lvl>
  </w:abstractNum>
  <w:abstractNum w:abstractNumId="2">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4"/>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3"/>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3175F6"/>
    <w:rsid w:val="03472883"/>
    <w:rsid w:val="035A08D4"/>
    <w:rsid w:val="043E60E5"/>
    <w:rsid w:val="044353B7"/>
    <w:rsid w:val="04445771"/>
    <w:rsid w:val="04B16F17"/>
    <w:rsid w:val="04D27709"/>
    <w:rsid w:val="08011098"/>
    <w:rsid w:val="084E378E"/>
    <w:rsid w:val="08A27553"/>
    <w:rsid w:val="09152D91"/>
    <w:rsid w:val="09657434"/>
    <w:rsid w:val="09A228DE"/>
    <w:rsid w:val="0A2B721E"/>
    <w:rsid w:val="0B2240B4"/>
    <w:rsid w:val="0BE36F7D"/>
    <w:rsid w:val="0CE1665B"/>
    <w:rsid w:val="0E5B6A37"/>
    <w:rsid w:val="0EA03C30"/>
    <w:rsid w:val="0ED50EC9"/>
    <w:rsid w:val="0F2B423C"/>
    <w:rsid w:val="11094C8A"/>
    <w:rsid w:val="11EF081B"/>
    <w:rsid w:val="12DA6698"/>
    <w:rsid w:val="137D3964"/>
    <w:rsid w:val="140830E5"/>
    <w:rsid w:val="15813DAC"/>
    <w:rsid w:val="182E08BB"/>
    <w:rsid w:val="185537EF"/>
    <w:rsid w:val="18765555"/>
    <w:rsid w:val="18904609"/>
    <w:rsid w:val="1A4D5C8C"/>
    <w:rsid w:val="1A5A4A7F"/>
    <w:rsid w:val="1A6A5E0F"/>
    <w:rsid w:val="1A8C5B4B"/>
    <w:rsid w:val="1A9B1E8A"/>
    <w:rsid w:val="1B0808B7"/>
    <w:rsid w:val="1BA83F4D"/>
    <w:rsid w:val="1BF4530E"/>
    <w:rsid w:val="1CAA45F0"/>
    <w:rsid w:val="1DDD1B29"/>
    <w:rsid w:val="1FC573ED"/>
    <w:rsid w:val="208206D0"/>
    <w:rsid w:val="21C53406"/>
    <w:rsid w:val="22A9397E"/>
    <w:rsid w:val="235B3C3A"/>
    <w:rsid w:val="23687149"/>
    <w:rsid w:val="23B054A6"/>
    <w:rsid w:val="24F3732E"/>
    <w:rsid w:val="269246A6"/>
    <w:rsid w:val="2B401C9B"/>
    <w:rsid w:val="2B7E2BE1"/>
    <w:rsid w:val="2BA532A3"/>
    <w:rsid w:val="2CAA15D4"/>
    <w:rsid w:val="2D3B59AF"/>
    <w:rsid w:val="2DF974B1"/>
    <w:rsid w:val="2E016B8B"/>
    <w:rsid w:val="2E470960"/>
    <w:rsid w:val="2FD44A0C"/>
    <w:rsid w:val="301D1543"/>
    <w:rsid w:val="303C4EDB"/>
    <w:rsid w:val="303E26F6"/>
    <w:rsid w:val="30FC5D3E"/>
    <w:rsid w:val="318B21C8"/>
    <w:rsid w:val="329E24FB"/>
    <w:rsid w:val="32F35A40"/>
    <w:rsid w:val="34236D31"/>
    <w:rsid w:val="34B519E8"/>
    <w:rsid w:val="358B1B13"/>
    <w:rsid w:val="36724472"/>
    <w:rsid w:val="36A66572"/>
    <w:rsid w:val="36CC15FA"/>
    <w:rsid w:val="36F62CDD"/>
    <w:rsid w:val="37D27BEE"/>
    <w:rsid w:val="38865BFA"/>
    <w:rsid w:val="38F3706A"/>
    <w:rsid w:val="391B003F"/>
    <w:rsid w:val="3A5B065E"/>
    <w:rsid w:val="3B241322"/>
    <w:rsid w:val="3BE26D15"/>
    <w:rsid w:val="3CA43677"/>
    <w:rsid w:val="3CA462CE"/>
    <w:rsid w:val="3D5A2083"/>
    <w:rsid w:val="3E257BC1"/>
    <w:rsid w:val="3E8222C8"/>
    <w:rsid w:val="3F303F95"/>
    <w:rsid w:val="40CE3A18"/>
    <w:rsid w:val="42304E6A"/>
    <w:rsid w:val="4399424E"/>
    <w:rsid w:val="44B855DE"/>
    <w:rsid w:val="457E4C38"/>
    <w:rsid w:val="479559D1"/>
    <w:rsid w:val="479743D0"/>
    <w:rsid w:val="47FE2438"/>
    <w:rsid w:val="4BFB1865"/>
    <w:rsid w:val="4C423DF2"/>
    <w:rsid w:val="4E3F1601"/>
    <w:rsid w:val="4F02195D"/>
    <w:rsid w:val="4F1E5CBB"/>
    <w:rsid w:val="4FFB11C5"/>
    <w:rsid w:val="50C5099A"/>
    <w:rsid w:val="50DF153C"/>
    <w:rsid w:val="51533282"/>
    <w:rsid w:val="51CE4E43"/>
    <w:rsid w:val="528365E6"/>
    <w:rsid w:val="53877A48"/>
    <w:rsid w:val="56360AFF"/>
    <w:rsid w:val="59303A61"/>
    <w:rsid w:val="594823FB"/>
    <w:rsid w:val="59B74569"/>
    <w:rsid w:val="59FE4F42"/>
    <w:rsid w:val="5A0F163F"/>
    <w:rsid w:val="5B6A0515"/>
    <w:rsid w:val="5BDB1617"/>
    <w:rsid w:val="5CE92A69"/>
    <w:rsid w:val="604C09F6"/>
    <w:rsid w:val="60AA45DA"/>
    <w:rsid w:val="611500E3"/>
    <w:rsid w:val="6284312B"/>
    <w:rsid w:val="63F73F4E"/>
    <w:rsid w:val="644C0D79"/>
    <w:rsid w:val="64AC6EB6"/>
    <w:rsid w:val="65F67B6A"/>
    <w:rsid w:val="663805AA"/>
    <w:rsid w:val="68E618F1"/>
    <w:rsid w:val="69640996"/>
    <w:rsid w:val="6985301C"/>
    <w:rsid w:val="6A12740C"/>
    <w:rsid w:val="6B1B5B89"/>
    <w:rsid w:val="6C071E63"/>
    <w:rsid w:val="6C43179E"/>
    <w:rsid w:val="6DB07F69"/>
    <w:rsid w:val="6DBF2751"/>
    <w:rsid w:val="6E067F3B"/>
    <w:rsid w:val="6E0E18EE"/>
    <w:rsid w:val="6E2340F9"/>
    <w:rsid w:val="6E6764DE"/>
    <w:rsid w:val="6FC70BF5"/>
    <w:rsid w:val="7005291A"/>
    <w:rsid w:val="70C81FA4"/>
    <w:rsid w:val="70D215D6"/>
    <w:rsid w:val="70F34F32"/>
    <w:rsid w:val="711A7F46"/>
    <w:rsid w:val="71C80221"/>
    <w:rsid w:val="73357908"/>
    <w:rsid w:val="7485672D"/>
    <w:rsid w:val="74C44169"/>
    <w:rsid w:val="76443671"/>
    <w:rsid w:val="7645082D"/>
    <w:rsid w:val="78163F80"/>
    <w:rsid w:val="7819191E"/>
    <w:rsid w:val="78A97AC0"/>
    <w:rsid w:val="79180014"/>
    <w:rsid w:val="79796385"/>
    <w:rsid w:val="7A514B74"/>
    <w:rsid w:val="7C0C2A5A"/>
    <w:rsid w:val="7D374087"/>
    <w:rsid w:val="7EA412BC"/>
    <w:rsid w:val="7F3173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4">
    <w:name w:val="heading 2"/>
    <w:basedOn w:val="1"/>
    <w:next w:val="5"/>
    <w:link w:val="27"/>
    <w:qFormat/>
    <w:uiPriority w:val="99"/>
    <w:pPr>
      <w:spacing w:beforeLines="50" w:afterLines="50"/>
      <w:jc w:val="left"/>
      <w:outlineLvl w:val="1"/>
    </w:pPr>
    <w:rPr>
      <w:rFonts w:ascii="宋体" w:hAnsi="宋体"/>
      <w:b/>
      <w:kern w:val="0"/>
      <w:sz w:val="36"/>
      <w:szCs w:val="36"/>
    </w:rPr>
  </w:style>
  <w:style w:type="paragraph" w:styleId="6">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7">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420" w:leftChars="200"/>
    </w:pPr>
    <w:rPr>
      <w:b/>
      <w:sz w:val="24"/>
    </w:rPr>
  </w:style>
  <w:style w:type="paragraph" w:styleId="5">
    <w:name w:val="Normal Indent"/>
    <w:basedOn w:val="1"/>
    <w:qFormat/>
    <w:locked/>
    <w:uiPriority w:val="0"/>
    <w:pPr>
      <w:ind w:firstLine="420" w:firstLineChars="200"/>
    </w:pPr>
  </w:style>
  <w:style w:type="paragraph" w:styleId="8">
    <w:name w:val="toc 7"/>
    <w:basedOn w:val="1"/>
    <w:next w:val="1"/>
    <w:qFormat/>
    <w:uiPriority w:val="39"/>
    <w:pPr>
      <w:ind w:left="2520" w:leftChars="1200"/>
    </w:pPr>
  </w:style>
  <w:style w:type="paragraph" w:styleId="9">
    <w:name w:val="caption"/>
    <w:basedOn w:val="1"/>
    <w:next w:val="1"/>
    <w:unhideWhenUsed/>
    <w:qFormat/>
    <w:locked/>
    <w:uiPriority w:val="35"/>
    <w:rPr>
      <w:rFonts w:eastAsia="黑体" w:asciiTheme="majorHAnsi" w:hAnsiTheme="majorHAnsi" w:cstheme="majorBidi"/>
      <w:sz w:val="20"/>
      <w:szCs w:val="20"/>
    </w:rPr>
  </w:style>
  <w:style w:type="paragraph" w:styleId="10">
    <w:name w:val="Document Map"/>
    <w:basedOn w:val="1"/>
    <w:link w:val="44"/>
    <w:unhideWhenUsed/>
    <w:qFormat/>
    <w:locked/>
    <w:uiPriority w:val="99"/>
    <w:rPr>
      <w:rFonts w:ascii="宋体"/>
      <w:sz w:val="18"/>
      <w:szCs w:val="18"/>
    </w:rPr>
  </w:style>
  <w:style w:type="paragraph" w:styleId="11">
    <w:name w:val="toc 5"/>
    <w:basedOn w:val="1"/>
    <w:next w:val="1"/>
    <w:qFormat/>
    <w:uiPriority w:val="39"/>
    <w:pPr>
      <w:ind w:left="1680" w:leftChars="800"/>
    </w:pPr>
  </w:style>
  <w:style w:type="paragraph" w:styleId="12">
    <w:name w:val="toc 3"/>
    <w:basedOn w:val="1"/>
    <w:next w:val="1"/>
    <w:qFormat/>
    <w:uiPriority w:val="39"/>
    <w:pPr>
      <w:ind w:left="840" w:leftChars="400"/>
    </w:pPr>
  </w:style>
  <w:style w:type="paragraph" w:styleId="13">
    <w:name w:val="Plain Text"/>
    <w:basedOn w:val="1"/>
    <w:unhideWhenUsed/>
    <w:qFormat/>
    <w:locked/>
    <w:uiPriority w:val="99"/>
    <w:rPr>
      <w:rFonts w:ascii="宋体" w:hAnsi="Courier New"/>
      <w:szCs w:val="20"/>
    </w:rPr>
  </w:style>
  <w:style w:type="paragraph" w:styleId="14">
    <w:name w:val="toc 8"/>
    <w:basedOn w:val="1"/>
    <w:next w:val="1"/>
    <w:qFormat/>
    <w:uiPriority w:val="39"/>
    <w:pPr>
      <w:ind w:left="2940" w:leftChars="1400"/>
    </w:pPr>
  </w:style>
  <w:style w:type="paragraph" w:styleId="15">
    <w:name w:val="Balloon Text"/>
    <w:basedOn w:val="1"/>
    <w:link w:val="41"/>
    <w:unhideWhenUsed/>
    <w:qFormat/>
    <w:locked/>
    <w:uiPriority w:val="99"/>
    <w:rPr>
      <w:sz w:val="18"/>
      <w:szCs w:val="18"/>
    </w:rPr>
  </w:style>
  <w:style w:type="paragraph" w:styleId="16">
    <w:name w:val="footer"/>
    <w:basedOn w:val="1"/>
    <w:link w:val="28"/>
    <w:unhideWhenUsed/>
    <w:qFormat/>
    <w:locked/>
    <w:uiPriority w:val="0"/>
    <w:pPr>
      <w:tabs>
        <w:tab w:val="center" w:pos="4153"/>
        <w:tab w:val="right" w:pos="8306"/>
      </w:tabs>
      <w:snapToGrid w:val="0"/>
      <w:jc w:val="left"/>
    </w:pPr>
    <w:rPr>
      <w:sz w:val="18"/>
    </w:rPr>
  </w:style>
  <w:style w:type="paragraph" w:styleId="17">
    <w:name w:val="header"/>
    <w:basedOn w:val="1"/>
    <w:link w:val="29"/>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pPr>
      <w:spacing w:line="360" w:lineRule="auto"/>
    </w:pPr>
    <w:rPr>
      <w:b/>
      <w:sz w:val="24"/>
    </w:rPr>
  </w:style>
  <w:style w:type="paragraph" w:styleId="19">
    <w:name w:val="toc 4"/>
    <w:basedOn w:val="1"/>
    <w:next w:val="1"/>
    <w:qFormat/>
    <w:uiPriority w:val="39"/>
    <w:pPr>
      <w:ind w:left="1260" w:leftChars="600"/>
    </w:pPr>
  </w:style>
  <w:style w:type="paragraph" w:styleId="20">
    <w:name w:val="toc 6"/>
    <w:basedOn w:val="1"/>
    <w:next w:val="1"/>
    <w:qFormat/>
    <w:uiPriority w:val="39"/>
    <w:pPr>
      <w:ind w:left="2100" w:leftChars="1000"/>
    </w:pPr>
  </w:style>
  <w:style w:type="paragraph" w:styleId="21">
    <w:name w:val="toc 9"/>
    <w:basedOn w:val="1"/>
    <w:next w:val="1"/>
    <w:qFormat/>
    <w:uiPriority w:val="39"/>
    <w:pPr>
      <w:ind w:left="3360" w:leftChars="1600"/>
    </w:pPr>
  </w:style>
  <w:style w:type="table" w:styleId="23">
    <w:name w:val="Table Grid"/>
    <w:basedOn w:val="22"/>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locked/>
    <w:uiPriority w:val="0"/>
  </w:style>
  <w:style w:type="character" w:styleId="26">
    <w:name w:val="Hyperlink"/>
    <w:basedOn w:val="24"/>
    <w:unhideWhenUsed/>
    <w:qFormat/>
    <w:locked/>
    <w:uiPriority w:val="99"/>
    <w:rPr>
      <w:color w:val="0000FF" w:themeColor="hyperlink"/>
      <w:u w:val="single"/>
      <w14:textFill>
        <w14:solidFill>
          <w14:schemeClr w14:val="hlink"/>
        </w14:solidFill>
      </w14:textFill>
    </w:rPr>
  </w:style>
  <w:style w:type="character" w:customStyle="1" w:styleId="27">
    <w:name w:val="标题 2 Char"/>
    <w:link w:val="4"/>
    <w:qFormat/>
    <w:locked/>
    <w:uiPriority w:val="99"/>
    <w:rPr>
      <w:rFonts w:ascii="宋体" w:hAnsi="宋体"/>
      <w:b/>
      <w:sz w:val="36"/>
      <w:szCs w:val="36"/>
    </w:rPr>
  </w:style>
  <w:style w:type="character" w:customStyle="1" w:styleId="28">
    <w:name w:val="页脚 Char"/>
    <w:link w:val="16"/>
    <w:qFormat/>
    <w:uiPriority w:val="99"/>
    <w:rPr>
      <w:rFonts w:ascii="Calibri" w:hAnsi="Calibri"/>
      <w:kern w:val="2"/>
      <w:sz w:val="18"/>
      <w:szCs w:val="24"/>
    </w:rPr>
  </w:style>
  <w:style w:type="character" w:customStyle="1" w:styleId="29">
    <w:name w:val="页眉 Char"/>
    <w:link w:val="17"/>
    <w:qFormat/>
    <w:uiPriority w:val="99"/>
    <w:rPr>
      <w:rFonts w:ascii="Calibri" w:hAnsi="Calibri"/>
      <w:kern w:val="2"/>
      <w:sz w:val="18"/>
      <w:szCs w:val="24"/>
    </w:rPr>
  </w:style>
  <w:style w:type="paragraph" w:customStyle="1" w:styleId="30">
    <w:name w:val="TOC 标题1"/>
    <w:basedOn w:val="3"/>
    <w:next w:val="1"/>
    <w:unhideWhenUsed/>
    <w:qFormat/>
    <w:uiPriority w:val="39"/>
    <w:pPr>
      <w:widowControl/>
      <w:spacing w:after="0" w:line="259" w:lineRule="auto"/>
      <w:outlineLvl w:val="9"/>
    </w:pPr>
    <w:rPr>
      <w:rFonts w:asciiTheme="majorHAnsi" w:hAnsiTheme="majorHAnsi" w:eastAsiaTheme="majorEastAsia" w:cstheme="majorBidi"/>
      <w:color w:val="376092" w:themeColor="accent1" w:themeShade="BF"/>
      <w:kern w:val="0"/>
      <w:sz w:val="32"/>
      <w:szCs w:val="32"/>
    </w:rPr>
  </w:style>
  <w:style w:type="paragraph" w:customStyle="1" w:styleId="31">
    <w:name w:val="列出段落1"/>
    <w:basedOn w:val="1"/>
    <w:qFormat/>
    <w:uiPriority w:val="34"/>
    <w:pPr>
      <w:ind w:firstLine="420" w:firstLineChars="200"/>
    </w:pPr>
  </w:style>
  <w:style w:type="paragraph" w:customStyle="1" w:styleId="3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3">
    <w:name w:val="一级条标题"/>
    <w:basedOn w:val="34"/>
    <w:next w:val="35"/>
    <w:qFormat/>
    <w:uiPriority w:val="0"/>
    <w:pPr>
      <w:numPr>
        <w:ilvl w:val="2"/>
      </w:numPr>
      <w:tabs>
        <w:tab w:val="left" w:pos="420"/>
        <w:tab w:val="left" w:pos="525"/>
      </w:tabs>
      <w:spacing w:beforeLines="0" w:afterLines="0"/>
      <w:outlineLvl w:val="2"/>
    </w:pPr>
  </w:style>
  <w:style w:type="paragraph" w:customStyle="1" w:styleId="34">
    <w:name w:val="章标题"/>
    <w:next w:val="35"/>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5">
    <w:name w:val="段"/>
    <w:link w:val="43"/>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6">
    <w:name w:val="表题 + (西文) 宋体 Char Char Char Char Char Char Char Char"/>
    <w:link w:val="37"/>
    <w:qFormat/>
    <w:uiPriority w:val="0"/>
    <w:rPr>
      <w:rFonts w:hAnsi="宋体" w:eastAsia="黑体" w:cstheme="minorBidi"/>
      <w:szCs w:val="22"/>
    </w:rPr>
  </w:style>
  <w:style w:type="paragraph" w:customStyle="1" w:styleId="37">
    <w:name w:val="表题 + (西文) 宋体 Char Char Char Char Char Char Char"/>
    <w:basedOn w:val="9"/>
    <w:link w:val="36"/>
    <w:qFormat/>
    <w:uiPriority w:val="0"/>
    <w:pPr>
      <w:adjustRightInd w:val="0"/>
      <w:spacing w:before="120" w:after="120" w:line="320" w:lineRule="exact"/>
      <w:jc w:val="center"/>
      <w:textAlignment w:val="baseline"/>
    </w:pPr>
    <w:rPr>
      <w:rFonts w:hAnsi="宋体" w:cstheme="minorBidi"/>
      <w:szCs w:val="22"/>
    </w:rPr>
  </w:style>
  <w:style w:type="character" w:customStyle="1" w:styleId="38">
    <w:name w:val="font01"/>
    <w:basedOn w:val="24"/>
    <w:qFormat/>
    <w:uiPriority w:val="0"/>
    <w:rPr>
      <w:rFonts w:hint="eastAsia" w:ascii="宋体" w:hAnsi="宋体" w:eastAsia="宋体" w:cs="宋体"/>
      <w:color w:val="000000"/>
      <w:sz w:val="22"/>
      <w:szCs w:val="22"/>
      <w:u w:val="none"/>
    </w:rPr>
  </w:style>
  <w:style w:type="paragraph" w:customStyle="1" w:styleId="39">
    <w:name w:val="列出段落2"/>
    <w:basedOn w:val="1"/>
    <w:qFormat/>
    <w:uiPriority w:val="99"/>
    <w:pPr>
      <w:ind w:firstLine="420" w:firstLineChars="200"/>
    </w:pPr>
  </w:style>
  <w:style w:type="paragraph" w:customStyle="1" w:styleId="40">
    <w:name w:val="TOC 标题2"/>
    <w:basedOn w:val="3"/>
    <w:next w:val="1"/>
    <w:unhideWhenUsed/>
    <w:qFormat/>
    <w:uiPriority w:val="39"/>
    <w:pPr>
      <w:widowControl/>
      <w:spacing w:after="0" w:line="259" w:lineRule="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1">
    <w:name w:val="批注框文本 Char"/>
    <w:basedOn w:val="24"/>
    <w:link w:val="15"/>
    <w:semiHidden/>
    <w:qFormat/>
    <w:uiPriority w:val="99"/>
    <w:rPr>
      <w:rFonts w:ascii="Calibri" w:hAnsi="Calibri"/>
      <w:kern w:val="2"/>
      <w:sz w:val="18"/>
      <w:szCs w:val="18"/>
    </w:rPr>
  </w:style>
  <w:style w:type="paragraph" w:customStyle="1" w:styleId="42">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3">
    <w:name w:val="段 Char"/>
    <w:link w:val="35"/>
    <w:qFormat/>
    <w:uiPriority w:val="99"/>
    <w:rPr>
      <w:rFonts w:ascii="宋体"/>
      <w:sz w:val="21"/>
    </w:rPr>
  </w:style>
  <w:style w:type="character" w:customStyle="1" w:styleId="44">
    <w:name w:val="文档结构图 Char"/>
    <w:basedOn w:val="24"/>
    <w:link w:val="10"/>
    <w:semiHidden/>
    <w:qFormat/>
    <w:uiPriority w:val="99"/>
    <w:rPr>
      <w:rFonts w:ascii="宋体" w:hAnsi="Calibri"/>
      <w:kern w:val="2"/>
      <w:sz w:val="18"/>
      <w:szCs w:val="18"/>
    </w:rPr>
  </w:style>
  <w:style w:type="paragraph" w:customStyle="1" w:styleId="45">
    <w:name w:val="marklang-paragraph"/>
    <w:basedOn w:val="1"/>
    <w:qFormat/>
    <w:uiPriority w:val="0"/>
    <w:pPr>
      <w:widowControl/>
      <w:spacing w:before="100" w:beforeAutospacing="1" w:after="100" w:afterAutospacing="1" w:line="240" w:lineRule="auto"/>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D87A2-F2D6-4812-9D52-4B228576FF4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722</Words>
  <Characters>760</Characters>
  <Lines>53</Lines>
  <Paragraphs>15</Paragraphs>
  <TotalTime>0</TotalTime>
  <ScaleCrop>false</ScaleCrop>
  <LinksUpToDate>false</LinksUpToDate>
  <CharactersWithSpaces>771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2018-09-26T02:24:00Z</dcterms:created>
  <dc:creator>emmy810</dc:creator>
  <cp:lastModifiedBy>biubiubiu</cp:lastModifiedBy>
  <dcterms:modified xsi:type="dcterms:W3CDTF">2025-07-27T01:29:54Z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039F91517F4C4512AAF4795A97C7A6D4</vt:lpwstr>
  </property>
  <property fmtid="{D5CDD505-2E9C-101B-9397-08002B2CF9AE}" pid="4" name="KSOTemplateDocerSaveRecord">
    <vt:lpwstr>eyJoZGlkIjoiMDljYzUzMWQ4OWI0YzBkYjYzMDRhZTY5ZjZkYmFmYTgiLCJ1c2VySWQiOiIyNDk3NDcwNTAifQ==</vt:lpwstr>
  </property>
</Properties>
</file>