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7A56708">
      <w:pPr>
        <w:spacing w:beforeLines="200" w:line="360" w:lineRule="auto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27C40A55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昌江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供电局</w:t>
      </w:r>
    </w:p>
    <w:p w14:paraId="1930ED12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default" w:asciiTheme="minorEastAsia" w:hAnsiTheme="minorEastAsia" w:eastAsiaTheme="minorEastAsia"/>
          <w:b/>
          <w:bCs/>
          <w:sz w:val="44"/>
          <w:szCs w:val="44"/>
          <w:lang w:val="en-US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202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5电缆防窃监测终端所需材料采购</w:t>
      </w:r>
    </w:p>
    <w:p w14:paraId="378C501F">
      <w:pPr>
        <w:pStyle w:val="3"/>
        <w:spacing w:line="360" w:lineRule="auto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833902"/>
      <w:bookmarkStart w:id="1" w:name="_Toc490992882"/>
      <w:bookmarkStart w:id="2" w:name="_Toc490836987"/>
      <w:bookmarkStart w:id="3" w:name="_Toc490993881"/>
      <w:bookmarkStart w:id="4" w:name="_Toc490836508"/>
      <w:bookmarkStart w:id="5" w:name="_Toc529463209"/>
      <w:bookmarkStart w:id="6" w:name="_Toc490836196"/>
      <w:bookmarkStart w:id="7" w:name="_Toc490828342"/>
      <w:bookmarkStart w:id="8" w:name="_Toc490994883"/>
      <w:bookmarkStart w:id="9" w:name="_Toc490993917"/>
      <w:bookmarkStart w:id="10" w:name="_Toc490836685"/>
      <w:bookmarkStart w:id="11" w:name="_Toc490827275"/>
      <w:bookmarkStart w:id="12" w:name="_Toc490828824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56239A73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4938C191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0B7298F7">
      <w:pPr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昌江</w:t>
      </w:r>
      <w:r>
        <w:rPr>
          <w:rFonts w:hint="eastAsia"/>
          <w:b/>
          <w:sz w:val="30"/>
          <w:szCs w:val="30"/>
          <w:lang w:eastAsia="zh-CN"/>
        </w:rPr>
        <w:t>供电局</w:t>
      </w:r>
    </w:p>
    <w:p w14:paraId="406FCBC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七</w:t>
      </w:r>
      <w:r>
        <w:rPr>
          <w:b/>
          <w:sz w:val="30"/>
          <w:szCs w:val="30"/>
        </w:rPr>
        <w:t>月</w:t>
      </w:r>
    </w:p>
    <w:p w14:paraId="44301817">
      <w:pPr>
        <w:jc w:val="center"/>
        <w:rPr>
          <w:rFonts w:hint="default" w:eastAsia="宋体"/>
          <w:b/>
          <w:sz w:val="30"/>
          <w:szCs w:val="30"/>
          <w:lang w:val="en-US"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项目负责人：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      </w:t>
      </w:r>
      <w:r>
        <w:rPr>
          <w:rFonts w:hint="eastAsia"/>
          <w:b/>
          <w:sz w:val="30"/>
          <w:szCs w:val="30"/>
          <w:lang w:val="en-US" w:eastAsia="zh-CN"/>
        </w:rPr>
        <w:t>（签名）</w:t>
      </w:r>
    </w:p>
    <w:p w14:paraId="6A57BA0B">
      <w:pPr>
        <w:rPr>
          <w:rFonts w:hint="eastAsia"/>
        </w:rPr>
      </w:pPr>
      <w:bookmarkStart w:id="13" w:name="_Toc490993882"/>
    </w:p>
    <w:p w14:paraId="09691703">
      <w:pPr>
        <w:pStyle w:val="2"/>
        <w:rPr>
          <w:rFonts w:hint="eastAsia"/>
        </w:rPr>
      </w:pPr>
    </w:p>
    <w:p w14:paraId="76A42C6F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 w14:paraId="46F1F82A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本技术规范书适用于电缆防窃监测终端的研发项目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所需材料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4BDC19D6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1.1本技术规范书规定了电缆防窃监测终端的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所需材料的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界限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技术要求、安全要求等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 w14:paraId="5755768D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 w14:paraId="70132504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445396910"/>
      <w:bookmarkStart w:id="18" w:name="_Toc476060462"/>
      <w:bookmarkStart w:id="19" w:name="_Toc351722589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 w14:paraId="115D800A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20" w:name="_Toc291690055"/>
      <w:bookmarkStart w:id="21" w:name="_Toc351722590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本项目是研制一种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未投运电缆防窃监测终端，通过技术手段为未投运电缆提供监测保护，最大限度地解决未投运电缆被盗问题。为了支撑城市建设，近年来大量投入电力电缆线路，在线路建设完成但尚未通电投运的时间窗口，发生了多起电力电缆被盗事件，很大程度上影响了供电服务水平，也在社会上产生了诸多不良影响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本项目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通过技术手段为未投运电缆提供监测保护，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避免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未投运电缆被盗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事件的发生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09B21A64">
      <w:pPr>
        <w:pStyle w:val="3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lang w:eastAsia="zh-CN"/>
        </w:rPr>
      </w:pPr>
      <w:bookmarkStart w:id="22" w:name="_Toc445396911"/>
      <w:bookmarkStart w:id="23" w:name="_Toc476060463"/>
      <w:bookmarkStart w:id="24" w:name="_Toc529463212"/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eastAsia"/>
          <w:sz w:val="32"/>
          <w:szCs w:val="32"/>
        </w:rPr>
        <w:t>服务</w:t>
      </w:r>
      <w:bookmarkEnd w:id="20"/>
      <w:bookmarkEnd w:id="21"/>
      <w:bookmarkEnd w:id="22"/>
      <w:bookmarkEnd w:id="23"/>
      <w:bookmarkEnd w:id="24"/>
      <w:r>
        <w:rPr>
          <w:rFonts w:hint="eastAsia"/>
          <w:sz w:val="32"/>
          <w:szCs w:val="32"/>
          <w:lang w:eastAsia="zh-CN"/>
        </w:rPr>
        <w:t>要求</w:t>
      </w:r>
    </w:p>
    <w:p w14:paraId="7BA8D29E">
      <w:pPr>
        <w:pStyle w:val="45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本服务要求中标单位做好研制过程中的才材料供应和质量控制，使得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电缆防窃监测终端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符合高效精准作业、安全保障升级、成本优化测试和场景适配性测试</w:t>
      </w:r>
      <w:bookmarkStart w:id="25" w:name="_Toc529463214"/>
      <w:bookmarkStart w:id="26" w:name="_Toc490993885"/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。</w:t>
      </w:r>
    </w:p>
    <w:p w14:paraId="0AB01EBD">
      <w:pPr>
        <w:pStyle w:val="3"/>
        <w:pageBreakBefore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技术要求</w:t>
      </w:r>
      <w:bookmarkEnd w:id="25"/>
      <w:bookmarkEnd w:id="26"/>
    </w:p>
    <w:p w14:paraId="0ECAD8A3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监测终端主机物料</w:t>
      </w:r>
      <w:r>
        <w:rPr>
          <w:rFonts w:hint="eastAsia" w:asciiTheme="minorEastAsia" w:hAnsiTheme="minorEastAsia" w:eastAsiaTheme="minorEastAsia" w:cstheme="minorEastAsia"/>
          <w:sz w:val="24"/>
          <w:szCs w:val="32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支持</w:t>
      </w:r>
      <w:r>
        <w:rPr>
          <w:rFonts w:hint="eastAsia" w:asciiTheme="minorEastAsia" w:hAnsiTheme="minorEastAsia" w:eastAsiaTheme="minorEastAsia" w:cstheme="minorEastAsia"/>
          <w:sz w:val="24"/>
          <w:szCs w:val="32"/>
        </w:rPr>
        <w:t>不小于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1min/次的信号注入；</w:t>
      </w:r>
    </w:p>
    <w:p w14:paraId="1C0E605B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监测终端接收单元</w:t>
      </w:r>
      <w:r>
        <w:rPr>
          <w:rFonts w:hint="eastAsia" w:asciiTheme="minorEastAsia" w:hAnsiTheme="minorEastAsia" w:eastAsiaTheme="minorEastAsia" w:cstheme="minorEastAsia"/>
          <w:sz w:val="24"/>
          <w:szCs w:val="32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支持不小于1min/次的信号接收；</w:t>
      </w:r>
    </w:p>
    <w:p w14:paraId="02013F0F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监测终端信号中继物料：通信范围拓展≥5km；</w:t>
      </w:r>
    </w:p>
    <w:p w14:paraId="0791BF0B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移动卡等通信物料：</w:t>
      </w:r>
      <w:r>
        <w:rPr>
          <w:rFonts w:hint="eastAsia" w:ascii="宋体" w:hAnsi="宋体"/>
          <w:sz w:val="24"/>
        </w:rPr>
        <w:t>支持移动/联通/电信4G全网通；</w:t>
      </w:r>
    </w:p>
    <w:p w14:paraId="46722868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电缆、电力通信线等安装物料：满足安装使用要求。</w:t>
      </w:r>
    </w:p>
    <w:p w14:paraId="297842F6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 w14:paraId="675EFC24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电缆防窃监测终端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所需材料供应过程中，需要供应符合技术要求、质量要求的优质材料，确保最终成品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电缆防窃监测终端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的质量和安全使用</w:t>
      </w:r>
      <w:bookmarkStart w:id="27" w:name="_GoBack"/>
      <w:bookmarkEnd w:id="27"/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。</w:t>
      </w:r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F1D9E1">
    <w:pPr>
      <w:pStyle w:val="40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6E5E63">
    <w:pPr>
      <w:pStyle w:val="1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5CBF1A"/>
    <w:multiLevelType w:val="singleLevel"/>
    <w:tmpl w:val="8A5CBF1A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C603DE"/>
    <w:multiLevelType w:val="singleLevel"/>
    <w:tmpl w:val="C6C603DE"/>
    <w:lvl w:ilvl="0" w:tentative="0">
      <w:start w:val="1"/>
      <w:numFmt w:val="decimal"/>
      <w:suff w:val="nothing"/>
      <w:lvlText w:val="4.%1"/>
      <w:lvlJc w:val="left"/>
      <w:pPr>
        <w:ind w:left="0" w:firstLine="403"/>
      </w:pPr>
      <w:rPr>
        <w:rFonts w:hint="default"/>
      </w:rPr>
    </w:lvl>
  </w:abstractNum>
  <w:abstractNum w:abstractNumId="2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4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3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3175F6"/>
    <w:rsid w:val="03472883"/>
    <w:rsid w:val="035A08D4"/>
    <w:rsid w:val="043E60E5"/>
    <w:rsid w:val="044353B7"/>
    <w:rsid w:val="04445771"/>
    <w:rsid w:val="04B16F17"/>
    <w:rsid w:val="04D27709"/>
    <w:rsid w:val="08011098"/>
    <w:rsid w:val="084E378E"/>
    <w:rsid w:val="08A27553"/>
    <w:rsid w:val="09152D91"/>
    <w:rsid w:val="09657434"/>
    <w:rsid w:val="09A228DE"/>
    <w:rsid w:val="0A2B721E"/>
    <w:rsid w:val="0B2240B4"/>
    <w:rsid w:val="0BE36F7D"/>
    <w:rsid w:val="0CE1665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5813DAC"/>
    <w:rsid w:val="182E08BB"/>
    <w:rsid w:val="185537EF"/>
    <w:rsid w:val="18765555"/>
    <w:rsid w:val="18904609"/>
    <w:rsid w:val="1A4D5C8C"/>
    <w:rsid w:val="1A5A4A7F"/>
    <w:rsid w:val="1A6A5E0F"/>
    <w:rsid w:val="1A8C5B4B"/>
    <w:rsid w:val="1A9B1E8A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401C9B"/>
    <w:rsid w:val="2B7E2BE1"/>
    <w:rsid w:val="2BA532A3"/>
    <w:rsid w:val="2CAA15D4"/>
    <w:rsid w:val="2D3B59AF"/>
    <w:rsid w:val="2DC85678"/>
    <w:rsid w:val="2DF974B1"/>
    <w:rsid w:val="2E016B8B"/>
    <w:rsid w:val="2E470960"/>
    <w:rsid w:val="2FD44A0C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A43677"/>
    <w:rsid w:val="3CA462CE"/>
    <w:rsid w:val="3D5A2083"/>
    <w:rsid w:val="3E257BC1"/>
    <w:rsid w:val="3E8222C8"/>
    <w:rsid w:val="3F303F95"/>
    <w:rsid w:val="40CE3A18"/>
    <w:rsid w:val="42304E6A"/>
    <w:rsid w:val="4399424E"/>
    <w:rsid w:val="44B855DE"/>
    <w:rsid w:val="457E4C38"/>
    <w:rsid w:val="479559D1"/>
    <w:rsid w:val="479743D0"/>
    <w:rsid w:val="47FE2438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CE4E43"/>
    <w:rsid w:val="528365E6"/>
    <w:rsid w:val="53877A48"/>
    <w:rsid w:val="56360AFF"/>
    <w:rsid w:val="59303A61"/>
    <w:rsid w:val="594823FB"/>
    <w:rsid w:val="59B74569"/>
    <w:rsid w:val="59FE4F42"/>
    <w:rsid w:val="5A0F163F"/>
    <w:rsid w:val="5B6A0515"/>
    <w:rsid w:val="5BDB1617"/>
    <w:rsid w:val="5CE92A69"/>
    <w:rsid w:val="604C09F6"/>
    <w:rsid w:val="60AA45DA"/>
    <w:rsid w:val="611500E3"/>
    <w:rsid w:val="6284312B"/>
    <w:rsid w:val="63F73F4E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E067F3B"/>
    <w:rsid w:val="6E0E18EE"/>
    <w:rsid w:val="6E2340F9"/>
    <w:rsid w:val="6E6764DE"/>
    <w:rsid w:val="6FC70BF5"/>
    <w:rsid w:val="7005291A"/>
    <w:rsid w:val="70C81FA4"/>
    <w:rsid w:val="70D215D6"/>
    <w:rsid w:val="70F34F32"/>
    <w:rsid w:val="711A7F46"/>
    <w:rsid w:val="71C80221"/>
    <w:rsid w:val="73357908"/>
    <w:rsid w:val="7485672D"/>
    <w:rsid w:val="74C44169"/>
    <w:rsid w:val="76443671"/>
    <w:rsid w:val="7645082D"/>
    <w:rsid w:val="78163F80"/>
    <w:rsid w:val="7819191E"/>
    <w:rsid w:val="78A97AC0"/>
    <w:rsid w:val="79180014"/>
    <w:rsid w:val="79796385"/>
    <w:rsid w:val="7A514B74"/>
    <w:rsid w:val="7C0C2A5A"/>
    <w:rsid w:val="7D374087"/>
    <w:rsid w:val="7EA412BC"/>
    <w:rsid w:val="7F31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4">
    <w:name w:val="heading 2"/>
    <w:basedOn w:val="1"/>
    <w:next w:val="5"/>
    <w:link w:val="27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6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7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5">
    <w:name w:val="Normal Indent"/>
    <w:basedOn w:val="1"/>
    <w:qFormat/>
    <w:locked/>
    <w:uiPriority w:val="0"/>
    <w:pPr>
      <w:ind w:firstLine="420" w:firstLineChars="200"/>
    </w:pPr>
  </w:style>
  <w:style w:type="paragraph" w:styleId="8">
    <w:name w:val="toc 7"/>
    <w:basedOn w:val="1"/>
    <w:next w:val="1"/>
    <w:qFormat/>
    <w:uiPriority w:val="39"/>
    <w:pPr>
      <w:ind w:left="2520" w:leftChars="1200"/>
    </w:pPr>
  </w:style>
  <w:style w:type="paragraph" w:styleId="9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10">
    <w:name w:val="Document Map"/>
    <w:basedOn w:val="1"/>
    <w:link w:val="44"/>
    <w:unhideWhenUsed/>
    <w:qFormat/>
    <w:locked/>
    <w:uiPriority w:val="99"/>
    <w:rPr>
      <w:rFonts w:ascii="宋体"/>
      <w:sz w:val="18"/>
      <w:szCs w:val="18"/>
    </w:rPr>
  </w:style>
  <w:style w:type="paragraph" w:styleId="11">
    <w:name w:val="toc 5"/>
    <w:basedOn w:val="1"/>
    <w:next w:val="1"/>
    <w:qFormat/>
    <w:uiPriority w:val="39"/>
    <w:pPr>
      <w:ind w:left="1680" w:leftChars="800"/>
    </w:pPr>
  </w:style>
  <w:style w:type="paragraph" w:styleId="12">
    <w:name w:val="toc 3"/>
    <w:basedOn w:val="1"/>
    <w:next w:val="1"/>
    <w:qFormat/>
    <w:uiPriority w:val="39"/>
    <w:pPr>
      <w:ind w:left="840" w:leftChars="400"/>
    </w:pPr>
  </w:style>
  <w:style w:type="paragraph" w:styleId="13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4">
    <w:name w:val="toc 8"/>
    <w:basedOn w:val="1"/>
    <w:next w:val="1"/>
    <w:qFormat/>
    <w:uiPriority w:val="39"/>
    <w:pPr>
      <w:ind w:left="2940" w:leftChars="1400"/>
    </w:pPr>
  </w:style>
  <w:style w:type="paragraph" w:styleId="15">
    <w:name w:val="Balloon Text"/>
    <w:basedOn w:val="1"/>
    <w:link w:val="41"/>
    <w:unhideWhenUsed/>
    <w:qFormat/>
    <w:locked/>
    <w:uiPriority w:val="99"/>
    <w:rPr>
      <w:sz w:val="18"/>
      <w:szCs w:val="18"/>
    </w:rPr>
  </w:style>
  <w:style w:type="paragraph" w:styleId="16">
    <w:name w:val="footer"/>
    <w:basedOn w:val="1"/>
    <w:link w:val="28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7">
    <w:name w:val="header"/>
    <w:basedOn w:val="1"/>
    <w:link w:val="29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8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19">
    <w:name w:val="toc 4"/>
    <w:basedOn w:val="1"/>
    <w:next w:val="1"/>
    <w:qFormat/>
    <w:uiPriority w:val="39"/>
    <w:pPr>
      <w:ind w:left="1260" w:leftChars="600"/>
    </w:pPr>
  </w:style>
  <w:style w:type="paragraph" w:styleId="20">
    <w:name w:val="toc 6"/>
    <w:basedOn w:val="1"/>
    <w:next w:val="1"/>
    <w:qFormat/>
    <w:uiPriority w:val="39"/>
    <w:pPr>
      <w:ind w:left="2100" w:leftChars="1000"/>
    </w:pPr>
  </w:style>
  <w:style w:type="paragraph" w:styleId="21">
    <w:name w:val="toc 9"/>
    <w:basedOn w:val="1"/>
    <w:next w:val="1"/>
    <w:qFormat/>
    <w:uiPriority w:val="39"/>
    <w:pPr>
      <w:ind w:left="3360" w:leftChars="1600"/>
    </w:pPr>
  </w:style>
  <w:style w:type="table" w:styleId="23">
    <w:name w:val="Table Grid"/>
    <w:basedOn w:val="22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5">
    <w:name w:val="page number"/>
    <w:basedOn w:val="24"/>
    <w:qFormat/>
    <w:locked/>
    <w:uiPriority w:val="0"/>
  </w:style>
  <w:style w:type="character" w:styleId="26">
    <w:name w:val="Hyperlink"/>
    <w:basedOn w:val="24"/>
    <w:unhideWhenUsed/>
    <w:qFormat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7">
    <w:name w:val="标题 2 Char"/>
    <w:link w:val="4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28">
    <w:name w:val="页脚 Char"/>
    <w:link w:val="16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29">
    <w:name w:val="页眉 Char"/>
    <w:link w:val="17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0">
    <w:name w:val="TOC 标题1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32"/>
      <w:szCs w:val="32"/>
    </w:rPr>
  </w:style>
  <w:style w:type="paragraph" w:customStyle="1" w:styleId="31">
    <w:name w:val="列出段落1"/>
    <w:basedOn w:val="1"/>
    <w:qFormat/>
    <w:uiPriority w:val="34"/>
    <w:pPr>
      <w:ind w:firstLine="420" w:firstLineChars="200"/>
    </w:p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3">
    <w:name w:val="一级条标题"/>
    <w:basedOn w:val="34"/>
    <w:next w:val="35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4">
    <w:name w:val="章标题"/>
    <w:next w:val="35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5">
    <w:name w:val="段"/>
    <w:link w:val="43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6">
    <w:name w:val="表题 + (西文) 宋体 Char Char Char Char Char Char Char Char"/>
    <w:link w:val="37"/>
    <w:qFormat/>
    <w:uiPriority w:val="0"/>
    <w:rPr>
      <w:rFonts w:hAnsi="宋体" w:eastAsia="黑体" w:cstheme="minorBidi"/>
      <w:szCs w:val="22"/>
    </w:rPr>
  </w:style>
  <w:style w:type="paragraph" w:customStyle="1" w:styleId="37">
    <w:name w:val="表题 + (西文) 宋体 Char Char Char Char Char Char Char"/>
    <w:basedOn w:val="9"/>
    <w:link w:val="36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38">
    <w:name w:val="font0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39">
    <w:name w:val="列出段落2"/>
    <w:basedOn w:val="1"/>
    <w:qFormat/>
    <w:uiPriority w:val="99"/>
    <w:pPr>
      <w:ind w:firstLine="420" w:firstLineChars="200"/>
    </w:pPr>
  </w:style>
  <w:style w:type="paragraph" w:customStyle="1" w:styleId="40">
    <w:name w:val="TOC 标题2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76092" w:themeColor="accent1" w:themeShade="BF"/>
      <w:kern w:val="0"/>
      <w:sz w:val="32"/>
      <w:szCs w:val="32"/>
    </w:rPr>
  </w:style>
  <w:style w:type="character" w:customStyle="1" w:styleId="41">
    <w:name w:val="批注框文本 Char"/>
    <w:basedOn w:val="24"/>
    <w:link w:val="15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2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3">
    <w:name w:val="段 Char"/>
    <w:link w:val="35"/>
    <w:qFormat/>
    <w:uiPriority w:val="99"/>
    <w:rPr>
      <w:rFonts w:ascii="宋体"/>
      <w:sz w:val="21"/>
    </w:rPr>
  </w:style>
  <w:style w:type="character" w:customStyle="1" w:styleId="44">
    <w:name w:val="文档结构图 Char"/>
    <w:basedOn w:val="24"/>
    <w:link w:val="10"/>
    <w:semiHidden/>
    <w:qFormat/>
    <w:uiPriority w:val="99"/>
    <w:rPr>
      <w:rFonts w:ascii="宋体" w:hAnsi="Calibri"/>
      <w:kern w:val="2"/>
      <w:sz w:val="18"/>
      <w:szCs w:val="18"/>
    </w:rPr>
  </w:style>
  <w:style w:type="paragraph" w:customStyle="1" w:styleId="45">
    <w:name w:val="marklang-paragraph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D87A2-F2D6-4812-9D52-4B228576FF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713</Words>
  <Characters>738</Characters>
  <Lines>53</Lines>
  <Paragraphs>15</Paragraphs>
  <TotalTime>0</TotalTime>
  <ScaleCrop>false</ScaleCrop>
  <LinksUpToDate>false</LinksUpToDate>
  <CharactersWithSpaces>748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2018-09-26T02:24:00Z</dcterms:created>
  <dc:creator>emmy810</dc:creator>
  <cp:lastModifiedBy>biubiubiu</cp:lastModifiedBy>
  <dcterms:modified xsi:type="dcterms:W3CDTF">2025-07-27T05:36:59Z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039F91517F4C4512AAF4795A97C7A6D4</vt:lpwstr>
  </property>
  <property fmtid="{D5CDD505-2E9C-101B-9397-08002B2CF9AE}" pid="4" name="KSOTemplateDocerSaveRecord">
    <vt:lpwstr>eyJoZGlkIjoiMDljYzUzMWQ4OWI0YzBkYjYzMDRhZTY5ZjZkYmFmYTgiLCJ1c2VySWQiOiIyNDk3NDcwNTAifQ==</vt:lpwstr>
  </property>
</Properties>
</file>