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3DBD0D">
      <w:r>
        <w:drawing>
          <wp:anchor distT="0" distB="0" distL="114300" distR="114300" simplePos="0" relativeHeight="251659264" behindDoc="1" locked="0" layoutInCell="1" allowOverlap="1">
            <wp:simplePos x="0" y="0"/>
            <wp:positionH relativeFrom="column">
              <wp:posOffset>-1104900</wp:posOffset>
            </wp:positionH>
            <wp:positionV relativeFrom="paragraph">
              <wp:posOffset>-1028065</wp:posOffset>
            </wp:positionV>
            <wp:extent cx="7581900" cy="2426970"/>
            <wp:effectExtent l="0" t="0" r="0" b="11430"/>
            <wp:wrapTight wrapText="bothSides">
              <wp:wrapPolygon>
                <wp:start x="0" y="0"/>
                <wp:lineTo x="0" y="21363"/>
                <wp:lineTo x="21546" y="21363"/>
                <wp:lineTo x="21546" y="0"/>
                <wp:lineTo x="0" y="0"/>
              </wp:wrapPolygon>
            </wp:wrapTight>
            <wp:docPr id="1" name="Picture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模板-3"/>
                    <pic:cNvPicPr>
                      <a:picLocks noChangeAspect="1"/>
                    </pic:cNvPicPr>
                  </pic:nvPicPr>
                  <pic:blipFill>
                    <a:blip r:embed="rId5"/>
                    <a:stretch>
                      <a:fillRect/>
                    </a:stretch>
                  </pic:blipFill>
                  <pic:spPr>
                    <a:xfrm>
                      <a:off x="0" y="0"/>
                      <a:ext cx="7581900" cy="2426970"/>
                    </a:xfrm>
                    <a:prstGeom prst="rect">
                      <a:avLst/>
                    </a:prstGeom>
                    <a:noFill/>
                    <a:ln>
                      <a:noFill/>
                    </a:ln>
                  </pic:spPr>
                </pic:pic>
              </a:graphicData>
            </a:graphic>
          </wp:anchor>
        </w:drawing>
      </w:r>
    </w:p>
    <w:p w14:paraId="6D28A0A0">
      <w:pPr>
        <w:jc w:val="center"/>
      </w:pPr>
    </w:p>
    <w:p w14:paraId="1625C9E2">
      <w:pPr>
        <w:jc w:val="center"/>
      </w:pPr>
    </w:p>
    <w:p w14:paraId="6AB42807">
      <w:pPr>
        <w:jc w:val="center"/>
      </w:pPr>
    </w:p>
    <w:p w14:paraId="1F94FE4C">
      <w:pPr>
        <w:jc w:val="center"/>
        <w:rPr>
          <w:b/>
          <w:bCs/>
          <w:sz w:val="48"/>
          <w:szCs w:val="48"/>
        </w:rPr>
      </w:pPr>
    </w:p>
    <w:p w14:paraId="3ED35894">
      <w:pPr>
        <w:spacing w:line="360" w:lineRule="auto"/>
        <w:jc w:val="center"/>
        <w:rPr>
          <w:rFonts w:hint="eastAsia"/>
          <w:b/>
          <w:bCs/>
          <w:sz w:val="52"/>
          <w:szCs w:val="52"/>
          <w:lang w:val="en-US" w:eastAsia="zh-CN"/>
        </w:rPr>
      </w:pPr>
      <w:r>
        <w:rPr>
          <w:rFonts w:hint="eastAsia"/>
          <w:b/>
          <w:bCs/>
          <w:sz w:val="52"/>
          <w:szCs w:val="52"/>
          <w:lang w:val="en-US" w:eastAsia="zh-CN"/>
        </w:rPr>
        <w:t>凯里供电局110kV施洞变、东坡变电子式互感器采集卡</w:t>
      </w:r>
    </w:p>
    <w:p w14:paraId="053B9966">
      <w:pPr>
        <w:spacing w:line="360" w:lineRule="auto"/>
        <w:jc w:val="center"/>
        <w:rPr>
          <w:b/>
          <w:bCs/>
          <w:sz w:val="52"/>
          <w:szCs w:val="52"/>
        </w:rPr>
      </w:pPr>
      <w:r>
        <w:rPr>
          <w:rFonts w:hint="eastAsia"/>
          <w:b/>
          <w:bCs/>
          <w:sz w:val="52"/>
          <w:szCs w:val="52"/>
          <w:lang w:val="en-US" w:eastAsia="zh-CN"/>
        </w:rPr>
        <w:t>技术</w:t>
      </w:r>
      <w:r>
        <w:rPr>
          <w:rFonts w:hint="eastAsia"/>
          <w:b/>
          <w:bCs/>
          <w:sz w:val="52"/>
          <w:szCs w:val="52"/>
        </w:rPr>
        <w:t>协议</w:t>
      </w:r>
    </w:p>
    <w:p w14:paraId="69CC3986">
      <w:pPr>
        <w:spacing w:line="360" w:lineRule="auto"/>
        <w:jc w:val="center"/>
        <w:rPr>
          <w:rFonts w:eastAsia="黑体"/>
          <w:b/>
          <w:bCs/>
          <w:sz w:val="32"/>
          <w:szCs w:val="32"/>
        </w:rPr>
      </w:pPr>
    </w:p>
    <w:p w14:paraId="489268C4">
      <w:pPr>
        <w:spacing w:line="360" w:lineRule="auto"/>
        <w:jc w:val="center"/>
        <w:rPr>
          <w:rFonts w:eastAsia="黑体"/>
          <w:b/>
          <w:bCs/>
          <w:sz w:val="32"/>
          <w:szCs w:val="32"/>
        </w:rPr>
      </w:pPr>
    </w:p>
    <w:p w14:paraId="44A862FF">
      <w:pPr>
        <w:spacing w:line="360" w:lineRule="auto"/>
        <w:jc w:val="center"/>
        <w:rPr>
          <w:rFonts w:eastAsia="黑体"/>
          <w:b/>
          <w:bCs/>
          <w:sz w:val="32"/>
          <w:szCs w:val="32"/>
        </w:rPr>
      </w:pPr>
    </w:p>
    <w:p w14:paraId="55E713D8">
      <w:pPr>
        <w:spacing w:line="360" w:lineRule="auto"/>
        <w:jc w:val="center"/>
        <w:rPr>
          <w:rFonts w:eastAsia="黑体"/>
          <w:b/>
          <w:bCs/>
          <w:sz w:val="32"/>
          <w:szCs w:val="32"/>
        </w:rPr>
      </w:pPr>
    </w:p>
    <w:p w14:paraId="596B36BD">
      <w:pPr>
        <w:spacing w:line="360" w:lineRule="auto"/>
        <w:jc w:val="center"/>
        <w:rPr>
          <w:rFonts w:eastAsia="黑体"/>
          <w:b/>
          <w:bCs/>
          <w:sz w:val="32"/>
          <w:szCs w:val="32"/>
        </w:rPr>
      </w:pPr>
    </w:p>
    <w:p w14:paraId="60E291CB">
      <w:pPr>
        <w:spacing w:line="360" w:lineRule="auto"/>
        <w:jc w:val="both"/>
        <w:rPr>
          <w:rFonts w:eastAsia="仿宋_GB2312"/>
          <w:b/>
          <w:sz w:val="44"/>
          <w:szCs w:val="44"/>
        </w:rPr>
      </w:pPr>
    </w:p>
    <w:p w14:paraId="74262340">
      <w:pPr>
        <w:spacing w:line="360" w:lineRule="auto"/>
        <w:jc w:val="center"/>
        <w:rPr>
          <w:rFonts w:hint="eastAsia"/>
          <w:b/>
          <w:bCs/>
          <w:sz w:val="44"/>
          <w:szCs w:val="44"/>
          <w:lang w:val="en-US" w:eastAsia="zh-CN"/>
        </w:rPr>
      </w:pPr>
      <w:r>
        <w:rPr>
          <w:rFonts w:hint="eastAsia"/>
          <w:b/>
          <w:bCs/>
          <w:sz w:val="44"/>
          <w:szCs w:val="44"/>
          <w:lang w:val="en-US" w:eastAsia="zh-CN"/>
        </w:rPr>
        <w:t>贵州电网有限责任公司凯里供电局</w:t>
      </w:r>
    </w:p>
    <w:p w14:paraId="08E18DD6">
      <w:pPr>
        <w:spacing w:line="360" w:lineRule="auto"/>
        <w:jc w:val="center"/>
        <w:rPr>
          <w:b/>
          <w:bCs/>
          <w:sz w:val="44"/>
          <w:szCs w:val="44"/>
        </w:rPr>
      </w:pPr>
      <w:r>
        <w:rPr>
          <w:rFonts w:hint="eastAsia"/>
          <w:b/>
          <w:bCs/>
          <w:sz w:val="44"/>
          <w:szCs w:val="44"/>
          <w:lang w:val="en-US" w:eastAsia="zh-CN"/>
        </w:rPr>
        <w:t>2025</w:t>
      </w:r>
      <w:r>
        <w:rPr>
          <w:b/>
          <w:bCs/>
          <w:sz w:val="44"/>
          <w:szCs w:val="44"/>
        </w:rPr>
        <w:t>年</w:t>
      </w:r>
      <w:r>
        <w:rPr>
          <w:rFonts w:hint="eastAsia"/>
          <w:b/>
          <w:bCs/>
          <w:sz w:val="44"/>
          <w:szCs w:val="44"/>
          <w:lang w:val="en-US" w:eastAsia="zh-CN"/>
        </w:rPr>
        <w:t>7</w:t>
      </w:r>
      <w:r>
        <w:rPr>
          <w:b/>
          <w:bCs/>
          <w:sz w:val="44"/>
          <w:szCs w:val="44"/>
        </w:rPr>
        <w:t>月</w:t>
      </w:r>
    </w:p>
    <w:p w14:paraId="12863E3A">
      <w:pPr>
        <w:snapToGrid w:val="0"/>
        <w:spacing w:line="360" w:lineRule="auto"/>
        <w:jc w:val="center"/>
        <w:rPr>
          <w:rFonts w:ascii="宋体"/>
          <w:color w:val="000000"/>
          <w:szCs w:val="21"/>
        </w:rPr>
      </w:pPr>
      <w:r>
        <w:rPr>
          <w:sz w:val="44"/>
          <w:szCs w:val="44"/>
        </w:rPr>
        <w:br w:type="page"/>
      </w:r>
    </w:p>
    <w:p w14:paraId="56790C99">
      <w:pPr>
        <w:spacing w:line="360" w:lineRule="auto"/>
        <w:jc w:val="center"/>
      </w:pPr>
      <w:r>
        <w:rPr>
          <w:rFonts w:hint="eastAsia" w:ascii="黑体" w:eastAsia="黑体"/>
          <w:sz w:val="36"/>
          <w:szCs w:val="36"/>
        </w:rPr>
        <w:t>目  录</w:t>
      </w:r>
    </w:p>
    <w:p w14:paraId="17769C32">
      <w:pPr>
        <w:pStyle w:val="12"/>
        <w:tabs>
          <w:tab w:val="right" w:leader="dot" w:pos="9354"/>
          <w:tab w:val="clear" w:pos="540"/>
          <w:tab w:val="clear" w:pos="8371"/>
        </w:tabs>
        <w:spacing w:line="480" w:lineRule="auto"/>
        <w:rPr>
          <w:b w:val="0"/>
          <w:bCs/>
          <w:sz w:val="24"/>
          <w:szCs w:val="24"/>
        </w:rPr>
      </w:pPr>
      <w:r>
        <w:rPr>
          <w:rFonts w:hint="eastAsia" w:ascii="宋体" w:hAnsi="宋体" w:cs="宋体"/>
          <w:b w:val="0"/>
          <w:bCs/>
          <w:sz w:val="24"/>
          <w:szCs w:val="24"/>
          <w:lang w:eastAsia="zh-CN"/>
        </w:rPr>
        <w:fldChar w:fldCharType="begin"/>
      </w:r>
      <w:r>
        <w:rPr>
          <w:rFonts w:hint="eastAsia" w:ascii="宋体" w:hAnsi="宋体" w:cs="宋体"/>
          <w:b w:val="0"/>
          <w:bCs/>
          <w:sz w:val="24"/>
          <w:szCs w:val="24"/>
          <w:lang w:eastAsia="zh-CN"/>
        </w:rPr>
        <w:instrText xml:space="preserve"> TOC \o "1-3" \h \z \u </w:instrText>
      </w:r>
      <w:r>
        <w:rPr>
          <w:rFonts w:hint="eastAsia" w:ascii="宋体" w:hAnsi="宋体" w:cs="宋体"/>
          <w:b w:val="0"/>
          <w:bCs/>
          <w:sz w:val="24"/>
          <w:szCs w:val="24"/>
          <w:lang w:eastAsia="zh-CN"/>
        </w:rPr>
        <w:fldChar w:fldCharType="separate"/>
      </w:r>
      <w:r>
        <w:rPr>
          <w:rFonts w:hint="eastAsia" w:ascii="宋体" w:hAnsi="宋体" w:cs="宋体"/>
          <w:b w:val="0"/>
          <w:bCs/>
          <w:sz w:val="24"/>
          <w:szCs w:val="24"/>
          <w:lang w:eastAsia="zh-CN"/>
        </w:rPr>
        <w:fldChar w:fldCharType="begin"/>
      </w:r>
      <w:r>
        <w:rPr>
          <w:rFonts w:hint="eastAsia" w:ascii="宋体" w:hAnsi="宋体" w:cs="宋体"/>
          <w:b w:val="0"/>
          <w:bCs/>
          <w:sz w:val="24"/>
          <w:szCs w:val="24"/>
          <w:lang w:eastAsia="zh-CN"/>
        </w:rPr>
        <w:instrText xml:space="preserve"> HYPERLINK \l _Toc21145 </w:instrText>
      </w:r>
      <w:r>
        <w:rPr>
          <w:rFonts w:hint="eastAsia" w:ascii="宋体" w:hAnsi="宋体" w:cs="宋体"/>
          <w:b w:val="0"/>
          <w:bCs/>
          <w:sz w:val="24"/>
          <w:szCs w:val="24"/>
          <w:lang w:eastAsia="zh-CN"/>
        </w:rPr>
        <w:fldChar w:fldCharType="separate"/>
      </w:r>
      <w:r>
        <w:rPr>
          <w:rFonts w:hint="eastAsia" w:ascii="黑体" w:hAnsi="黑体" w:eastAsia="黑体"/>
          <w:b w:val="0"/>
          <w:bCs/>
          <w:sz w:val="24"/>
          <w:szCs w:val="24"/>
          <w:lang w:val="en-US" w:eastAsia="zh-CN"/>
        </w:rPr>
        <w:t>1 总则</w:t>
      </w:r>
      <w:r>
        <w:rPr>
          <w:b w:val="0"/>
          <w:bCs/>
          <w:sz w:val="24"/>
          <w:szCs w:val="24"/>
        </w:rPr>
        <w:tab/>
      </w:r>
      <w:r>
        <w:rPr>
          <w:b w:val="0"/>
          <w:bCs/>
          <w:sz w:val="24"/>
          <w:szCs w:val="24"/>
        </w:rPr>
        <w:fldChar w:fldCharType="begin"/>
      </w:r>
      <w:r>
        <w:rPr>
          <w:b w:val="0"/>
          <w:bCs/>
          <w:sz w:val="24"/>
          <w:szCs w:val="24"/>
        </w:rPr>
        <w:instrText xml:space="preserve"> PAGEREF _Toc21145 \h </w:instrText>
      </w:r>
      <w:r>
        <w:rPr>
          <w:b w:val="0"/>
          <w:bCs/>
          <w:sz w:val="24"/>
          <w:szCs w:val="24"/>
        </w:rPr>
        <w:fldChar w:fldCharType="separate"/>
      </w:r>
      <w:r>
        <w:rPr>
          <w:b w:val="0"/>
          <w:bCs/>
          <w:sz w:val="24"/>
          <w:szCs w:val="24"/>
        </w:rPr>
        <w:t>- 1 -</w:t>
      </w:r>
      <w:r>
        <w:rPr>
          <w:b w:val="0"/>
          <w:bCs/>
          <w:sz w:val="24"/>
          <w:szCs w:val="24"/>
        </w:rPr>
        <w:fldChar w:fldCharType="end"/>
      </w:r>
      <w:r>
        <w:rPr>
          <w:rFonts w:hint="eastAsia" w:ascii="宋体" w:hAnsi="宋体" w:cs="宋体"/>
          <w:b w:val="0"/>
          <w:bCs/>
          <w:sz w:val="24"/>
          <w:szCs w:val="24"/>
          <w:lang w:eastAsia="zh-CN"/>
        </w:rPr>
        <w:fldChar w:fldCharType="end"/>
      </w:r>
    </w:p>
    <w:p w14:paraId="1DCD0220">
      <w:pPr>
        <w:pStyle w:val="12"/>
        <w:tabs>
          <w:tab w:val="right" w:leader="dot" w:pos="9354"/>
          <w:tab w:val="clear" w:pos="540"/>
          <w:tab w:val="clear" w:pos="8371"/>
        </w:tabs>
        <w:spacing w:line="480" w:lineRule="auto"/>
        <w:rPr>
          <w:rFonts w:hint="eastAsia" w:ascii="宋体" w:hAnsi="宋体" w:cs="宋体"/>
          <w:b w:val="0"/>
          <w:bCs/>
          <w:sz w:val="24"/>
          <w:szCs w:val="24"/>
        </w:rPr>
      </w:pPr>
      <w:r>
        <w:rPr>
          <w:rFonts w:hint="eastAsia" w:ascii="宋体" w:hAnsi="宋体" w:cs="宋体"/>
          <w:b w:val="0"/>
          <w:bCs/>
          <w:sz w:val="24"/>
          <w:szCs w:val="24"/>
        </w:rPr>
        <w:fldChar w:fldCharType="begin"/>
      </w:r>
      <w:r>
        <w:rPr>
          <w:rFonts w:hint="eastAsia" w:ascii="宋体" w:hAnsi="宋体" w:cs="宋体"/>
          <w:b w:val="0"/>
          <w:bCs/>
          <w:sz w:val="24"/>
          <w:szCs w:val="24"/>
        </w:rPr>
        <w:instrText xml:space="preserve"> HYPERLINK \l _Toc21108 </w:instrText>
      </w:r>
      <w:r>
        <w:rPr>
          <w:rFonts w:hint="eastAsia" w:ascii="宋体" w:hAnsi="宋体" w:cs="宋体"/>
          <w:b w:val="0"/>
          <w:bCs/>
          <w:sz w:val="24"/>
          <w:szCs w:val="24"/>
        </w:rPr>
        <w:fldChar w:fldCharType="separate"/>
      </w:r>
      <w:r>
        <w:rPr>
          <w:rFonts w:hint="eastAsia" w:ascii="黑体" w:hAnsi="黑体" w:eastAsia="黑体"/>
          <w:b w:val="0"/>
          <w:bCs/>
          <w:sz w:val="24"/>
          <w:szCs w:val="24"/>
          <w:lang w:val="en-US" w:eastAsia="zh-CN"/>
        </w:rPr>
        <w:t xml:space="preserve">2 </w:t>
      </w:r>
      <w:r>
        <w:rPr>
          <w:rFonts w:hint="eastAsia" w:ascii="黑体" w:hAnsi="黑体" w:eastAsia="黑体" w:cs="Times New Roman"/>
          <w:b w:val="0"/>
          <w:bCs/>
          <w:sz w:val="24"/>
          <w:szCs w:val="24"/>
          <w:lang w:val="en-US" w:eastAsia="zh-CN"/>
        </w:rPr>
        <w:t>技术要求</w:t>
      </w:r>
      <w:r>
        <w:rPr>
          <w:b w:val="0"/>
          <w:bCs/>
          <w:sz w:val="24"/>
          <w:szCs w:val="24"/>
        </w:rPr>
        <w:tab/>
      </w:r>
      <w:r>
        <w:rPr>
          <w:rFonts w:hint="eastAsia"/>
          <w:b w:val="0"/>
          <w:bCs/>
          <w:sz w:val="24"/>
          <w:szCs w:val="24"/>
          <w:lang w:val="en-US" w:eastAsia="zh-CN"/>
        </w:rPr>
        <w:t>2</w:t>
      </w:r>
      <w:r>
        <w:rPr>
          <w:rFonts w:hint="eastAsia" w:ascii="宋体" w:hAnsi="宋体" w:cs="宋体"/>
          <w:b w:val="0"/>
          <w:bCs/>
          <w:sz w:val="24"/>
          <w:szCs w:val="24"/>
        </w:rPr>
        <w:fldChar w:fldCharType="end"/>
      </w:r>
    </w:p>
    <w:p w14:paraId="095845BE">
      <w:pPr>
        <w:pStyle w:val="12"/>
        <w:tabs>
          <w:tab w:val="right" w:leader="dot" w:pos="9354"/>
          <w:tab w:val="clear" w:pos="540"/>
          <w:tab w:val="clear" w:pos="8371"/>
        </w:tabs>
        <w:spacing w:line="480" w:lineRule="auto"/>
        <w:rPr>
          <w:rFonts w:hint="eastAsia" w:ascii="黑体" w:hAnsi="黑体" w:eastAsia="黑体" w:cs="Times New Roman"/>
          <w:b w:val="0"/>
          <w:bCs/>
          <w:sz w:val="24"/>
          <w:szCs w:val="24"/>
          <w:lang w:val="en-US" w:eastAsia="zh-CN"/>
        </w:rPr>
      </w:pPr>
      <w:r>
        <w:rPr>
          <w:rFonts w:hint="eastAsia" w:ascii="黑体" w:hAnsi="黑体" w:eastAsia="黑体" w:cs="Times New Roman"/>
          <w:b w:val="0"/>
          <w:bCs/>
          <w:sz w:val="24"/>
          <w:szCs w:val="24"/>
          <w:lang w:val="en-US" w:eastAsia="zh-CN"/>
        </w:rPr>
        <w:fldChar w:fldCharType="begin"/>
      </w:r>
      <w:r>
        <w:rPr>
          <w:rFonts w:hint="eastAsia" w:ascii="黑体" w:hAnsi="黑体" w:eastAsia="黑体" w:cs="Times New Roman"/>
          <w:b w:val="0"/>
          <w:bCs/>
          <w:sz w:val="24"/>
          <w:szCs w:val="24"/>
          <w:lang w:val="en-US" w:eastAsia="zh-CN"/>
        </w:rPr>
        <w:instrText xml:space="preserve"> HYPERLINK \l _Toc21108 </w:instrText>
      </w:r>
      <w:r>
        <w:rPr>
          <w:rFonts w:hint="eastAsia" w:ascii="黑体" w:hAnsi="黑体" w:eastAsia="黑体" w:cs="Times New Roman"/>
          <w:b w:val="0"/>
          <w:bCs/>
          <w:sz w:val="24"/>
          <w:szCs w:val="24"/>
          <w:lang w:val="en-US" w:eastAsia="zh-CN"/>
        </w:rPr>
        <w:fldChar w:fldCharType="separate"/>
      </w:r>
      <w:r>
        <w:rPr>
          <w:rFonts w:hint="eastAsia" w:ascii="黑体" w:hAnsi="黑体" w:eastAsia="黑体" w:cs="Times New Roman"/>
          <w:b w:val="0"/>
          <w:bCs/>
          <w:sz w:val="24"/>
          <w:szCs w:val="24"/>
          <w:lang w:val="en-US" w:eastAsia="zh-CN"/>
        </w:rPr>
        <w:t>3 主要供货范围</w:t>
      </w:r>
      <w:r>
        <w:rPr>
          <w:rFonts w:hint="eastAsia" w:ascii="黑体" w:hAnsi="黑体" w:eastAsia="黑体" w:cs="Times New Roman"/>
          <w:b w:val="0"/>
          <w:bCs/>
          <w:sz w:val="24"/>
          <w:szCs w:val="24"/>
          <w:lang w:val="en-US" w:eastAsia="zh-CN"/>
        </w:rPr>
        <w:tab/>
      </w:r>
      <w:r>
        <w:rPr>
          <w:rFonts w:hint="eastAsia" w:ascii="黑体" w:hAnsi="黑体" w:eastAsia="黑体" w:cs="Times New Roman"/>
          <w:b w:val="0"/>
          <w:bCs/>
          <w:sz w:val="24"/>
          <w:szCs w:val="24"/>
          <w:lang w:val="en-US" w:eastAsia="zh-CN"/>
        </w:rPr>
        <w:t>2</w:t>
      </w:r>
      <w:r>
        <w:rPr>
          <w:rFonts w:hint="eastAsia" w:ascii="黑体" w:hAnsi="黑体" w:eastAsia="黑体" w:cs="Times New Roman"/>
          <w:b w:val="0"/>
          <w:bCs/>
          <w:sz w:val="24"/>
          <w:szCs w:val="24"/>
          <w:lang w:val="en-US" w:eastAsia="zh-CN"/>
        </w:rPr>
        <w:fldChar w:fldCharType="end"/>
      </w:r>
    </w:p>
    <w:p w14:paraId="05AB54FC">
      <w:pPr>
        <w:pStyle w:val="12"/>
        <w:tabs>
          <w:tab w:val="right" w:leader="dot" w:pos="9354"/>
          <w:tab w:val="clear" w:pos="540"/>
          <w:tab w:val="clear" w:pos="8371"/>
        </w:tabs>
        <w:spacing w:line="480" w:lineRule="auto"/>
        <w:rPr>
          <w:rFonts w:hint="eastAsia" w:ascii="黑体" w:hAnsi="黑体" w:eastAsia="黑体" w:cs="Times New Roman"/>
          <w:b w:val="0"/>
          <w:bCs/>
          <w:sz w:val="24"/>
          <w:szCs w:val="24"/>
          <w:lang w:val="en-US" w:eastAsia="zh-CN"/>
        </w:rPr>
      </w:pPr>
      <w:r>
        <w:rPr>
          <w:rFonts w:hint="eastAsia" w:ascii="宋体" w:hAnsi="宋体" w:cs="宋体"/>
          <w:b w:val="0"/>
          <w:bCs/>
          <w:sz w:val="24"/>
          <w:szCs w:val="24"/>
        </w:rPr>
        <w:fldChar w:fldCharType="end"/>
      </w:r>
      <w:r>
        <w:rPr>
          <w:rFonts w:hint="eastAsia" w:ascii="黑体" w:hAnsi="黑体" w:eastAsia="黑体" w:cs="Times New Roman"/>
          <w:b w:val="0"/>
          <w:bCs/>
          <w:sz w:val="24"/>
          <w:szCs w:val="24"/>
          <w:lang w:val="en-US" w:eastAsia="zh-CN"/>
        </w:rPr>
        <w:fldChar w:fldCharType="begin"/>
      </w:r>
      <w:r>
        <w:rPr>
          <w:rFonts w:hint="eastAsia" w:ascii="黑体" w:hAnsi="黑体" w:eastAsia="黑体" w:cs="Times New Roman"/>
          <w:b w:val="0"/>
          <w:bCs/>
          <w:sz w:val="24"/>
          <w:szCs w:val="24"/>
          <w:lang w:val="en-US" w:eastAsia="zh-CN"/>
        </w:rPr>
        <w:instrText xml:space="preserve"> HYPERLINK \l _Toc12833 </w:instrText>
      </w:r>
      <w:r>
        <w:rPr>
          <w:rFonts w:hint="eastAsia" w:ascii="黑体" w:hAnsi="黑体" w:eastAsia="黑体" w:cs="Times New Roman"/>
          <w:b w:val="0"/>
          <w:bCs/>
          <w:sz w:val="24"/>
          <w:szCs w:val="24"/>
          <w:lang w:val="en-US" w:eastAsia="zh-CN"/>
        </w:rPr>
        <w:fldChar w:fldCharType="separate"/>
      </w:r>
      <w:r>
        <w:rPr>
          <w:rFonts w:hint="eastAsia" w:ascii="黑体" w:hAnsi="黑体" w:eastAsia="黑体" w:cs="Times New Roman"/>
          <w:b w:val="0"/>
          <w:bCs/>
          <w:sz w:val="24"/>
          <w:szCs w:val="24"/>
          <w:lang w:val="en-US" w:eastAsia="zh-CN"/>
        </w:rPr>
        <w:t>4 质量保证和试验</w:t>
      </w:r>
      <w:r>
        <w:rPr>
          <w:rFonts w:hint="eastAsia" w:ascii="黑体" w:hAnsi="黑体" w:eastAsia="黑体" w:cs="Times New Roman"/>
          <w:b w:val="0"/>
          <w:bCs/>
          <w:sz w:val="24"/>
          <w:szCs w:val="24"/>
          <w:lang w:val="en-US" w:eastAsia="zh-CN"/>
        </w:rPr>
        <w:tab/>
      </w:r>
      <w:r>
        <w:rPr>
          <w:rFonts w:hint="eastAsia" w:ascii="黑体" w:hAnsi="黑体" w:eastAsia="黑体" w:cs="Times New Roman"/>
          <w:b w:val="0"/>
          <w:bCs/>
          <w:sz w:val="24"/>
          <w:szCs w:val="24"/>
          <w:lang w:val="en-US" w:eastAsia="zh-CN"/>
        </w:rPr>
        <w:t>2</w:t>
      </w:r>
      <w:r>
        <w:rPr>
          <w:rFonts w:hint="eastAsia" w:ascii="黑体" w:hAnsi="黑体" w:eastAsia="黑体" w:cs="Times New Roman"/>
          <w:b w:val="0"/>
          <w:bCs/>
          <w:sz w:val="24"/>
          <w:szCs w:val="24"/>
          <w:lang w:val="en-US" w:eastAsia="zh-CN"/>
        </w:rPr>
        <w:fldChar w:fldCharType="end"/>
      </w:r>
    </w:p>
    <w:p w14:paraId="4FBA965D">
      <w:pPr>
        <w:pStyle w:val="12"/>
        <w:tabs>
          <w:tab w:val="right" w:leader="dot" w:pos="9354"/>
          <w:tab w:val="clear" w:pos="540"/>
          <w:tab w:val="clear" w:pos="8371"/>
        </w:tabs>
        <w:spacing w:line="480" w:lineRule="auto"/>
        <w:rPr>
          <w:rFonts w:hint="eastAsia" w:ascii="黑体" w:hAnsi="黑体" w:eastAsia="黑体" w:cs="Times New Roman"/>
          <w:b w:val="0"/>
          <w:bCs/>
          <w:sz w:val="24"/>
          <w:szCs w:val="24"/>
          <w:lang w:val="en-US" w:eastAsia="zh-CN"/>
        </w:rPr>
      </w:pPr>
      <w:r>
        <w:rPr>
          <w:rFonts w:hint="eastAsia" w:ascii="黑体" w:hAnsi="黑体" w:eastAsia="黑体" w:cs="Times New Roman"/>
          <w:b w:val="0"/>
          <w:bCs/>
          <w:sz w:val="24"/>
          <w:szCs w:val="24"/>
          <w:lang w:val="en-US" w:eastAsia="zh-CN"/>
        </w:rPr>
        <w:fldChar w:fldCharType="begin"/>
      </w:r>
      <w:r>
        <w:rPr>
          <w:rFonts w:hint="eastAsia" w:ascii="黑体" w:hAnsi="黑体" w:eastAsia="黑体" w:cs="Times New Roman"/>
          <w:b w:val="0"/>
          <w:bCs/>
          <w:sz w:val="24"/>
          <w:szCs w:val="24"/>
          <w:lang w:val="en-US" w:eastAsia="zh-CN"/>
        </w:rPr>
        <w:instrText xml:space="preserve"> HYPERLINK \l _Toc12833 </w:instrText>
      </w:r>
      <w:r>
        <w:rPr>
          <w:rFonts w:hint="eastAsia" w:ascii="黑体" w:hAnsi="黑体" w:eastAsia="黑体" w:cs="Times New Roman"/>
          <w:b w:val="0"/>
          <w:bCs/>
          <w:sz w:val="24"/>
          <w:szCs w:val="24"/>
          <w:lang w:val="en-US" w:eastAsia="zh-CN"/>
        </w:rPr>
        <w:fldChar w:fldCharType="separate"/>
      </w:r>
      <w:r>
        <w:rPr>
          <w:rFonts w:hint="eastAsia" w:ascii="黑体" w:hAnsi="黑体" w:eastAsia="黑体" w:cs="Times New Roman"/>
          <w:b w:val="0"/>
          <w:bCs/>
          <w:sz w:val="24"/>
          <w:szCs w:val="24"/>
          <w:lang w:val="en-US" w:eastAsia="zh-CN"/>
        </w:rPr>
        <w:t>5 售后服务</w:t>
      </w:r>
      <w:r>
        <w:rPr>
          <w:rFonts w:hint="eastAsia" w:ascii="黑体" w:hAnsi="黑体" w:eastAsia="黑体" w:cs="Times New Roman"/>
          <w:b w:val="0"/>
          <w:bCs/>
          <w:sz w:val="24"/>
          <w:szCs w:val="24"/>
          <w:lang w:val="en-US" w:eastAsia="zh-CN"/>
        </w:rPr>
        <w:tab/>
      </w:r>
      <w:r>
        <w:rPr>
          <w:rFonts w:hint="eastAsia" w:ascii="黑体" w:hAnsi="黑体" w:eastAsia="黑体" w:cs="Times New Roman"/>
          <w:b w:val="0"/>
          <w:bCs/>
          <w:sz w:val="24"/>
          <w:szCs w:val="24"/>
          <w:lang w:val="en-US" w:eastAsia="zh-CN"/>
        </w:rPr>
        <w:t>2</w:t>
      </w:r>
      <w:r>
        <w:rPr>
          <w:rFonts w:hint="eastAsia" w:ascii="黑体" w:hAnsi="黑体" w:eastAsia="黑体" w:cs="Times New Roman"/>
          <w:b w:val="0"/>
          <w:bCs/>
          <w:sz w:val="24"/>
          <w:szCs w:val="24"/>
          <w:lang w:val="en-US" w:eastAsia="zh-CN"/>
        </w:rPr>
        <w:fldChar w:fldCharType="end"/>
      </w:r>
    </w:p>
    <w:p w14:paraId="14D56E30">
      <w:pPr>
        <w:adjustRightInd w:val="0"/>
        <w:snapToGrid w:val="0"/>
        <w:ind w:firstLine="643"/>
        <w:jc w:val="center"/>
        <w:rPr>
          <w:rFonts w:ascii="黑体" w:hAnsi="宋体" w:eastAsia="黑体"/>
          <w:b/>
          <w:sz w:val="32"/>
          <w:szCs w:val="32"/>
        </w:rPr>
        <w:sectPr>
          <w:pgSz w:w="11906" w:h="16838"/>
          <w:pgMar w:top="1440" w:right="1800" w:bottom="1440" w:left="1800" w:header="851" w:footer="992" w:gutter="0"/>
          <w:pgNumType w:fmt="numberInDash"/>
          <w:cols w:space="425" w:num="1"/>
          <w:docGrid w:type="lines" w:linePitch="312" w:charSpace="0"/>
        </w:sectPr>
      </w:pPr>
      <w:bookmarkStart w:id="0" w:name="_Toc25267"/>
      <w:bookmarkStart w:id="1" w:name="_Toc412536678"/>
    </w:p>
    <w:bookmarkEnd w:id="0"/>
    <w:bookmarkEnd w:id="1"/>
    <w:p w14:paraId="692065A8">
      <w:pPr>
        <w:spacing w:line="360" w:lineRule="auto"/>
        <w:jc w:val="center"/>
        <w:rPr>
          <w:b/>
          <w:bCs/>
          <w:sz w:val="28"/>
          <w:szCs w:val="28"/>
        </w:rPr>
      </w:pPr>
      <w:bookmarkStart w:id="2" w:name="_Toc21145"/>
      <w:bookmarkStart w:id="3" w:name="_Toc27622"/>
      <w:bookmarkStart w:id="4" w:name="_Toc4620"/>
      <w:r>
        <w:rPr>
          <w:rFonts w:hint="eastAsia"/>
          <w:b/>
          <w:bCs/>
          <w:sz w:val="28"/>
          <w:szCs w:val="28"/>
          <w:lang w:val="en-US" w:eastAsia="zh-CN"/>
        </w:rPr>
        <w:t>凯里供电局110kV施洞变、东坡变电子式互感器采集卡技术</w:t>
      </w:r>
      <w:r>
        <w:rPr>
          <w:rFonts w:hint="eastAsia"/>
          <w:b/>
          <w:bCs/>
          <w:sz w:val="28"/>
          <w:szCs w:val="28"/>
        </w:rPr>
        <w:t>协议</w:t>
      </w:r>
    </w:p>
    <w:p w14:paraId="6AB818E6">
      <w:pPr>
        <w:pStyle w:val="2"/>
        <w:numPr>
          <w:ilvl w:val="0"/>
          <w:numId w:val="0"/>
        </w:numPr>
        <w:spacing w:line="480" w:lineRule="auto"/>
        <w:rPr>
          <w:rFonts w:hint="default" w:ascii="黑体" w:hAnsi="黑体" w:eastAsia="黑体"/>
          <w:b/>
          <w:sz w:val="24"/>
          <w:szCs w:val="24"/>
          <w:lang w:val="en-US" w:eastAsia="zh-CN"/>
        </w:rPr>
      </w:pPr>
      <w:r>
        <w:rPr>
          <w:rFonts w:hint="eastAsia" w:ascii="黑体" w:hAnsi="黑体" w:eastAsia="黑体"/>
          <w:b/>
          <w:sz w:val="24"/>
          <w:szCs w:val="24"/>
          <w:lang w:val="en-US" w:eastAsia="zh-CN"/>
        </w:rPr>
        <w:t>1 总则</w:t>
      </w:r>
      <w:bookmarkEnd w:id="2"/>
      <w:bookmarkEnd w:id="3"/>
    </w:p>
    <w:p w14:paraId="098D838E">
      <w:pPr>
        <w:spacing w:line="360" w:lineRule="auto"/>
        <w:rPr>
          <w:rFonts w:hint="eastAsia" w:ascii="宋体" w:hAnsi="宋体" w:eastAsia="宋体" w:cs="Times New Roman"/>
          <w:kern w:val="2"/>
          <w:sz w:val="24"/>
          <w:szCs w:val="24"/>
          <w:lang w:val="en-US" w:eastAsia="zh-CN" w:bidi="ar-SA"/>
        </w:rPr>
      </w:pPr>
      <w:r>
        <w:rPr>
          <w:rFonts w:ascii="黑体" w:hAnsi="黑体" w:eastAsia="黑体"/>
          <w:spacing w:val="-4"/>
          <w:sz w:val="24"/>
          <w:szCs w:val="24"/>
        </w:rPr>
        <w:t xml:space="preserve">1.1 </w:t>
      </w:r>
      <w:r>
        <w:rPr>
          <w:rFonts w:ascii="宋体" w:hAnsi="宋体"/>
          <w:spacing w:val="-4"/>
          <w:sz w:val="24"/>
          <w:szCs w:val="24"/>
        </w:rPr>
        <w:t xml:space="preserve"> </w:t>
      </w:r>
      <w:r>
        <w:rPr>
          <w:rFonts w:hint="eastAsia" w:ascii="宋体" w:hAnsi="宋体" w:eastAsia="宋体" w:cs="Times New Roman"/>
          <w:kern w:val="2"/>
          <w:sz w:val="24"/>
          <w:szCs w:val="24"/>
          <w:lang w:val="en-US" w:eastAsia="zh-CN" w:bidi="ar-SA"/>
        </w:rPr>
        <w:t>凯里供电局110kV施洞变、东坡变电子式互感器采集</w:t>
      </w:r>
      <w:r>
        <w:rPr>
          <w:rFonts w:hint="eastAsia" w:ascii="宋体" w:hAnsi="宋体" w:cs="Times New Roman"/>
          <w:kern w:val="2"/>
          <w:sz w:val="24"/>
          <w:szCs w:val="24"/>
          <w:lang w:val="en-US" w:eastAsia="zh-CN" w:bidi="ar-SA"/>
        </w:rPr>
        <w:t>卡物资</w:t>
      </w:r>
      <w:r>
        <w:rPr>
          <w:rFonts w:hint="eastAsia" w:ascii="宋体" w:hAnsi="宋体"/>
          <w:spacing w:val="-4"/>
          <w:sz w:val="24"/>
          <w:szCs w:val="24"/>
        </w:rPr>
        <w:t>采购</w:t>
      </w:r>
      <w:r>
        <w:rPr>
          <w:rFonts w:hint="eastAsia" w:ascii="宋体" w:hAnsi="宋体" w:eastAsia="宋体" w:cs="Times New Roman"/>
          <w:kern w:val="2"/>
          <w:sz w:val="24"/>
          <w:szCs w:val="24"/>
          <w:lang w:val="en-US" w:eastAsia="zh-CN" w:bidi="ar-SA"/>
        </w:rPr>
        <w:t>的技术要求。</w:t>
      </w:r>
    </w:p>
    <w:p w14:paraId="4B0995E9">
      <w:pPr>
        <w:pStyle w:val="8"/>
        <w:adjustRightInd w:val="0"/>
        <w:snapToGrid w:val="0"/>
        <w:spacing w:line="360" w:lineRule="auto"/>
        <w:rPr>
          <w:rFonts w:hAnsi="宋体" w:cs="Times New Roman"/>
          <w:sz w:val="24"/>
          <w:szCs w:val="24"/>
        </w:rPr>
      </w:pPr>
      <w:r>
        <w:rPr>
          <w:rFonts w:ascii="黑体" w:hAnsi="黑体" w:eastAsia="黑体" w:cs="Times New Roman"/>
          <w:spacing w:val="-4"/>
          <w:sz w:val="24"/>
          <w:szCs w:val="24"/>
        </w:rPr>
        <w:t>1.2</w:t>
      </w:r>
      <w:r>
        <w:rPr>
          <w:rFonts w:hAnsi="宋体" w:cs="Times New Roman"/>
          <w:sz w:val="24"/>
          <w:szCs w:val="24"/>
        </w:rPr>
        <w:t xml:space="preserve">  </w:t>
      </w:r>
      <w:r>
        <w:rPr>
          <w:rFonts w:hint="eastAsia" w:hAnsi="宋体" w:cs="Times New Roman"/>
          <w:sz w:val="24"/>
          <w:szCs w:val="24"/>
        </w:rPr>
        <w:t>本设备招标技术文件提出的是最低限度的技术要求。凡本招标技术文件中未规定，但在相关设备的行业标准、国家标准或</w:t>
      </w:r>
      <w:r>
        <w:rPr>
          <w:rFonts w:hAnsi="宋体" w:cs="Times New Roman"/>
          <w:sz w:val="24"/>
          <w:szCs w:val="24"/>
        </w:rPr>
        <w:t>IEC</w:t>
      </w:r>
      <w:r>
        <w:rPr>
          <w:rFonts w:hint="eastAsia" w:hAnsi="宋体" w:cs="Times New Roman"/>
          <w:sz w:val="24"/>
          <w:szCs w:val="24"/>
        </w:rPr>
        <w:t>标准中有规定的规范条文，投标方应按相应标准的条文进行</w:t>
      </w:r>
      <w:r>
        <w:rPr>
          <w:rFonts w:hint="eastAsia" w:hAnsi="宋体" w:cs="Times New Roman"/>
          <w:sz w:val="24"/>
          <w:szCs w:val="24"/>
          <w:lang w:val="en-US" w:eastAsia="zh-CN"/>
        </w:rPr>
        <w:t>工具</w:t>
      </w:r>
      <w:r>
        <w:rPr>
          <w:rFonts w:hint="eastAsia" w:hAnsi="宋体" w:cs="Times New Roman"/>
          <w:sz w:val="24"/>
          <w:szCs w:val="24"/>
        </w:rPr>
        <w:t>设计、制造、试验和安装。对国家有关安全、环保等强制性标准，必须满足其要求。</w:t>
      </w:r>
    </w:p>
    <w:p w14:paraId="777E4CDF">
      <w:pPr>
        <w:adjustRightInd w:val="0"/>
        <w:snapToGrid w:val="0"/>
        <w:spacing w:line="360" w:lineRule="auto"/>
        <w:rPr>
          <w:rFonts w:ascii="宋体" w:hAnsi="宋体"/>
          <w:sz w:val="24"/>
          <w:szCs w:val="24"/>
        </w:rPr>
      </w:pPr>
      <w:r>
        <w:rPr>
          <w:rFonts w:ascii="黑体" w:hAnsi="黑体" w:eastAsia="黑体"/>
          <w:spacing w:val="-4"/>
          <w:sz w:val="24"/>
          <w:szCs w:val="24"/>
        </w:rPr>
        <w:t>1.3</w:t>
      </w:r>
      <w:r>
        <w:rPr>
          <w:rFonts w:ascii="宋体" w:hAnsi="宋体"/>
          <w:sz w:val="24"/>
          <w:szCs w:val="24"/>
        </w:rPr>
        <w:t xml:space="preserve">  </w:t>
      </w:r>
      <w:r>
        <w:rPr>
          <w:rFonts w:hint="eastAsia" w:ascii="宋体" w:hAnsi="宋体"/>
          <w:sz w:val="24"/>
          <w:szCs w:val="24"/>
        </w:rPr>
        <w:t>如果投标方没有以书面形式对本招标技术文件的条文提出异议，则意味着投标方提供的设备完全符合本招标技术文件的要求。如有异议，都应在报价书中以“对技术文件的意见和同技术文件的差异”为标题的专门章节中加以详细描述。</w:t>
      </w:r>
    </w:p>
    <w:p w14:paraId="420D1335">
      <w:pPr>
        <w:adjustRightInd w:val="0"/>
        <w:snapToGrid w:val="0"/>
        <w:spacing w:line="360" w:lineRule="auto"/>
        <w:rPr>
          <w:rFonts w:ascii="宋体" w:hAnsi="宋体"/>
          <w:spacing w:val="-2"/>
          <w:sz w:val="24"/>
          <w:szCs w:val="24"/>
        </w:rPr>
      </w:pPr>
      <w:r>
        <w:rPr>
          <w:rFonts w:ascii="黑体" w:hAnsi="黑体" w:eastAsia="黑体"/>
          <w:spacing w:val="-4"/>
          <w:sz w:val="24"/>
          <w:szCs w:val="24"/>
        </w:rPr>
        <w:t>1.4</w:t>
      </w:r>
      <w:r>
        <w:rPr>
          <w:rFonts w:ascii="宋体" w:hAnsi="宋体"/>
          <w:sz w:val="24"/>
          <w:szCs w:val="24"/>
        </w:rPr>
        <w:t xml:space="preserve">  </w:t>
      </w:r>
      <w:r>
        <w:rPr>
          <w:rFonts w:hint="eastAsia" w:ascii="宋体" w:hAnsi="宋体"/>
          <w:spacing w:val="-2"/>
          <w:sz w:val="24"/>
          <w:szCs w:val="24"/>
        </w:rPr>
        <w:t>本招标技术文件所使用的标准如遇与投标方所执行的标准不一致时，按较高标准执行。</w:t>
      </w:r>
    </w:p>
    <w:p w14:paraId="2A97FC6A">
      <w:pPr>
        <w:adjustRightInd w:val="0"/>
        <w:snapToGrid w:val="0"/>
        <w:spacing w:line="360" w:lineRule="auto"/>
        <w:rPr>
          <w:rFonts w:ascii="宋体" w:hAnsi="宋体"/>
          <w:sz w:val="24"/>
          <w:szCs w:val="24"/>
        </w:rPr>
      </w:pPr>
      <w:r>
        <w:rPr>
          <w:rFonts w:ascii="黑体" w:hAnsi="黑体" w:eastAsia="黑体"/>
          <w:spacing w:val="-4"/>
          <w:sz w:val="24"/>
          <w:szCs w:val="24"/>
        </w:rPr>
        <w:t>1.5</w:t>
      </w:r>
      <w:r>
        <w:rPr>
          <w:rFonts w:ascii="宋体" w:hAnsi="宋体"/>
          <w:sz w:val="24"/>
          <w:szCs w:val="24"/>
        </w:rPr>
        <w:t xml:space="preserve">  </w:t>
      </w:r>
      <w:r>
        <w:rPr>
          <w:rFonts w:hint="eastAsia" w:ascii="宋体" w:hAnsi="宋体"/>
          <w:sz w:val="24"/>
          <w:szCs w:val="24"/>
        </w:rPr>
        <w:t>本招标技术文件经</w:t>
      </w:r>
      <w:r>
        <w:rPr>
          <w:rFonts w:hint="eastAsia" w:ascii="宋体" w:hAnsi="宋体"/>
          <w:spacing w:val="-4"/>
          <w:sz w:val="24"/>
          <w:szCs w:val="24"/>
        </w:rPr>
        <w:t>招、投标双方确认后</w:t>
      </w:r>
      <w:r>
        <w:rPr>
          <w:rFonts w:hint="eastAsia" w:ascii="宋体" w:hAnsi="宋体"/>
          <w:sz w:val="24"/>
          <w:szCs w:val="24"/>
        </w:rPr>
        <w:t>作为订货合同的技术附件，与合同正文具有同等的法律效力。</w:t>
      </w:r>
    </w:p>
    <w:p w14:paraId="57FCC06A">
      <w:pPr>
        <w:pStyle w:val="8"/>
        <w:adjustRightInd w:val="0"/>
        <w:snapToGrid w:val="0"/>
        <w:spacing w:line="360" w:lineRule="auto"/>
        <w:rPr>
          <w:rFonts w:hint="eastAsia" w:hAnsi="宋体" w:cs="Times New Roman"/>
          <w:spacing w:val="-4"/>
          <w:sz w:val="24"/>
          <w:szCs w:val="24"/>
        </w:rPr>
      </w:pPr>
      <w:r>
        <w:rPr>
          <w:rFonts w:hint="eastAsia" w:ascii="黑体" w:hAnsi="黑体" w:eastAsia="黑体" w:cs="Times New Roman"/>
          <w:spacing w:val="-4"/>
          <w:sz w:val="24"/>
          <w:szCs w:val="24"/>
        </w:rPr>
        <w:t xml:space="preserve">1.6 </w:t>
      </w:r>
      <w:r>
        <w:rPr>
          <w:rFonts w:hint="eastAsia" w:hAnsi="宋体" w:cs="Times New Roman"/>
          <w:spacing w:val="-4"/>
          <w:sz w:val="24"/>
          <w:szCs w:val="24"/>
        </w:rPr>
        <w:t xml:space="preserve"> </w:t>
      </w:r>
      <w:r>
        <w:rPr>
          <w:rFonts w:hint="eastAsia" w:hAnsi="宋体" w:cs="Times New Roman"/>
          <w:spacing w:val="-6"/>
          <w:sz w:val="24"/>
          <w:szCs w:val="24"/>
        </w:rPr>
        <w:t>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w:t>
      </w:r>
    </w:p>
    <w:p w14:paraId="13CE5619">
      <w:pPr>
        <w:pStyle w:val="8"/>
        <w:adjustRightInd w:val="0"/>
        <w:snapToGrid w:val="0"/>
        <w:spacing w:line="360" w:lineRule="auto"/>
        <w:rPr>
          <w:rFonts w:hint="eastAsia" w:hAnsi="宋体" w:cs="Times New Roman"/>
          <w:sz w:val="24"/>
          <w:szCs w:val="24"/>
        </w:rPr>
      </w:pPr>
      <w:r>
        <w:rPr>
          <w:rFonts w:hint="eastAsia" w:ascii="黑体" w:hAnsi="黑体" w:eastAsia="黑体" w:cs="Times New Roman"/>
          <w:spacing w:val="-4"/>
          <w:sz w:val="24"/>
          <w:szCs w:val="24"/>
        </w:rPr>
        <w:t xml:space="preserve">1.7 </w:t>
      </w:r>
      <w:r>
        <w:rPr>
          <w:rFonts w:hint="eastAsia" w:hAnsi="宋体" w:cs="Times New Roman"/>
          <w:sz w:val="24"/>
          <w:szCs w:val="24"/>
        </w:rPr>
        <w:t xml:space="preserve"> 投标方应在应标技术部分按本招标技术文件的要求如实详细的填写应标</w:t>
      </w:r>
      <w:r>
        <w:rPr>
          <w:rFonts w:hint="eastAsia" w:hAnsi="宋体" w:cs="Times New Roman"/>
          <w:sz w:val="24"/>
          <w:szCs w:val="24"/>
          <w:lang w:val="en-US" w:eastAsia="zh-CN"/>
        </w:rPr>
        <w:t>工具</w:t>
      </w:r>
      <w:r>
        <w:rPr>
          <w:rFonts w:hint="eastAsia" w:hAnsi="宋体" w:cs="Times New Roman"/>
          <w:sz w:val="24"/>
          <w:szCs w:val="24"/>
        </w:rPr>
        <w:t>的标准配置表，并在应标商务部分按此标准配置进行报价。</w:t>
      </w:r>
    </w:p>
    <w:p w14:paraId="42F9C75A">
      <w:pPr>
        <w:adjustRightInd w:val="0"/>
        <w:snapToGrid w:val="0"/>
        <w:spacing w:line="360" w:lineRule="auto"/>
        <w:rPr>
          <w:rFonts w:hint="eastAsia" w:ascii="宋体" w:hAnsi="宋体"/>
          <w:sz w:val="24"/>
          <w:szCs w:val="24"/>
        </w:rPr>
      </w:pPr>
      <w:r>
        <w:rPr>
          <w:rFonts w:hint="eastAsia" w:ascii="黑体" w:hAnsi="黑体" w:eastAsia="黑体"/>
          <w:spacing w:val="-4"/>
          <w:sz w:val="24"/>
          <w:szCs w:val="24"/>
        </w:rPr>
        <w:t>1.8</w:t>
      </w:r>
      <w:r>
        <w:rPr>
          <w:rFonts w:hint="eastAsia" w:ascii="宋体" w:hAnsi="宋体"/>
          <w:sz w:val="24"/>
          <w:szCs w:val="24"/>
        </w:rPr>
        <w:t xml:space="preserve">  投标方应充分理解本招标技术文件并按本招标技术文件的具体条款、格式要求填写应标的技术文件。</w:t>
      </w:r>
    </w:p>
    <w:p w14:paraId="0010B04B">
      <w:pPr>
        <w:adjustRightInd w:val="0"/>
        <w:snapToGrid w:val="0"/>
        <w:spacing w:line="360" w:lineRule="auto"/>
        <w:rPr>
          <w:rFonts w:hint="eastAsia" w:ascii="宋体" w:hAnsi="宋体"/>
          <w:sz w:val="24"/>
          <w:szCs w:val="24"/>
        </w:rPr>
      </w:pPr>
      <w:r>
        <w:rPr>
          <w:rFonts w:hint="eastAsia" w:ascii="黑体" w:hAnsi="黑体" w:eastAsia="黑体"/>
          <w:spacing w:val="-4"/>
          <w:sz w:val="24"/>
          <w:szCs w:val="24"/>
        </w:rPr>
        <w:t xml:space="preserve">1.9  </w:t>
      </w:r>
      <w:r>
        <w:rPr>
          <w:rFonts w:hint="eastAsia" w:ascii="宋体" w:hAnsi="宋体"/>
          <w:sz w:val="24"/>
          <w:szCs w:val="24"/>
        </w:rPr>
        <w:t>投标方应对</w:t>
      </w:r>
      <w:r>
        <w:rPr>
          <w:rFonts w:hint="eastAsia" w:ascii="宋体" w:hAnsi="宋体"/>
          <w:sz w:val="24"/>
          <w:szCs w:val="24"/>
          <w:lang w:val="en-US" w:eastAsia="zh-CN"/>
        </w:rPr>
        <w:t>工具</w:t>
      </w:r>
      <w:r>
        <w:rPr>
          <w:rFonts w:hint="eastAsia" w:ascii="宋体" w:hAnsi="宋体"/>
          <w:sz w:val="24"/>
          <w:szCs w:val="24"/>
        </w:rPr>
        <w:t>的整体性能负责。在</w:t>
      </w:r>
      <w:r>
        <w:rPr>
          <w:rFonts w:hint="eastAsia" w:ascii="宋体" w:hAnsi="宋体"/>
          <w:sz w:val="24"/>
          <w:szCs w:val="24"/>
          <w:lang w:val="en-US" w:eastAsia="zh-CN"/>
        </w:rPr>
        <w:t>试验功能</w:t>
      </w:r>
      <w:r>
        <w:rPr>
          <w:rFonts w:hint="eastAsia" w:ascii="宋体" w:hAnsi="宋体"/>
          <w:sz w:val="24"/>
          <w:szCs w:val="24"/>
        </w:rPr>
        <w:t>期间，如果发现由于投标方设计或配置不合理或缺少</w:t>
      </w:r>
      <w:r>
        <w:rPr>
          <w:rFonts w:hint="eastAsia" w:ascii="宋体" w:hAnsi="宋体"/>
          <w:sz w:val="24"/>
          <w:szCs w:val="24"/>
          <w:lang w:val="en-US" w:eastAsia="zh-CN"/>
        </w:rPr>
        <w:t>工具</w:t>
      </w:r>
      <w:r>
        <w:rPr>
          <w:rFonts w:hint="eastAsia" w:ascii="宋体" w:hAnsi="宋体"/>
          <w:sz w:val="24"/>
          <w:szCs w:val="24"/>
        </w:rPr>
        <w:t>（含部件）而造成整个系统功能不能满足本技术条件书的要求，投标方应负全部责任。</w:t>
      </w:r>
    </w:p>
    <w:bookmarkEnd w:id="4"/>
    <w:p w14:paraId="02E227D5">
      <w:pPr>
        <w:pStyle w:val="8"/>
        <w:adjustRightInd w:val="0"/>
        <w:snapToGrid w:val="0"/>
        <w:spacing w:line="360" w:lineRule="auto"/>
        <w:rPr>
          <w:rFonts w:hint="eastAsia" w:ascii="Times New Roman" w:hAnsi="Times New Roman" w:eastAsia="宋体" w:cs="Times New Roman"/>
          <w:kern w:val="2"/>
          <w:sz w:val="21"/>
          <w:szCs w:val="24"/>
          <w:lang w:val="en-US" w:eastAsia="zh-CN" w:bidi="ar-SA"/>
        </w:rPr>
      </w:pPr>
      <w:bookmarkStart w:id="5" w:name="_Toc26727"/>
    </w:p>
    <w:p w14:paraId="3F01908F">
      <w:pPr>
        <w:pStyle w:val="8"/>
        <w:adjustRightInd w:val="0"/>
        <w:snapToGrid w:val="0"/>
        <w:spacing w:line="360" w:lineRule="auto"/>
        <w:rPr>
          <w:rFonts w:hint="eastAsia" w:ascii="Times New Roman" w:hAnsi="Times New Roman" w:eastAsia="宋体" w:cs="Times New Roman"/>
          <w:kern w:val="2"/>
          <w:sz w:val="21"/>
          <w:szCs w:val="24"/>
          <w:lang w:val="en-US" w:eastAsia="zh-CN" w:bidi="ar-SA"/>
        </w:rPr>
      </w:pPr>
    </w:p>
    <w:p w14:paraId="24AEF93B">
      <w:pPr>
        <w:pStyle w:val="8"/>
        <w:adjustRightInd w:val="0"/>
        <w:snapToGrid w:val="0"/>
        <w:spacing w:line="360" w:lineRule="auto"/>
        <w:rPr>
          <w:rFonts w:hint="eastAsia" w:ascii="Times New Roman" w:hAnsi="Times New Roman" w:eastAsia="宋体" w:cs="Times New Roman"/>
          <w:kern w:val="2"/>
          <w:sz w:val="21"/>
          <w:szCs w:val="24"/>
          <w:lang w:val="en-US" w:eastAsia="zh-CN" w:bidi="ar-SA"/>
        </w:rPr>
      </w:pPr>
    </w:p>
    <w:p w14:paraId="273F4734">
      <w:pPr>
        <w:pStyle w:val="8"/>
        <w:adjustRightInd w:val="0"/>
        <w:snapToGrid w:val="0"/>
        <w:spacing w:line="360" w:lineRule="auto"/>
        <w:rPr>
          <w:rFonts w:hint="eastAsia" w:ascii="Times New Roman" w:hAnsi="Times New Roman" w:eastAsia="宋体" w:cs="Times New Roman"/>
          <w:kern w:val="2"/>
          <w:sz w:val="21"/>
          <w:szCs w:val="24"/>
          <w:lang w:val="en-US" w:eastAsia="zh-CN" w:bidi="ar-SA"/>
        </w:rPr>
      </w:pPr>
    </w:p>
    <w:p w14:paraId="7932CDC7">
      <w:pPr>
        <w:pStyle w:val="8"/>
        <w:adjustRightInd w:val="0"/>
        <w:snapToGrid w:val="0"/>
        <w:spacing w:line="480" w:lineRule="auto"/>
        <w:rPr>
          <w:rFonts w:hint="eastAsia" w:ascii="黑体" w:hAnsi="黑体" w:eastAsia="黑体" w:cs="Times New Roman"/>
          <w:b/>
          <w:sz w:val="24"/>
          <w:szCs w:val="24"/>
          <w:lang w:val="en-US" w:eastAsia="zh-CN"/>
        </w:rPr>
      </w:pPr>
      <w:r>
        <w:rPr>
          <w:rFonts w:hint="eastAsia" w:ascii="黑体" w:hAnsi="黑体" w:eastAsia="黑体" w:cs="Times New Roman"/>
          <w:b/>
          <w:sz w:val="24"/>
          <w:szCs w:val="24"/>
          <w:lang w:val="en-US" w:eastAsia="zh-CN"/>
        </w:rPr>
        <w:t>2 技术要求</w:t>
      </w:r>
    </w:p>
    <w:p w14:paraId="7EF06298">
      <w:pPr>
        <w:spacing w:line="480" w:lineRule="auto"/>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本项目主要采购的是</w:t>
      </w:r>
      <w:r>
        <w:rPr>
          <w:rFonts w:hint="eastAsia" w:ascii="宋体" w:hAnsi="宋体" w:cs="Times New Roman"/>
          <w:kern w:val="2"/>
          <w:sz w:val="24"/>
          <w:szCs w:val="24"/>
          <w:lang w:val="en-US" w:eastAsia="zh-CN" w:bidi="ar-SA"/>
        </w:rPr>
        <w:t>凯里供电局110kV施洞变、东坡变电子式互感器采集卡</w:t>
      </w:r>
      <w:r>
        <w:rPr>
          <w:rFonts w:hint="eastAsia" w:ascii="宋体" w:hAnsi="宋体" w:eastAsia="宋体" w:cs="Times New Roman"/>
          <w:kern w:val="2"/>
          <w:sz w:val="24"/>
          <w:szCs w:val="24"/>
          <w:lang w:val="en-US" w:eastAsia="zh-CN" w:bidi="ar-SA"/>
        </w:rPr>
        <w:t>，</w:t>
      </w:r>
      <w:r>
        <w:rPr>
          <w:rFonts w:hint="eastAsia" w:ascii="宋体" w:hAnsi="宋体" w:cs="Times New Roman"/>
          <w:kern w:val="2"/>
          <w:sz w:val="24"/>
          <w:szCs w:val="24"/>
          <w:lang w:val="en-US" w:eastAsia="zh-CN" w:bidi="ar-SA"/>
        </w:rPr>
        <w:t>完成所列设备的维修</w:t>
      </w:r>
      <w:r>
        <w:rPr>
          <w:rFonts w:hint="eastAsia" w:ascii="宋体" w:hAnsi="宋体" w:eastAsia="宋体" w:cs="Times New Roman"/>
          <w:kern w:val="2"/>
          <w:sz w:val="24"/>
          <w:szCs w:val="24"/>
          <w:lang w:val="en-US" w:eastAsia="zh-CN" w:bidi="ar-SA"/>
        </w:rPr>
        <w:t>，</w:t>
      </w:r>
      <w:r>
        <w:rPr>
          <w:rFonts w:hint="eastAsia" w:ascii="宋体" w:hAnsi="宋体" w:cs="Times New Roman"/>
          <w:kern w:val="2"/>
          <w:sz w:val="24"/>
          <w:szCs w:val="24"/>
          <w:lang w:val="en-US" w:eastAsia="zh-CN" w:bidi="ar-SA"/>
        </w:rPr>
        <w:t>能够正常使用</w:t>
      </w:r>
      <w:r>
        <w:rPr>
          <w:rFonts w:hint="eastAsia" w:ascii="Times New Roman" w:hAnsi="Times New Roman" w:eastAsia="宋体" w:cs="Times New Roman"/>
          <w:kern w:val="2"/>
          <w:sz w:val="24"/>
          <w:szCs w:val="24"/>
          <w:lang w:val="en-US" w:eastAsia="zh-CN" w:bidi="ar-SA"/>
        </w:rPr>
        <w:t>。具体物资型号参数如下表。</w:t>
      </w:r>
    </w:p>
    <w:tbl>
      <w:tblPr>
        <w:tblStyle w:val="14"/>
        <w:tblW w:w="9534" w:type="dxa"/>
        <w:jc w:val="center"/>
        <w:tblLayout w:type="fixed"/>
        <w:tblCellMar>
          <w:top w:w="0" w:type="dxa"/>
          <w:left w:w="108" w:type="dxa"/>
          <w:bottom w:w="0" w:type="dxa"/>
          <w:right w:w="108" w:type="dxa"/>
        </w:tblCellMar>
      </w:tblPr>
      <w:tblGrid>
        <w:gridCol w:w="724"/>
        <w:gridCol w:w="3293"/>
        <w:gridCol w:w="3120"/>
        <w:gridCol w:w="795"/>
        <w:gridCol w:w="810"/>
        <w:gridCol w:w="792"/>
      </w:tblGrid>
      <w:tr w14:paraId="04B4EF9B">
        <w:tblPrEx>
          <w:tblCellMar>
            <w:top w:w="0" w:type="dxa"/>
            <w:left w:w="108" w:type="dxa"/>
            <w:bottom w:w="0" w:type="dxa"/>
            <w:right w:w="108" w:type="dxa"/>
          </w:tblCellMar>
        </w:tblPrEx>
        <w:trPr>
          <w:trHeight w:val="439" w:hRule="atLeast"/>
          <w:tblHeader/>
          <w:jc w:val="center"/>
        </w:trPr>
        <w:tc>
          <w:tcPr>
            <w:tcW w:w="9534" w:type="dxa"/>
            <w:gridSpan w:val="6"/>
            <w:tcBorders>
              <w:top w:val="single" w:color="auto" w:sz="4" w:space="0"/>
              <w:left w:val="single" w:color="auto" w:sz="4" w:space="0"/>
              <w:bottom w:val="single" w:color="auto" w:sz="4" w:space="0"/>
              <w:right w:val="single" w:color="auto" w:sz="4" w:space="0"/>
            </w:tcBorders>
            <w:shd w:val="clear" w:color="000000" w:fill="EEECE1"/>
            <w:vAlign w:val="center"/>
          </w:tcPr>
          <w:p w14:paraId="37554C18">
            <w:pPr>
              <w:spacing w:line="360" w:lineRule="auto"/>
              <w:jc w:val="center"/>
              <w:rPr>
                <w:rFonts w:ascii="Times New Roman" w:hAnsi="Times New Roman"/>
                <w:b/>
                <w:kern w:val="0"/>
                <w:sz w:val="24"/>
                <w:szCs w:val="24"/>
              </w:rPr>
            </w:pPr>
            <w:r>
              <w:rPr>
                <w:rFonts w:hint="eastAsia"/>
                <w:b/>
                <w:bCs/>
                <w:sz w:val="28"/>
                <w:szCs w:val="28"/>
                <w:lang w:val="en-US" w:eastAsia="zh-CN"/>
              </w:rPr>
              <w:t>凯里供电局110kV施洞变、东坡变电子式互感器采集卡</w:t>
            </w:r>
          </w:p>
        </w:tc>
      </w:tr>
      <w:tr w14:paraId="7ECD2145">
        <w:tblPrEx>
          <w:tblCellMar>
            <w:top w:w="0" w:type="dxa"/>
            <w:left w:w="108" w:type="dxa"/>
            <w:bottom w:w="0" w:type="dxa"/>
            <w:right w:w="108" w:type="dxa"/>
          </w:tblCellMar>
        </w:tblPrEx>
        <w:trPr>
          <w:trHeight w:val="439" w:hRule="atLeast"/>
          <w:tblHeader/>
          <w:jc w:val="center"/>
        </w:trPr>
        <w:tc>
          <w:tcPr>
            <w:tcW w:w="724" w:type="dxa"/>
            <w:tcBorders>
              <w:top w:val="single" w:color="auto" w:sz="4" w:space="0"/>
              <w:left w:val="single" w:color="auto" w:sz="4" w:space="0"/>
              <w:bottom w:val="single" w:color="auto" w:sz="4" w:space="0"/>
              <w:right w:val="single" w:color="auto" w:sz="4" w:space="0"/>
            </w:tcBorders>
            <w:shd w:val="clear" w:color="000000" w:fill="EEECE1"/>
            <w:vAlign w:val="center"/>
          </w:tcPr>
          <w:p w14:paraId="4DC31314">
            <w:pPr>
              <w:widowControl/>
              <w:spacing w:line="480" w:lineRule="auto"/>
              <w:jc w:val="center"/>
              <w:rPr>
                <w:rFonts w:ascii="Times New Roman" w:hAnsi="Times New Roman"/>
                <w:b/>
                <w:kern w:val="0"/>
                <w:sz w:val="24"/>
                <w:szCs w:val="24"/>
              </w:rPr>
            </w:pPr>
            <w:r>
              <w:rPr>
                <w:rFonts w:ascii="Times New Roman" w:hAnsi="Times New Roman"/>
                <w:b/>
                <w:kern w:val="0"/>
                <w:sz w:val="24"/>
                <w:szCs w:val="24"/>
              </w:rPr>
              <w:t>序号</w:t>
            </w:r>
          </w:p>
        </w:tc>
        <w:tc>
          <w:tcPr>
            <w:tcW w:w="3293" w:type="dxa"/>
            <w:tcBorders>
              <w:top w:val="single" w:color="auto" w:sz="4" w:space="0"/>
              <w:left w:val="nil"/>
              <w:bottom w:val="single" w:color="auto" w:sz="4" w:space="0"/>
              <w:right w:val="single" w:color="auto" w:sz="4" w:space="0"/>
            </w:tcBorders>
            <w:shd w:val="clear" w:color="000000" w:fill="EEECE1"/>
            <w:vAlign w:val="center"/>
          </w:tcPr>
          <w:p w14:paraId="61F3DDAC">
            <w:pPr>
              <w:widowControl/>
              <w:spacing w:line="480" w:lineRule="auto"/>
              <w:jc w:val="center"/>
              <w:rPr>
                <w:rFonts w:ascii="Times New Roman" w:hAnsi="Times New Roman"/>
                <w:b/>
                <w:kern w:val="0"/>
                <w:sz w:val="24"/>
                <w:szCs w:val="24"/>
              </w:rPr>
            </w:pPr>
            <w:r>
              <w:rPr>
                <w:rFonts w:hint="eastAsia" w:ascii="Times New Roman" w:hAnsi="Times New Roman"/>
                <w:b/>
                <w:kern w:val="0"/>
                <w:sz w:val="24"/>
                <w:szCs w:val="24"/>
                <w:lang w:val="en-US" w:eastAsia="zh-CN"/>
              </w:rPr>
              <w:t>维修设备</w:t>
            </w:r>
            <w:r>
              <w:rPr>
                <w:rFonts w:ascii="Times New Roman" w:hAnsi="Times New Roman"/>
                <w:b/>
                <w:kern w:val="0"/>
                <w:sz w:val="24"/>
                <w:szCs w:val="24"/>
              </w:rPr>
              <w:t>名称</w:t>
            </w:r>
          </w:p>
        </w:tc>
        <w:tc>
          <w:tcPr>
            <w:tcW w:w="3120" w:type="dxa"/>
            <w:tcBorders>
              <w:top w:val="single" w:color="auto" w:sz="4" w:space="0"/>
              <w:left w:val="nil"/>
              <w:bottom w:val="single" w:color="auto" w:sz="4" w:space="0"/>
              <w:right w:val="single" w:color="auto" w:sz="4" w:space="0"/>
            </w:tcBorders>
            <w:shd w:val="clear" w:color="000000" w:fill="EEECE1"/>
            <w:vAlign w:val="center"/>
          </w:tcPr>
          <w:p w14:paraId="4752FB72">
            <w:pPr>
              <w:widowControl/>
              <w:spacing w:line="480" w:lineRule="auto"/>
              <w:jc w:val="center"/>
              <w:rPr>
                <w:rFonts w:ascii="Times New Roman" w:hAnsi="Times New Roman"/>
                <w:b/>
                <w:kern w:val="0"/>
                <w:sz w:val="24"/>
                <w:szCs w:val="24"/>
              </w:rPr>
            </w:pPr>
            <w:r>
              <w:rPr>
                <w:rFonts w:ascii="Times New Roman" w:hAnsi="Times New Roman"/>
                <w:b/>
                <w:kern w:val="0"/>
                <w:sz w:val="24"/>
                <w:szCs w:val="24"/>
              </w:rPr>
              <w:t>型号规格</w:t>
            </w:r>
          </w:p>
        </w:tc>
        <w:tc>
          <w:tcPr>
            <w:tcW w:w="795" w:type="dxa"/>
            <w:tcBorders>
              <w:top w:val="single" w:color="auto" w:sz="4" w:space="0"/>
              <w:left w:val="nil"/>
              <w:bottom w:val="single" w:color="auto" w:sz="4" w:space="0"/>
              <w:right w:val="single" w:color="auto" w:sz="4" w:space="0"/>
            </w:tcBorders>
            <w:shd w:val="clear" w:color="000000" w:fill="EEECE1"/>
            <w:vAlign w:val="center"/>
          </w:tcPr>
          <w:p w14:paraId="5BBB4887">
            <w:pPr>
              <w:widowControl/>
              <w:spacing w:line="480" w:lineRule="auto"/>
              <w:jc w:val="center"/>
              <w:rPr>
                <w:rFonts w:ascii="Times New Roman" w:hAnsi="Times New Roman"/>
                <w:b/>
                <w:kern w:val="0"/>
                <w:sz w:val="24"/>
                <w:szCs w:val="24"/>
              </w:rPr>
            </w:pPr>
            <w:r>
              <w:rPr>
                <w:rFonts w:ascii="Times New Roman" w:hAnsi="Times New Roman"/>
                <w:b/>
                <w:kern w:val="0"/>
                <w:sz w:val="24"/>
                <w:szCs w:val="24"/>
              </w:rPr>
              <w:t>单位</w:t>
            </w:r>
          </w:p>
        </w:tc>
        <w:tc>
          <w:tcPr>
            <w:tcW w:w="810" w:type="dxa"/>
            <w:tcBorders>
              <w:top w:val="single" w:color="auto" w:sz="4" w:space="0"/>
              <w:left w:val="nil"/>
              <w:bottom w:val="single" w:color="auto" w:sz="4" w:space="0"/>
              <w:right w:val="single" w:color="auto" w:sz="4" w:space="0"/>
            </w:tcBorders>
            <w:shd w:val="clear" w:color="000000" w:fill="EEECE1"/>
            <w:vAlign w:val="center"/>
          </w:tcPr>
          <w:p w14:paraId="2EB499A6">
            <w:pPr>
              <w:widowControl/>
              <w:spacing w:line="480" w:lineRule="auto"/>
              <w:jc w:val="center"/>
              <w:rPr>
                <w:rFonts w:ascii="Times New Roman" w:hAnsi="Times New Roman"/>
                <w:b/>
                <w:kern w:val="0"/>
                <w:sz w:val="24"/>
                <w:szCs w:val="24"/>
              </w:rPr>
            </w:pPr>
            <w:r>
              <w:rPr>
                <w:rFonts w:ascii="Times New Roman" w:hAnsi="Times New Roman"/>
                <w:b/>
                <w:kern w:val="0"/>
                <w:sz w:val="24"/>
                <w:szCs w:val="24"/>
              </w:rPr>
              <w:t>数量</w:t>
            </w:r>
          </w:p>
        </w:tc>
        <w:tc>
          <w:tcPr>
            <w:tcW w:w="792" w:type="dxa"/>
            <w:tcBorders>
              <w:top w:val="single" w:color="auto" w:sz="4" w:space="0"/>
              <w:left w:val="nil"/>
              <w:bottom w:val="single" w:color="auto" w:sz="4" w:space="0"/>
              <w:right w:val="single" w:color="auto" w:sz="4" w:space="0"/>
            </w:tcBorders>
            <w:shd w:val="clear" w:color="000000" w:fill="EEECE1"/>
            <w:vAlign w:val="center"/>
          </w:tcPr>
          <w:p w14:paraId="68257205">
            <w:pPr>
              <w:widowControl/>
              <w:spacing w:line="480" w:lineRule="auto"/>
              <w:jc w:val="center"/>
              <w:rPr>
                <w:rFonts w:ascii="Times New Roman" w:hAnsi="Times New Roman"/>
                <w:b/>
                <w:kern w:val="0"/>
                <w:sz w:val="24"/>
                <w:szCs w:val="24"/>
              </w:rPr>
            </w:pPr>
            <w:r>
              <w:rPr>
                <w:rFonts w:ascii="Times New Roman" w:hAnsi="Times New Roman"/>
                <w:b/>
                <w:kern w:val="0"/>
                <w:sz w:val="24"/>
                <w:szCs w:val="24"/>
              </w:rPr>
              <w:t>备注</w:t>
            </w:r>
          </w:p>
        </w:tc>
      </w:tr>
      <w:tr w14:paraId="24A7ADEE">
        <w:tblPrEx>
          <w:tblCellMar>
            <w:top w:w="0" w:type="dxa"/>
            <w:left w:w="108" w:type="dxa"/>
            <w:bottom w:w="0" w:type="dxa"/>
            <w:right w:w="108" w:type="dxa"/>
          </w:tblCellMar>
        </w:tblPrEx>
        <w:trPr>
          <w:trHeight w:val="878"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6C4EA096">
            <w:pPr>
              <w:spacing w:line="480" w:lineRule="auto"/>
              <w:jc w:val="center"/>
              <w:rPr>
                <w:rFonts w:hint="eastAsia" w:ascii="Times New Roman" w:hAnsi="Times New Roman"/>
                <w:sz w:val="24"/>
                <w:szCs w:val="24"/>
                <w:highlight w:val="none"/>
              </w:rPr>
            </w:pPr>
            <w:r>
              <w:rPr>
                <w:rFonts w:hint="eastAsia" w:ascii="Times New Roman" w:hAnsi="Times New Roman"/>
                <w:sz w:val="24"/>
                <w:szCs w:val="24"/>
                <w:highlight w:val="none"/>
              </w:rPr>
              <w:t>1</w:t>
            </w:r>
          </w:p>
        </w:tc>
        <w:tc>
          <w:tcPr>
            <w:tcW w:w="3293" w:type="dxa"/>
            <w:tcBorders>
              <w:top w:val="single" w:color="auto" w:sz="4" w:space="0"/>
              <w:left w:val="nil"/>
              <w:bottom w:val="single" w:color="auto" w:sz="4" w:space="0"/>
              <w:right w:val="single" w:color="auto" w:sz="4" w:space="0"/>
            </w:tcBorders>
            <w:vAlign w:val="center"/>
          </w:tcPr>
          <w:p w14:paraId="04564E33">
            <w:pPr>
              <w:spacing w:line="480" w:lineRule="auto"/>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电子式互感器电流采集卡</w:t>
            </w:r>
          </w:p>
        </w:tc>
        <w:tc>
          <w:tcPr>
            <w:tcW w:w="3120" w:type="dxa"/>
            <w:tcBorders>
              <w:top w:val="single" w:color="auto" w:sz="4" w:space="0"/>
              <w:left w:val="nil"/>
              <w:bottom w:val="single" w:color="auto" w:sz="4" w:space="0"/>
              <w:right w:val="single" w:color="auto" w:sz="4" w:space="0"/>
            </w:tcBorders>
            <w:vAlign w:val="center"/>
          </w:tcPr>
          <w:p w14:paraId="03F993F0">
            <w:pPr>
              <w:spacing w:line="480" w:lineRule="auto"/>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TSD200-OET</w:t>
            </w:r>
          </w:p>
        </w:tc>
        <w:tc>
          <w:tcPr>
            <w:tcW w:w="795" w:type="dxa"/>
            <w:tcBorders>
              <w:top w:val="single" w:color="auto" w:sz="4" w:space="0"/>
              <w:left w:val="nil"/>
              <w:bottom w:val="single" w:color="auto" w:sz="4" w:space="0"/>
              <w:right w:val="single" w:color="auto" w:sz="4" w:space="0"/>
            </w:tcBorders>
            <w:vAlign w:val="center"/>
          </w:tcPr>
          <w:p w14:paraId="42FA6F9A">
            <w:pPr>
              <w:spacing w:line="480" w:lineRule="auto"/>
              <w:jc w:val="center"/>
              <w:rPr>
                <w:rFonts w:hint="eastAsia" w:ascii="宋体" w:hAnsi="宋体" w:eastAsia="宋体" w:cs="宋体"/>
                <w:kern w:val="2"/>
                <w:sz w:val="24"/>
                <w:szCs w:val="24"/>
                <w:highlight w:val="none"/>
                <w:lang w:val="en-US" w:eastAsia="zh-CN" w:bidi="ar-SA"/>
              </w:rPr>
            </w:pPr>
            <w:r>
              <w:rPr>
                <w:rFonts w:hint="eastAsia" w:ascii="宋体" w:hAnsi="宋体" w:cs="宋体"/>
                <w:sz w:val="24"/>
                <w:szCs w:val="24"/>
                <w:highlight w:val="none"/>
                <w:lang w:val="en-US" w:eastAsia="zh-CN"/>
              </w:rPr>
              <w:t>块</w:t>
            </w:r>
          </w:p>
        </w:tc>
        <w:tc>
          <w:tcPr>
            <w:tcW w:w="810" w:type="dxa"/>
            <w:tcBorders>
              <w:top w:val="single" w:color="auto" w:sz="4" w:space="0"/>
              <w:left w:val="nil"/>
              <w:bottom w:val="single" w:color="auto" w:sz="4" w:space="0"/>
              <w:right w:val="single" w:color="auto" w:sz="4" w:space="0"/>
            </w:tcBorders>
            <w:vAlign w:val="center"/>
          </w:tcPr>
          <w:p w14:paraId="425F3B41">
            <w:pPr>
              <w:spacing w:line="480" w:lineRule="auto"/>
              <w:jc w:val="center"/>
              <w:rPr>
                <w:rFonts w:hint="eastAsia" w:ascii="宋体" w:hAnsi="宋体" w:eastAsia="宋体" w:cs="宋体"/>
                <w:kern w:val="2"/>
                <w:sz w:val="24"/>
                <w:szCs w:val="24"/>
                <w:highlight w:val="none"/>
                <w:lang w:val="en-US" w:eastAsia="zh-CN" w:bidi="ar-SA"/>
              </w:rPr>
            </w:pPr>
            <w:r>
              <w:rPr>
                <w:rFonts w:hint="eastAsia" w:ascii="宋体" w:hAnsi="宋体" w:cs="宋体"/>
                <w:sz w:val="24"/>
                <w:szCs w:val="24"/>
                <w:highlight w:val="none"/>
                <w:lang w:val="en-US" w:eastAsia="zh-CN"/>
              </w:rPr>
              <w:t>3</w:t>
            </w:r>
          </w:p>
        </w:tc>
        <w:tc>
          <w:tcPr>
            <w:tcW w:w="792" w:type="dxa"/>
            <w:tcBorders>
              <w:top w:val="single" w:color="auto" w:sz="4" w:space="0"/>
              <w:left w:val="nil"/>
              <w:bottom w:val="single" w:color="auto" w:sz="4" w:space="0"/>
              <w:right w:val="single" w:color="auto" w:sz="4" w:space="0"/>
            </w:tcBorders>
            <w:vAlign w:val="center"/>
          </w:tcPr>
          <w:p w14:paraId="078DBA11">
            <w:pPr>
              <w:spacing w:line="480" w:lineRule="auto"/>
              <w:jc w:val="center"/>
              <w:rPr>
                <w:rFonts w:hint="eastAsia" w:ascii="宋体" w:hAnsi="宋体" w:eastAsia="宋体" w:cs="宋体"/>
                <w:sz w:val="24"/>
                <w:szCs w:val="24"/>
                <w:highlight w:val="none"/>
                <w:lang w:eastAsia="zh-CN"/>
              </w:rPr>
            </w:pPr>
          </w:p>
        </w:tc>
      </w:tr>
      <w:tr w14:paraId="3323C3FA">
        <w:tblPrEx>
          <w:tblCellMar>
            <w:top w:w="0" w:type="dxa"/>
            <w:left w:w="108" w:type="dxa"/>
            <w:bottom w:w="0" w:type="dxa"/>
            <w:right w:w="108" w:type="dxa"/>
          </w:tblCellMar>
        </w:tblPrEx>
        <w:trPr>
          <w:trHeight w:val="557"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0B343568">
            <w:pPr>
              <w:spacing w:line="480" w:lineRule="auto"/>
              <w:jc w:val="center"/>
              <w:rPr>
                <w:rFonts w:hint="eastAsia"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2</w:t>
            </w:r>
          </w:p>
        </w:tc>
        <w:tc>
          <w:tcPr>
            <w:tcW w:w="3293" w:type="dxa"/>
            <w:tcBorders>
              <w:top w:val="single" w:color="auto" w:sz="4" w:space="0"/>
              <w:left w:val="nil"/>
              <w:bottom w:val="single" w:color="auto" w:sz="4" w:space="0"/>
              <w:right w:val="single" w:color="auto" w:sz="4" w:space="0"/>
            </w:tcBorders>
            <w:vAlign w:val="center"/>
          </w:tcPr>
          <w:p w14:paraId="792784C8">
            <w:pPr>
              <w:spacing w:line="480" w:lineRule="auto"/>
              <w:jc w:val="center"/>
              <w:rPr>
                <w:rFonts w:hint="default"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电子式互感器电压采集卡</w:t>
            </w:r>
          </w:p>
        </w:tc>
        <w:tc>
          <w:tcPr>
            <w:tcW w:w="3120" w:type="dxa"/>
            <w:tcBorders>
              <w:top w:val="single" w:color="auto" w:sz="4" w:space="0"/>
              <w:left w:val="nil"/>
              <w:bottom w:val="single" w:color="auto" w:sz="4" w:space="0"/>
              <w:right w:val="single" w:color="auto" w:sz="4" w:space="0"/>
            </w:tcBorders>
            <w:vAlign w:val="center"/>
          </w:tcPr>
          <w:p w14:paraId="0880FC1A">
            <w:pPr>
              <w:spacing w:line="480" w:lineRule="auto"/>
              <w:jc w:val="center"/>
              <w:rPr>
                <w:rFonts w:hint="eastAsia"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TSD200-OET</w:t>
            </w:r>
          </w:p>
        </w:tc>
        <w:tc>
          <w:tcPr>
            <w:tcW w:w="795" w:type="dxa"/>
            <w:tcBorders>
              <w:top w:val="single" w:color="auto" w:sz="4" w:space="0"/>
              <w:left w:val="nil"/>
              <w:bottom w:val="single" w:color="auto" w:sz="4" w:space="0"/>
              <w:right w:val="single" w:color="auto" w:sz="4" w:space="0"/>
            </w:tcBorders>
            <w:vAlign w:val="center"/>
          </w:tcPr>
          <w:p w14:paraId="6C3D4410">
            <w:pPr>
              <w:spacing w:line="480" w:lineRule="auto"/>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块</w:t>
            </w:r>
          </w:p>
        </w:tc>
        <w:tc>
          <w:tcPr>
            <w:tcW w:w="810" w:type="dxa"/>
            <w:tcBorders>
              <w:top w:val="single" w:color="auto" w:sz="4" w:space="0"/>
              <w:left w:val="nil"/>
              <w:bottom w:val="single" w:color="auto" w:sz="4" w:space="0"/>
              <w:right w:val="single" w:color="auto" w:sz="4" w:space="0"/>
            </w:tcBorders>
            <w:vAlign w:val="center"/>
          </w:tcPr>
          <w:p w14:paraId="3CBEEE1E">
            <w:pPr>
              <w:spacing w:line="480" w:lineRule="auto"/>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2</w:t>
            </w:r>
          </w:p>
        </w:tc>
        <w:tc>
          <w:tcPr>
            <w:tcW w:w="792" w:type="dxa"/>
            <w:tcBorders>
              <w:top w:val="single" w:color="auto" w:sz="4" w:space="0"/>
              <w:left w:val="nil"/>
              <w:bottom w:val="single" w:color="auto" w:sz="4" w:space="0"/>
              <w:right w:val="single" w:color="auto" w:sz="4" w:space="0"/>
            </w:tcBorders>
            <w:vAlign w:val="center"/>
          </w:tcPr>
          <w:p w14:paraId="1434C38F">
            <w:pPr>
              <w:spacing w:line="480" w:lineRule="auto"/>
              <w:jc w:val="center"/>
              <w:rPr>
                <w:rFonts w:hint="eastAsia" w:ascii="宋体" w:hAnsi="宋体" w:eastAsia="宋体" w:cs="宋体"/>
                <w:sz w:val="24"/>
                <w:szCs w:val="24"/>
                <w:highlight w:val="none"/>
                <w:lang w:eastAsia="zh-CN"/>
              </w:rPr>
            </w:pPr>
          </w:p>
        </w:tc>
      </w:tr>
    </w:tbl>
    <w:p w14:paraId="0100178E">
      <w:pPr>
        <w:pStyle w:val="8"/>
        <w:adjustRightInd w:val="0"/>
        <w:snapToGrid w:val="0"/>
        <w:spacing w:line="480" w:lineRule="auto"/>
        <w:rPr>
          <w:rFonts w:hint="eastAsia" w:ascii="Times New Roman" w:hAnsi="Times New Roman" w:eastAsia="宋体" w:cs="Times New Roman"/>
          <w:b/>
          <w:bCs/>
          <w:kern w:val="2"/>
          <w:sz w:val="24"/>
          <w:szCs w:val="24"/>
          <w:lang w:val="en-US" w:eastAsia="zh-CN" w:bidi="ar-SA"/>
        </w:rPr>
      </w:pPr>
    </w:p>
    <w:p w14:paraId="517C57BF">
      <w:pPr>
        <w:pStyle w:val="6"/>
        <w:rPr>
          <w:rFonts w:hint="eastAsia"/>
          <w:color w:val="auto"/>
        </w:rPr>
      </w:pPr>
      <w:r>
        <w:rPr>
          <w:rFonts w:hint="eastAsia"/>
          <w:color w:val="auto"/>
          <w:lang w:val="en-US" w:eastAsia="zh-CN"/>
        </w:rPr>
        <w:t>1</w:t>
      </w:r>
      <w:r>
        <w:rPr>
          <w:rFonts w:hint="eastAsia"/>
          <w:color w:val="auto"/>
        </w:rPr>
        <w:t>）小信号模拟量输出应采取必要的屏蔽措施，采用屏蔽电缆和航空插头方式输出。小信号模拟量输出的电子式互感器其二次输出电压推荐采用以下标准：</w:t>
      </w:r>
    </w:p>
    <w:p w14:paraId="04D11E23">
      <w:pPr>
        <w:pStyle w:val="6"/>
        <w:rPr>
          <w:rFonts w:hint="eastAsia"/>
          <w:color w:val="auto"/>
        </w:rPr>
      </w:pPr>
      <w:r>
        <w:rPr>
          <w:rFonts w:hint="eastAsia"/>
          <w:color w:val="auto"/>
        </w:rPr>
        <w:t>保护电流：</w:t>
      </w:r>
      <w:r>
        <w:rPr>
          <w:rFonts w:hint="eastAsia"/>
          <w:color w:val="auto"/>
          <w:lang w:val="en-US" w:eastAsia="zh-CN"/>
        </w:rPr>
        <w:t>150</w:t>
      </w:r>
      <w:r>
        <w:rPr>
          <w:rFonts w:hint="eastAsia"/>
          <w:color w:val="auto"/>
        </w:rPr>
        <w:t>mV；</w:t>
      </w:r>
    </w:p>
    <w:p w14:paraId="6DE09690">
      <w:pPr>
        <w:pStyle w:val="6"/>
        <w:rPr>
          <w:rFonts w:hint="eastAsia"/>
          <w:color w:val="auto"/>
        </w:rPr>
      </w:pPr>
      <w:r>
        <w:rPr>
          <w:rFonts w:hint="eastAsia"/>
          <w:color w:val="auto"/>
        </w:rPr>
        <w:t>测量电流：</w:t>
      </w:r>
      <w:r>
        <w:rPr>
          <w:rFonts w:hint="eastAsia"/>
          <w:color w:val="auto"/>
          <w:lang w:val="en-US" w:eastAsia="zh-CN"/>
        </w:rPr>
        <w:t>1.5</w:t>
      </w:r>
      <w:r>
        <w:rPr>
          <w:rFonts w:hint="eastAsia"/>
          <w:color w:val="auto"/>
        </w:rPr>
        <w:t>V；</w:t>
      </w:r>
    </w:p>
    <w:p w14:paraId="37F4E932">
      <w:pPr>
        <w:pStyle w:val="6"/>
        <w:rPr>
          <w:rFonts w:hint="eastAsia"/>
          <w:color w:val="auto"/>
        </w:rPr>
      </w:pPr>
      <w:r>
        <w:rPr>
          <w:rFonts w:hint="eastAsia"/>
          <w:color w:val="auto"/>
        </w:rPr>
        <w:t>电    压：</w:t>
      </w:r>
      <w:r>
        <w:rPr>
          <w:rFonts w:hint="eastAsia"/>
          <w:color w:val="auto"/>
          <w:lang w:val="en-US" w:eastAsia="zh-CN"/>
        </w:rPr>
        <w:t>1.5</w:t>
      </w:r>
      <w:r>
        <w:rPr>
          <w:rFonts w:hint="eastAsia"/>
          <w:color w:val="auto"/>
        </w:rPr>
        <w:t>V；</w:t>
      </w:r>
    </w:p>
    <w:p w14:paraId="285E23D1">
      <w:pPr>
        <w:pStyle w:val="6"/>
        <w:rPr>
          <w:rFonts w:hint="eastAsia"/>
          <w:color w:val="auto"/>
        </w:rPr>
      </w:pPr>
      <w:r>
        <w:rPr>
          <w:rFonts w:hint="eastAsia"/>
          <w:color w:val="auto"/>
        </w:rPr>
        <w:t>2）电子式互感器</w:t>
      </w:r>
      <w:r>
        <w:rPr>
          <w:rFonts w:hint="eastAsia"/>
          <w:color w:val="auto"/>
          <w:lang w:val="en-US" w:eastAsia="zh-CN"/>
        </w:rPr>
        <w:t>采集卡</w:t>
      </w:r>
      <w:r>
        <w:rPr>
          <w:rFonts w:hint="eastAsia"/>
          <w:color w:val="auto"/>
        </w:rPr>
        <w:t>采用数字量输出时应采用光纤传输，光纤为</w:t>
      </w:r>
      <w:r>
        <w:rPr>
          <w:color w:val="auto"/>
        </w:rPr>
        <w:t>850nm</w:t>
      </w:r>
      <w:r>
        <w:rPr>
          <w:rFonts w:hint="eastAsia"/>
          <w:color w:val="auto"/>
        </w:rPr>
        <w:t>多模光纤，物理接头方式采用</w:t>
      </w:r>
      <w:r>
        <w:rPr>
          <w:color w:val="auto"/>
        </w:rPr>
        <w:t>ST</w:t>
      </w:r>
      <w:r>
        <w:rPr>
          <w:rFonts w:hint="eastAsia"/>
          <w:color w:val="auto"/>
        </w:rPr>
        <w:t>接头。数据在保证可靠接收的前提下，传输距离不大于</w:t>
      </w:r>
      <w:r>
        <w:rPr>
          <w:color w:val="auto"/>
        </w:rPr>
        <w:t>1km</w:t>
      </w:r>
      <w:r>
        <w:rPr>
          <w:rFonts w:hint="eastAsia"/>
          <w:color w:val="auto"/>
        </w:rPr>
        <w:t>。</w:t>
      </w:r>
    </w:p>
    <w:p w14:paraId="0EA3042E">
      <w:pPr>
        <w:pStyle w:val="6"/>
        <w:rPr>
          <w:rFonts w:hint="eastAsia"/>
          <w:color w:val="auto"/>
        </w:rPr>
      </w:pPr>
      <w:r>
        <w:rPr>
          <w:rFonts w:hint="eastAsia"/>
          <w:color w:val="auto"/>
        </w:rPr>
        <w:t>3）当电子式互感器</w:t>
      </w:r>
      <w:r>
        <w:rPr>
          <w:rFonts w:hint="eastAsia"/>
          <w:color w:val="auto"/>
          <w:lang w:val="en-US" w:eastAsia="zh-CN"/>
        </w:rPr>
        <w:t>采集卡</w:t>
      </w:r>
      <w:r>
        <w:rPr>
          <w:rFonts w:hint="eastAsia"/>
          <w:color w:val="auto"/>
        </w:rPr>
        <w:t>未收到合并单元的同步信号时，应使用自身时钟按设定频率进行采样，即从触发采样时刻到数据发送完成时刻之间为固定延时。</w:t>
      </w:r>
    </w:p>
    <w:p w14:paraId="740AA85E">
      <w:pPr>
        <w:pStyle w:val="6"/>
        <w:rPr>
          <w:rFonts w:hint="eastAsia"/>
          <w:color w:val="auto"/>
        </w:rPr>
      </w:pPr>
      <w:r>
        <w:rPr>
          <w:rFonts w:hint="eastAsia"/>
          <w:color w:val="auto"/>
        </w:rPr>
        <w:t>4）电子式互感器</w:t>
      </w:r>
      <w:r>
        <w:rPr>
          <w:rFonts w:hint="eastAsia"/>
          <w:color w:val="auto"/>
          <w:lang w:val="en-US" w:eastAsia="zh-CN"/>
        </w:rPr>
        <w:t>采集卡</w:t>
      </w:r>
      <w:r>
        <w:rPr>
          <w:rFonts w:hint="eastAsia"/>
          <w:color w:val="auto"/>
        </w:rPr>
        <w:t>应满足适应各种工作环境，应不低于以下标准：</w:t>
      </w:r>
    </w:p>
    <w:p w14:paraId="6C5097FA">
      <w:pPr>
        <w:pStyle w:val="6"/>
        <w:rPr>
          <w:rFonts w:hint="eastAsia"/>
        </w:rPr>
      </w:pPr>
      <w:r>
        <w:t xml:space="preserve">环境温度 </w:t>
      </w:r>
      <w:r>
        <w:rPr>
          <w:rFonts w:hint="eastAsia"/>
        </w:rPr>
        <w:t>：</w:t>
      </w:r>
    </w:p>
    <w:p w14:paraId="7B8A83E2">
      <w:pPr>
        <w:pStyle w:val="6"/>
        <w:rPr>
          <w:rFonts w:hint="eastAsia"/>
        </w:rPr>
      </w:pPr>
      <w:r>
        <w:t>–</w:t>
      </w:r>
      <w:r>
        <w:rPr>
          <w:rFonts w:hint="eastAsia"/>
        </w:rPr>
        <w:t>40</w:t>
      </w:r>
      <w:r>
        <w:t>°C～+</w:t>
      </w:r>
      <w:r>
        <w:rPr>
          <w:rFonts w:hint="eastAsia"/>
        </w:rPr>
        <w:t>70</w:t>
      </w:r>
      <w:r>
        <w:t xml:space="preserve">°C </w:t>
      </w:r>
      <w:r>
        <w:rPr>
          <w:rFonts w:hint="eastAsia"/>
        </w:rPr>
        <w:t>（户外）；</w:t>
      </w:r>
    </w:p>
    <w:p w14:paraId="47E3755F">
      <w:pPr>
        <w:pStyle w:val="6"/>
        <w:rPr>
          <w:rFonts w:hint="eastAsia"/>
        </w:rPr>
      </w:pPr>
      <w:r>
        <w:rPr>
          <w:rFonts w:hint="eastAsia"/>
        </w:rPr>
        <w:t>-5</w:t>
      </w:r>
      <w:r>
        <w:t>℃</w:t>
      </w:r>
      <w:r>
        <w:rPr>
          <w:rFonts w:hint="eastAsia"/>
        </w:rPr>
        <w:t>～＋45</w:t>
      </w:r>
      <w:r>
        <w:t>℃</w:t>
      </w:r>
      <w:r>
        <w:rPr>
          <w:rFonts w:hint="eastAsia"/>
        </w:rPr>
        <w:t>（户内）；</w:t>
      </w:r>
    </w:p>
    <w:p w14:paraId="2E2521F7">
      <w:pPr>
        <w:pStyle w:val="6"/>
      </w:pPr>
      <w:r>
        <w:t xml:space="preserve">最大日温差： 25K； </w:t>
      </w:r>
    </w:p>
    <w:p w14:paraId="2DE57585">
      <w:pPr>
        <w:pStyle w:val="6"/>
        <w:rPr>
          <w:rFonts w:hint="eastAsia"/>
        </w:rPr>
      </w:pPr>
      <w:r>
        <w:t xml:space="preserve">最大相对湿度 </w:t>
      </w:r>
      <w:r>
        <w:rPr>
          <w:rFonts w:hint="eastAsia"/>
        </w:rPr>
        <w:t>：</w:t>
      </w:r>
      <w:r>
        <w:t>95%（日平均）</w:t>
      </w:r>
      <w:r>
        <w:rPr>
          <w:rFonts w:hint="eastAsia"/>
        </w:rPr>
        <w:t>，</w:t>
      </w:r>
      <w:r>
        <w:t>90%（月平均）</w:t>
      </w:r>
      <w:r>
        <w:rPr>
          <w:rFonts w:hint="eastAsia"/>
        </w:rPr>
        <w:t>；</w:t>
      </w:r>
    </w:p>
    <w:p w14:paraId="4E79FD02">
      <w:pPr>
        <w:pStyle w:val="6"/>
        <w:rPr>
          <w:rFonts w:hint="eastAsia"/>
          <w:color w:val="auto"/>
        </w:rPr>
      </w:pPr>
      <w:r>
        <w:rPr>
          <w:rFonts w:hint="eastAsia" w:ascii="Calibri" w:hAnsi="Calibri" w:eastAsia="宋体" w:cs="Times New Roman"/>
          <w:color w:val="auto"/>
          <w:kern w:val="2"/>
          <w:sz w:val="24"/>
          <w:szCs w:val="22"/>
          <w:lang w:val="en-US" w:eastAsia="zh-CN" w:bidi="ar-SA"/>
        </w:rPr>
        <w:t>5）</w:t>
      </w:r>
      <w:r>
        <w:rPr>
          <w:rFonts w:hint="eastAsia"/>
          <w:color w:val="auto"/>
        </w:rPr>
        <w:t>接收来自最多达</w:t>
      </w:r>
      <w:r>
        <w:rPr>
          <w:rFonts w:hint="eastAsia"/>
          <w:color w:val="auto"/>
          <w:lang w:val="en-US" w:eastAsia="zh-CN"/>
        </w:rPr>
        <w:t>2</w:t>
      </w:r>
      <w:r>
        <w:rPr>
          <w:rFonts w:hint="eastAsia"/>
          <w:color w:val="auto"/>
        </w:rPr>
        <w:t>路</w:t>
      </w:r>
      <w:r>
        <w:rPr>
          <w:rFonts w:hint="eastAsia"/>
          <w:color w:val="auto"/>
          <w:lang w:val="en-US" w:eastAsia="zh-CN"/>
        </w:rPr>
        <w:t>模拟电流信号</w:t>
      </w:r>
      <w:r>
        <w:rPr>
          <w:rFonts w:hint="eastAsia"/>
          <w:color w:val="auto"/>
        </w:rPr>
        <w:t>的采样光信号、</w:t>
      </w:r>
      <w:r>
        <w:rPr>
          <w:rFonts w:hint="eastAsia"/>
          <w:color w:val="auto"/>
          <w:lang w:val="en-US" w:eastAsia="zh-CN"/>
        </w:rPr>
        <w:t>1</w:t>
      </w:r>
      <w:r>
        <w:rPr>
          <w:rFonts w:hint="eastAsia"/>
          <w:color w:val="auto"/>
        </w:rPr>
        <w:t>路电压</w:t>
      </w:r>
      <w:r>
        <w:rPr>
          <w:rFonts w:hint="eastAsia"/>
          <w:color w:val="auto"/>
          <w:lang w:val="en-US" w:eastAsia="zh-CN"/>
        </w:rPr>
        <w:t>模拟电压</w:t>
      </w:r>
      <w:r>
        <w:rPr>
          <w:rFonts w:hint="eastAsia"/>
          <w:color w:val="auto"/>
        </w:rPr>
        <w:t>信号，对原始数据处理之后按照IEC-61850-9规约</w:t>
      </w:r>
      <w:r>
        <w:rPr>
          <w:rFonts w:hint="eastAsia"/>
          <w:color w:val="auto"/>
          <w:lang w:val="en-US" w:eastAsia="zh-CN"/>
        </w:rPr>
        <w:t>或</w:t>
      </w:r>
      <w:r>
        <w:rPr>
          <w:rFonts w:hint="eastAsia"/>
          <w:color w:val="auto"/>
          <w:lang w:eastAsia="zh-CN"/>
        </w:rPr>
        <w:t>（</w:t>
      </w:r>
      <w:r>
        <w:rPr>
          <w:rFonts w:hint="eastAsia"/>
          <w:color w:val="auto"/>
          <w:lang w:val="en-US" w:eastAsia="zh-CN"/>
        </w:rPr>
        <w:t>南瑞规约</w:t>
      </w:r>
      <w:r>
        <w:rPr>
          <w:rFonts w:hint="eastAsia"/>
          <w:color w:val="auto"/>
          <w:lang w:eastAsia="zh-CN"/>
        </w:rPr>
        <w:t>）</w:t>
      </w:r>
      <w:r>
        <w:rPr>
          <w:rFonts w:hint="eastAsia"/>
          <w:color w:val="auto"/>
        </w:rPr>
        <w:t>以光信号形式对外提供采集数据；</w:t>
      </w:r>
    </w:p>
    <w:p w14:paraId="68D86176">
      <w:pPr>
        <w:pStyle w:val="6"/>
        <w:rPr>
          <w:rFonts w:hint="eastAsia"/>
          <w:color w:val="auto"/>
        </w:rPr>
      </w:pPr>
      <w:r>
        <w:rPr>
          <w:rFonts w:hint="eastAsia"/>
          <w:color w:val="auto"/>
        </w:rPr>
        <w:t>可接收多种同步信号（IEC 61588、光B码和光纤秒脉冲）；</w:t>
      </w:r>
    </w:p>
    <w:p w14:paraId="22FBDDCE">
      <w:pPr>
        <w:pStyle w:val="6"/>
        <w:rPr>
          <w:rFonts w:hint="default" w:eastAsia="宋体"/>
          <w:color w:val="auto"/>
          <w:lang w:val="en-US" w:eastAsia="zh-CN"/>
        </w:rPr>
      </w:pPr>
      <w:r>
        <w:rPr>
          <w:rFonts w:hint="eastAsia"/>
          <w:color w:val="auto"/>
          <w:lang w:val="en-US" w:eastAsia="zh-CN"/>
        </w:rPr>
        <w:t>5</w:t>
      </w:r>
      <w:r>
        <w:rPr>
          <w:rFonts w:hint="eastAsia"/>
          <w:color w:val="auto"/>
        </w:rPr>
        <w:t>）</w:t>
      </w:r>
      <w:r>
        <w:rPr>
          <w:rFonts w:hint="eastAsia"/>
          <w:color w:val="auto"/>
          <w:lang w:val="en-US" w:eastAsia="zh-CN"/>
        </w:rPr>
        <w:t>投标厂家需提供相关电子式互感器采集卡维修业绩证明。</w:t>
      </w:r>
    </w:p>
    <w:p w14:paraId="0E9ABEE9">
      <w:pPr>
        <w:spacing w:line="480" w:lineRule="auto"/>
        <w:rPr>
          <w:rFonts w:hint="eastAsia" w:ascii="黑体" w:hAnsi="黑体" w:eastAsia="黑体" w:cs="Times New Roman"/>
          <w:b/>
          <w:sz w:val="24"/>
          <w:szCs w:val="24"/>
          <w:lang w:val="en-US" w:eastAsia="zh-CN"/>
        </w:rPr>
      </w:pPr>
      <w:r>
        <w:rPr>
          <w:rFonts w:hint="eastAsia" w:ascii="黑体" w:hAnsi="黑体" w:eastAsia="黑体" w:cs="Times New Roman"/>
          <w:b/>
          <w:sz w:val="24"/>
          <w:szCs w:val="24"/>
          <w:lang w:val="en-US" w:eastAsia="zh-CN"/>
        </w:rPr>
        <w:t xml:space="preserve">3 </w:t>
      </w:r>
      <w:bookmarkEnd w:id="5"/>
      <w:r>
        <w:rPr>
          <w:rFonts w:hint="eastAsia" w:ascii="黑体" w:hAnsi="黑体" w:eastAsia="黑体" w:cs="Times New Roman"/>
          <w:b/>
          <w:sz w:val="24"/>
          <w:szCs w:val="24"/>
          <w:lang w:val="en-US" w:eastAsia="zh-CN"/>
        </w:rPr>
        <w:t>主要供货（服务）范围</w:t>
      </w:r>
    </w:p>
    <w:p w14:paraId="74CF83F1">
      <w:pPr>
        <w:spacing w:line="480" w:lineRule="auto"/>
        <w:ind w:firstLine="480" w:firstLineChars="200"/>
        <w:rPr>
          <w:rFonts w:hint="eastAsia" w:eastAsia="宋体" w:cs="宋体"/>
          <w:kern w:val="2"/>
          <w:sz w:val="24"/>
          <w:szCs w:val="24"/>
          <w:lang w:val="en-US" w:eastAsia="zh-CN" w:bidi="ar-SA"/>
        </w:rPr>
      </w:pPr>
      <w:r>
        <w:rPr>
          <w:rFonts w:hint="eastAsia" w:eastAsia="宋体" w:cs="宋体"/>
          <w:kern w:val="2"/>
          <w:sz w:val="24"/>
          <w:szCs w:val="24"/>
          <w:lang w:val="en-US" w:eastAsia="zh-CN" w:bidi="ar-SA"/>
        </w:rPr>
        <w:t>进行凯里供电局110kV施洞变、东坡变电子式互感器采集</w:t>
      </w:r>
      <w:r>
        <w:rPr>
          <w:rFonts w:hint="eastAsia" w:cs="宋体"/>
          <w:kern w:val="2"/>
          <w:sz w:val="24"/>
          <w:szCs w:val="24"/>
          <w:lang w:val="en-US" w:eastAsia="zh-CN" w:bidi="ar-SA"/>
        </w:rPr>
        <w:t>卡更换</w:t>
      </w:r>
      <w:r>
        <w:rPr>
          <w:rFonts w:hint="eastAsia" w:eastAsia="宋体" w:cs="宋体"/>
          <w:kern w:val="2"/>
          <w:sz w:val="24"/>
          <w:szCs w:val="24"/>
          <w:lang w:val="en-US" w:eastAsia="zh-CN" w:bidi="ar-SA"/>
        </w:rPr>
        <w:t>工作。</w:t>
      </w:r>
    </w:p>
    <w:p w14:paraId="42EC337D">
      <w:pPr>
        <w:spacing w:line="480" w:lineRule="auto"/>
        <w:rPr>
          <w:rFonts w:hint="eastAsia" w:ascii="黑体" w:hAnsi="黑体" w:eastAsia="黑体" w:cs="Times New Roman"/>
          <w:b/>
          <w:sz w:val="24"/>
          <w:szCs w:val="24"/>
          <w:lang w:val="en-US" w:eastAsia="zh-CN"/>
        </w:rPr>
      </w:pPr>
      <w:r>
        <w:rPr>
          <w:rFonts w:hint="eastAsia" w:ascii="黑体" w:hAnsi="黑体" w:eastAsia="黑体" w:cs="Times New Roman"/>
          <w:b/>
          <w:sz w:val="24"/>
          <w:szCs w:val="24"/>
          <w:lang w:val="en-US" w:eastAsia="zh-CN"/>
        </w:rPr>
        <w:t>4 供货时间</w:t>
      </w:r>
    </w:p>
    <w:p w14:paraId="65BC368A">
      <w:pPr>
        <w:spacing w:line="480" w:lineRule="auto"/>
        <w:ind w:firstLine="480" w:firstLineChars="200"/>
        <w:rPr>
          <w:rFonts w:hint="default" w:eastAsia="宋体" w:cs="宋体"/>
          <w:kern w:val="2"/>
          <w:sz w:val="24"/>
          <w:szCs w:val="24"/>
          <w:lang w:val="en-US" w:eastAsia="zh-CN" w:bidi="ar-SA"/>
        </w:rPr>
      </w:pPr>
      <w:r>
        <w:rPr>
          <w:rFonts w:hint="eastAsia" w:eastAsia="宋体" w:cs="宋体"/>
          <w:kern w:val="2"/>
          <w:sz w:val="24"/>
          <w:szCs w:val="24"/>
          <w:lang w:val="en-US" w:eastAsia="zh-CN" w:bidi="ar-SA"/>
        </w:rPr>
        <w:t>现场勘察后15日内完成以上采集</w:t>
      </w:r>
      <w:r>
        <w:rPr>
          <w:rFonts w:hint="eastAsia" w:cs="宋体"/>
          <w:kern w:val="2"/>
          <w:sz w:val="24"/>
          <w:szCs w:val="24"/>
          <w:lang w:val="en-US" w:eastAsia="zh-CN" w:bidi="ar-SA"/>
        </w:rPr>
        <w:t>卡</w:t>
      </w:r>
      <w:r>
        <w:rPr>
          <w:rFonts w:hint="eastAsia" w:eastAsia="宋体" w:cs="宋体"/>
          <w:kern w:val="2"/>
          <w:sz w:val="24"/>
          <w:szCs w:val="24"/>
          <w:lang w:val="en-US" w:eastAsia="zh-CN" w:bidi="ar-SA"/>
        </w:rPr>
        <w:t>的缺陷检测及维修工作，并完成与合并单元通讯协议检测报告。</w:t>
      </w:r>
    </w:p>
    <w:p w14:paraId="3C27B2E5">
      <w:pPr>
        <w:spacing w:line="480" w:lineRule="auto"/>
        <w:rPr>
          <w:rFonts w:hint="eastAsia" w:ascii="黑体" w:hAnsi="黑体" w:eastAsia="黑体" w:cs="Times New Roman"/>
          <w:b/>
          <w:sz w:val="24"/>
          <w:szCs w:val="24"/>
          <w:lang w:val="en-US" w:eastAsia="zh-CN"/>
        </w:rPr>
      </w:pPr>
      <w:r>
        <w:rPr>
          <w:rFonts w:hint="eastAsia" w:ascii="黑体" w:hAnsi="黑体" w:eastAsia="黑体" w:cs="Times New Roman"/>
          <w:b/>
          <w:sz w:val="24"/>
          <w:szCs w:val="24"/>
          <w:lang w:val="en-US" w:eastAsia="zh-CN"/>
        </w:rPr>
        <w:t>5试验验收</w:t>
      </w:r>
    </w:p>
    <w:p w14:paraId="6A1826D9">
      <w:pPr>
        <w:spacing w:line="480" w:lineRule="auto"/>
        <w:rPr>
          <w:rFonts w:hint="eastAsia" w:ascii="黑体" w:hAnsi="黑体" w:eastAsia="黑体" w:cs="Times New Roman"/>
          <w:b/>
          <w:sz w:val="24"/>
          <w:szCs w:val="24"/>
          <w:lang w:val="en-US" w:eastAsia="zh-CN"/>
        </w:rPr>
      </w:pPr>
      <w:r>
        <w:rPr>
          <w:rFonts w:hint="eastAsia" w:ascii="黑体" w:hAnsi="黑体" w:eastAsia="黑体" w:cs="Times New Roman"/>
          <w:b/>
          <w:sz w:val="24"/>
          <w:szCs w:val="24"/>
          <w:lang w:val="en-US" w:eastAsia="zh-CN"/>
        </w:rPr>
        <w:t>5.1 试验</w:t>
      </w:r>
    </w:p>
    <w:p w14:paraId="58E900C8">
      <w:pPr>
        <w:spacing w:line="480" w:lineRule="auto"/>
        <w:rPr>
          <w:rFonts w:hint="eastAsia" w:eastAsia="宋体" w:cs="宋体"/>
          <w:b/>
          <w:bCs/>
          <w:kern w:val="2"/>
          <w:sz w:val="24"/>
          <w:szCs w:val="24"/>
          <w:lang w:val="en-US" w:eastAsia="zh-CN" w:bidi="ar-SA"/>
        </w:rPr>
      </w:pPr>
      <w:r>
        <w:rPr>
          <w:rFonts w:hint="eastAsia" w:cs="宋体"/>
          <w:b/>
          <w:bCs/>
          <w:kern w:val="2"/>
          <w:sz w:val="24"/>
          <w:szCs w:val="24"/>
          <w:lang w:val="en-US" w:eastAsia="zh-CN" w:bidi="ar-SA"/>
        </w:rPr>
        <w:t>5</w:t>
      </w:r>
      <w:r>
        <w:rPr>
          <w:rFonts w:hint="eastAsia" w:eastAsia="宋体" w:cs="宋体"/>
          <w:b/>
          <w:bCs/>
          <w:kern w:val="2"/>
          <w:sz w:val="24"/>
          <w:szCs w:val="24"/>
          <w:lang w:val="en-US" w:eastAsia="zh-CN" w:bidi="ar-SA"/>
        </w:rPr>
        <w:t>.1.1各种检验必须经验收检查合格</w:t>
      </w:r>
      <w:r>
        <w:rPr>
          <w:rFonts w:hint="eastAsia" w:cs="宋体"/>
          <w:b/>
          <w:bCs/>
          <w:kern w:val="2"/>
          <w:sz w:val="24"/>
          <w:szCs w:val="24"/>
          <w:lang w:val="en-US" w:eastAsia="zh-CN" w:bidi="ar-SA"/>
        </w:rPr>
        <w:t>，维修后的采集卡与现场合并单元可实现正常通讯，通讯规约满足国网FT3、南瑞规约6、南瑞规约10等通讯方式，维修厂家按现场通讯协议做相关测试并出第三方检测报告</w:t>
      </w:r>
      <w:r>
        <w:rPr>
          <w:rFonts w:hint="eastAsia" w:eastAsia="宋体" w:cs="宋体"/>
          <w:b/>
          <w:bCs/>
          <w:kern w:val="2"/>
          <w:sz w:val="24"/>
          <w:szCs w:val="24"/>
          <w:lang w:val="en-US" w:eastAsia="zh-CN" w:bidi="ar-SA"/>
        </w:rPr>
        <w:t>。</w:t>
      </w:r>
    </w:p>
    <w:p w14:paraId="623A7877">
      <w:pPr>
        <w:spacing w:line="480" w:lineRule="auto"/>
        <w:rPr>
          <w:rFonts w:hint="eastAsia" w:eastAsia="宋体" w:cs="宋体"/>
          <w:kern w:val="2"/>
          <w:sz w:val="24"/>
          <w:szCs w:val="24"/>
          <w:lang w:val="en-US" w:eastAsia="zh-CN" w:bidi="ar-SA"/>
        </w:rPr>
      </w:pPr>
      <w:r>
        <w:rPr>
          <w:rFonts w:hint="eastAsia" w:cs="宋体"/>
          <w:kern w:val="2"/>
          <w:sz w:val="24"/>
          <w:szCs w:val="24"/>
          <w:lang w:val="en-US" w:eastAsia="zh-CN" w:bidi="ar-SA"/>
        </w:rPr>
        <w:t>5</w:t>
      </w:r>
      <w:r>
        <w:rPr>
          <w:rFonts w:hint="eastAsia" w:eastAsia="宋体" w:cs="宋体"/>
          <w:kern w:val="2"/>
          <w:sz w:val="24"/>
          <w:szCs w:val="24"/>
          <w:lang w:val="en-US" w:eastAsia="zh-CN" w:bidi="ar-SA"/>
        </w:rPr>
        <w:t>.</w:t>
      </w:r>
      <w:r>
        <w:rPr>
          <w:rFonts w:hint="eastAsia" w:cs="宋体"/>
          <w:kern w:val="2"/>
          <w:sz w:val="24"/>
          <w:szCs w:val="24"/>
          <w:lang w:val="en-US" w:eastAsia="zh-CN" w:bidi="ar-SA"/>
        </w:rPr>
        <w:t>2</w:t>
      </w:r>
      <w:r>
        <w:rPr>
          <w:rFonts w:hint="eastAsia" w:eastAsia="宋体" w:cs="宋体"/>
          <w:kern w:val="2"/>
          <w:sz w:val="24"/>
          <w:szCs w:val="24"/>
          <w:lang w:val="en-US" w:eastAsia="zh-CN" w:bidi="ar-SA"/>
        </w:rPr>
        <w:t>验收标准：</w:t>
      </w:r>
    </w:p>
    <w:p w14:paraId="37F80A70">
      <w:pPr>
        <w:spacing w:line="480" w:lineRule="auto"/>
        <w:ind w:firstLine="480" w:firstLineChars="200"/>
        <w:rPr>
          <w:rFonts w:hint="eastAsia" w:eastAsia="宋体" w:cs="宋体"/>
          <w:kern w:val="2"/>
          <w:sz w:val="24"/>
          <w:szCs w:val="24"/>
          <w:lang w:val="en-US" w:eastAsia="zh-CN" w:bidi="ar-SA"/>
        </w:rPr>
      </w:pPr>
      <w:r>
        <w:rPr>
          <w:rFonts w:hint="eastAsia" w:eastAsia="宋体" w:cs="宋体"/>
          <w:kern w:val="2"/>
          <w:sz w:val="24"/>
          <w:szCs w:val="24"/>
          <w:lang w:val="en-US" w:eastAsia="zh-CN" w:bidi="ar-SA"/>
        </w:rPr>
        <w:t>验收以技术协议及相关规程为准。</w:t>
      </w:r>
    </w:p>
    <w:p w14:paraId="6EBC6176">
      <w:pPr>
        <w:spacing w:line="480" w:lineRule="auto"/>
        <w:rPr>
          <w:rFonts w:hint="eastAsia" w:ascii="宋体" w:hAnsi="宋体"/>
          <w:b/>
          <w:sz w:val="24"/>
          <w:szCs w:val="24"/>
        </w:rPr>
      </w:pPr>
      <w:r>
        <w:rPr>
          <w:rFonts w:hint="eastAsia" w:ascii="宋体" w:hAnsi="宋体"/>
          <w:b/>
          <w:sz w:val="24"/>
          <w:szCs w:val="24"/>
          <w:lang w:val="en-US" w:eastAsia="zh-CN"/>
        </w:rPr>
        <w:t>6</w:t>
      </w:r>
      <w:r>
        <w:rPr>
          <w:rFonts w:hint="eastAsia" w:ascii="宋体" w:hAnsi="宋体"/>
          <w:b/>
          <w:sz w:val="24"/>
          <w:szCs w:val="24"/>
        </w:rPr>
        <w:t>.售后服务</w:t>
      </w:r>
    </w:p>
    <w:p w14:paraId="469A7E31">
      <w:pPr>
        <w:spacing w:line="480" w:lineRule="auto"/>
        <w:rPr>
          <w:rFonts w:hint="eastAsia" w:eastAsia="宋体" w:cs="宋体"/>
          <w:kern w:val="2"/>
          <w:sz w:val="24"/>
          <w:szCs w:val="24"/>
          <w:lang w:val="en-US" w:eastAsia="zh-CN" w:bidi="ar-SA"/>
        </w:rPr>
      </w:pPr>
      <w:r>
        <w:rPr>
          <w:rFonts w:hint="eastAsia" w:eastAsia="宋体" w:cs="宋体"/>
          <w:kern w:val="2"/>
          <w:sz w:val="24"/>
          <w:szCs w:val="24"/>
          <w:lang w:val="en-US" w:eastAsia="zh-CN" w:bidi="ar-SA"/>
        </w:rPr>
        <w:t>5.1 产品在</w:t>
      </w:r>
      <w:bookmarkStart w:id="6" w:name="_GoBack"/>
      <w:r>
        <w:rPr>
          <w:rFonts w:hint="eastAsia" w:eastAsia="宋体" w:cs="宋体"/>
          <w:kern w:val="2"/>
          <w:sz w:val="24"/>
          <w:szCs w:val="24"/>
          <w:lang w:val="en-US" w:eastAsia="zh-CN" w:bidi="ar-SA"/>
        </w:rPr>
        <w:t>使用中出现问题, 厂家应在24小</w:t>
      </w:r>
      <w:bookmarkEnd w:id="6"/>
      <w:r>
        <w:rPr>
          <w:rFonts w:hint="eastAsia" w:eastAsia="宋体" w:cs="宋体"/>
          <w:kern w:val="2"/>
          <w:sz w:val="24"/>
          <w:szCs w:val="24"/>
          <w:lang w:val="en-US" w:eastAsia="zh-CN" w:bidi="ar-SA"/>
        </w:rPr>
        <w:t>时内积极响应。</w:t>
      </w:r>
    </w:p>
    <w:p w14:paraId="0EE60F77">
      <w:pPr>
        <w:spacing w:line="480" w:lineRule="auto"/>
        <w:rPr>
          <w:rFonts w:hint="eastAsia" w:eastAsia="宋体" w:cs="宋体"/>
          <w:kern w:val="2"/>
          <w:sz w:val="24"/>
          <w:szCs w:val="24"/>
          <w:lang w:val="en-US" w:eastAsia="zh-CN" w:bidi="ar-SA"/>
        </w:rPr>
      </w:pPr>
      <w:r>
        <w:rPr>
          <w:rFonts w:hint="eastAsia" w:eastAsia="宋体" w:cs="宋体"/>
          <w:kern w:val="2"/>
          <w:sz w:val="24"/>
          <w:szCs w:val="24"/>
          <w:lang w:val="en-US" w:eastAsia="zh-CN" w:bidi="ar-SA"/>
        </w:rPr>
        <w:t>5.2 有关应用在其它地方使用过程中出现的缺陷问题, 投标方应及时告知,并采取相应措施免费解决。</w:t>
      </w:r>
    </w:p>
    <w:p w14:paraId="51760910">
      <w:pPr>
        <w:spacing w:line="480" w:lineRule="auto"/>
      </w:pPr>
      <w:r>
        <w:rPr>
          <w:rFonts w:hint="eastAsia" w:cs="宋体"/>
          <w:kern w:val="2"/>
          <w:sz w:val="24"/>
          <w:szCs w:val="24"/>
          <w:lang w:val="en-US" w:eastAsia="zh-CN" w:bidi="ar-SA"/>
        </w:rPr>
        <w:t>5.3 设备维修后提供一年质保，质保期内再次损坏免费进行维修，质保期按照维修后投入使用之日起计算。</w:t>
      </w:r>
    </w:p>
    <w:sectPr>
      <w:footerReference r:id="rId3" w:type="default"/>
      <w:pgSz w:w="11906" w:h="16838"/>
      <w:pgMar w:top="1440" w:right="1689" w:bottom="1440" w:left="1689"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7946C">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1CD3E7">
                          <w:pPr>
                            <w:pStyle w:val="10"/>
                          </w:pPr>
                          <w:r>
                            <w:rPr>
                              <w:rFonts w:hint="eastAsia"/>
                            </w:rPr>
                            <w:fldChar w:fldCharType="begin"/>
                          </w:r>
                          <w:r>
                            <w:rPr>
                              <w:rFonts w:hint="eastAsia"/>
                            </w:rPr>
                            <w:instrText xml:space="preserve"> PAGE  \* MERGEFORMAT </w:instrText>
                          </w:r>
                          <w:r>
                            <w:rPr>
                              <w:rFonts w:hint="eastAsia"/>
                            </w:rPr>
                            <w:fldChar w:fldCharType="separate"/>
                          </w:r>
                          <w:r>
                            <w:rPr>
                              <w:rFonts w:hint="eastAsia"/>
                            </w:rPr>
                            <w:t>- 3 -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51CD3E7">
                    <w:pPr>
                      <w:pStyle w:val="10"/>
                    </w:pPr>
                    <w:r>
                      <w:rPr>
                        <w:rFonts w:hint="eastAsia"/>
                      </w:rPr>
                      <w:fldChar w:fldCharType="begin"/>
                    </w:r>
                    <w:r>
                      <w:rPr>
                        <w:rFonts w:hint="eastAsia"/>
                      </w:rPr>
                      <w:instrText xml:space="preserve"> PAGE  \* MERGEFORMAT </w:instrText>
                    </w:r>
                    <w:r>
                      <w:rPr>
                        <w:rFonts w:hint="eastAsia"/>
                      </w:rPr>
                      <w:fldChar w:fldCharType="separate"/>
                    </w:r>
                    <w:r>
                      <w:rPr>
                        <w:rFonts w:hint="eastAsia"/>
                      </w:rPr>
                      <w:t>- 3 -</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0D3CC5"/>
    <w:multiLevelType w:val="multilevel"/>
    <w:tmpl w:val="5B0D3CC5"/>
    <w:lvl w:ilvl="0" w:tentative="0">
      <w:start w:val="1"/>
      <w:numFmt w:val="lowerLetter"/>
      <w:pStyle w:val="47"/>
      <w:lvlText w:val="%1)"/>
      <w:lvlJc w:val="left"/>
      <w:pPr>
        <w:tabs>
          <w:tab w:val="left" w:pos="1124"/>
        </w:tabs>
        <w:ind w:left="1124" w:hanging="420"/>
      </w:pPr>
      <w:rPr>
        <w:rFonts w:hint="default"/>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
    <w:nsid w:val="60FA2226"/>
    <w:multiLevelType w:val="multilevel"/>
    <w:tmpl w:val="60FA2226"/>
    <w:lvl w:ilvl="0" w:tentative="0">
      <w:start w:val="1"/>
      <w:numFmt w:val="decimal"/>
      <w:lvlText w:val="%1"/>
      <w:lvlJc w:val="left"/>
      <w:pPr>
        <w:tabs>
          <w:tab w:val="left" w:pos="0"/>
        </w:tabs>
        <w:ind w:left="432" w:hanging="432"/>
      </w:pPr>
      <w:rPr>
        <w:rFonts w:hint="eastAsia" w:cs="Times New Roman"/>
      </w:rPr>
    </w:lvl>
    <w:lvl w:ilvl="1" w:tentative="0">
      <w:start w:val="1"/>
      <w:numFmt w:val="decimal"/>
      <w:lvlText w:val="%1.%2"/>
      <w:lvlJc w:val="left"/>
      <w:pPr>
        <w:tabs>
          <w:tab w:val="left" w:pos="0"/>
        </w:tabs>
        <w:ind w:left="576" w:hanging="576"/>
      </w:pPr>
      <w:rPr>
        <w:rFonts w:hint="eastAsia" w:cs="Times New Roman"/>
      </w:rPr>
    </w:lvl>
    <w:lvl w:ilvl="2" w:tentative="0">
      <w:start w:val="1"/>
      <w:numFmt w:val="decimal"/>
      <w:lvlText w:val="%1.%2.%3"/>
      <w:lvlJc w:val="left"/>
      <w:pPr>
        <w:tabs>
          <w:tab w:val="left" w:pos="0"/>
        </w:tabs>
        <w:ind w:left="720" w:hanging="720"/>
      </w:pPr>
      <w:rPr>
        <w:rFonts w:hint="eastAsia" w:cs="Times New Roman"/>
        <w:color w:val="auto"/>
      </w:rPr>
    </w:lvl>
    <w:lvl w:ilvl="3" w:tentative="0">
      <w:start w:val="1"/>
      <w:numFmt w:val="decimal"/>
      <w:lvlText w:val="%1.%2.%3.%4"/>
      <w:lvlJc w:val="left"/>
      <w:pPr>
        <w:tabs>
          <w:tab w:val="left" w:pos="0"/>
        </w:tabs>
        <w:ind w:left="1148" w:hanging="864"/>
      </w:pPr>
      <w:rPr>
        <w:rFonts w:hint="eastAsia" w:ascii="宋体" w:hAnsi="宋体" w:eastAsia="宋体" w:cs="Times New Roman"/>
        <w:b w:val="0"/>
        <w:bCs w:val="0"/>
        <w:color w:val="auto"/>
        <w:sz w:val="21"/>
        <w:szCs w:val="21"/>
      </w:rPr>
    </w:lvl>
    <w:lvl w:ilvl="4" w:tentative="0">
      <w:start w:val="1"/>
      <w:numFmt w:val="decimal"/>
      <w:lvlText w:val="%1.%2.%3.%4.%5"/>
      <w:lvlJc w:val="left"/>
      <w:pPr>
        <w:tabs>
          <w:tab w:val="left" w:pos="0"/>
        </w:tabs>
        <w:ind w:left="1008" w:hanging="1008"/>
      </w:pPr>
      <w:rPr>
        <w:rFonts w:hint="eastAsia" w:cs="Times New Roman"/>
      </w:rPr>
    </w:lvl>
    <w:lvl w:ilvl="5" w:tentative="0">
      <w:start w:val="1"/>
      <w:numFmt w:val="decimal"/>
      <w:lvlText w:val="%1.%2.%3.%4.%5.%6"/>
      <w:lvlJc w:val="left"/>
      <w:pPr>
        <w:tabs>
          <w:tab w:val="left" w:pos="0"/>
        </w:tabs>
        <w:ind w:left="1152" w:hanging="1152"/>
      </w:pPr>
      <w:rPr>
        <w:rFonts w:hint="eastAsia" w:cs="Times New Roman"/>
      </w:rPr>
    </w:lvl>
    <w:lvl w:ilvl="6" w:tentative="0">
      <w:start w:val="1"/>
      <w:numFmt w:val="decimal"/>
      <w:lvlText w:val="%1.%2.%3.%4.%5.%6.%7"/>
      <w:lvlJc w:val="left"/>
      <w:pPr>
        <w:tabs>
          <w:tab w:val="left" w:pos="0"/>
        </w:tabs>
        <w:ind w:left="1296" w:hanging="1296"/>
      </w:pPr>
      <w:rPr>
        <w:rFonts w:hint="eastAsia" w:cs="Times New Roman"/>
      </w:rPr>
    </w:lvl>
    <w:lvl w:ilvl="7" w:tentative="0">
      <w:start w:val="1"/>
      <w:numFmt w:val="decimal"/>
      <w:lvlText w:val="%1.%2.%3.%4.%5.%6.%7.%8"/>
      <w:lvlJc w:val="left"/>
      <w:pPr>
        <w:tabs>
          <w:tab w:val="left" w:pos="0"/>
        </w:tabs>
        <w:ind w:left="1440" w:hanging="1440"/>
      </w:pPr>
      <w:rPr>
        <w:rFonts w:hint="eastAsia" w:cs="Times New Roman"/>
      </w:rPr>
    </w:lvl>
    <w:lvl w:ilvl="8" w:tentative="0">
      <w:start w:val="1"/>
      <w:numFmt w:val="decimal"/>
      <w:lvlText w:val="%1.%2.%3.%4.%5.%6.%7.%8.%9"/>
      <w:lvlJc w:val="left"/>
      <w:pPr>
        <w:tabs>
          <w:tab w:val="left" w:pos="0"/>
        </w:tabs>
        <w:ind w:left="1584" w:hanging="1584"/>
      </w:pPr>
      <w:rPr>
        <w:rFonts w:hint="eastAsia" w:cs="Times New Roman"/>
      </w:rPr>
    </w:lvl>
  </w:abstractNum>
  <w:num w:numId="1">
    <w:abstractNumId w:val="1"/>
    <w:lvlOverride w:ilvl="0">
      <w:lvl w:ilvl="0" w:tentative="1">
        <w:start w:val="1"/>
        <w:numFmt w:val="decimal"/>
        <w:pStyle w:val="2"/>
        <w:lvlText w:val="%1"/>
        <w:lvlJc w:val="left"/>
        <w:pPr>
          <w:tabs>
            <w:tab w:val="left" w:pos="0"/>
          </w:tabs>
          <w:ind w:left="432" w:hanging="432"/>
        </w:pPr>
        <w:rPr>
          <w:rFonts w:hint="eastAsia" w:cs="Times New Roman"/>
        </w:rPr>
      </w:lvl>
    </w:lvlOverride>
    <w:lvlOverride w:ilvl="1">
      <w:lvl w:ilvl="1" w:tentative="1">
        <w:start w:val="1"/>
        <w:numFmt w:val="decimal"/>
        <w:lvlText w:val="%1.%2"/>
        <w:lvlJc w:val="left"/>
        <w:pPr>
          <w:tabs>
            <w:tab w:val="left" w:pos="0"/>
          </w:tabs>
          <w:ind w:left="576" w:hanging="576"/>
        </w:pPr>
        <w:rPr>
          <w:rFonts w:hint="eastAsia" w:cs="Times New Roman"/>
          <w:b/>
        </w:rPr>
      </w:lvl>
    </w:lvlOverride>
    <w:lvlOverride w:ilvl="2">
      <w:lvl w:ilvl="2" w:tentative="1">
        <w:start w:val="1"/>
        <w:numFmt w:val="decimal"/>
        <w:lvlText w:val="%1.%2.%3"/>
        <w:lvlJc w:val="left"/>
        <w:pPr>
          <w:tabs>
            <w:tab w:val="left" w:pos="0"/>
          </w:tabs>
          <w:ind w:left="720" w:hanging="720"/>
        </w:pPr>
        <w:rPr>
          <w:rFonts w:hint="default" w:ascii="Times New Roman" w:hAnsi="Times New Roman" w:cs="Times New Roman"/>
          <w:color w:val="auto"/>
          <w:sz w:val="21"/>
          <w:szCs w:val="21"/>
        </w:rPr>
      </w:lvl>
    </w:lvlOverride>
    <w:lvlOverride w:ilvl="3">
      <w:lvl w:ilvl="3" w:tentative="1">
        <w:start w:val="1"/>
        <w:numFmt w:val="decimal"/>
        <w:lvlText w:val="%1.%2.%3.%4"/>
        <w:lvlJc w:val="left"/>
        <w:pPr>
          <w:tabs>
            <w:tab w:val="left" w:pos="426"/>
          </w:tabs>
          <w:ind w:left="1574" w:hanging="864"/>
        </w:pPr>
        <w:rPr>
          <w:rFonts w:hint="default" w:ascii="Times New Roman" w:hAnsi="Times New Roman" w:eastAsia="宋体" w:cs="Times New Roman"/>
          <w:b w:val="0"/>
          <w:bCs w:val="0"/>
          <w:color w:val="auto"/>
          <w:sz w:val="21"/>
          <w:szCs w:val="21"/>
        </w:rPr>
      </w:lvl>
    </w:lvlOverride>
    <w:lvlOverride w:ilvl="4">
      <w:lvl w:ilvl="4" w:tentative="1">
        <w:start w:val="1"/>
        <w:numFmt w:val="decimal"/>
        <w:lvlText w:val="%1.%2.%3.%4.%5"/>
        <w:lvlJc w:val="left"/>
        <w:pPr>
          <w:tabs>
            <w:tab w:val="left" w:pos="0"/>
          </w:tabs>
          <w:ind w:left="1008" w:hanging="1008"/>
        </w:pPr>
        <w:rPr>
          <w:rFonts w:hint="eastAsia" w:cs="Times New Roman"/>
        </w:rPr>
      </w:lvl>
    </w:lvlOverride>
    <w:lvlOverride w:ilvl="5">
      <w:lvl w:ilvl="5" w:tentative="1">
        <w:start w:val="1"/>
        <w:numFmt w:val="decimal"/>
        <w:lvlText w:val="%1.%2.%3.%4.%5.%6"/>
        <w:lvlJc w:val="left"/>
        <w:pPr>
          <w:tabs>
            <w:tab w:val="left" w:pos="0"/>
          </w:tabs>
          <w:ind w:left="1152" w:hanging="1152"/>
        </w:pPr>
        <w:rPr>
          <w:rFonts w:hint="eastAsia" w:cs="Times New Roman"/>
        </w:rPr>
      </w:lvl>
    </w:lvlOverride>
    <w:lvlOverride w:ilvl="6">
      <w:lvl w:ilvl="6" w:tentative="1">
        <w:start w:val="1"/>
        <w:numFmt w:val="decimal"/>
        <w:lvlText w:val="%1.%2.%3.%4.%5.%6.%7"/>
        <w:lvlJc w:val="left"/>
        <w:pPr>
          <w:tabs>
            <w:tab w:val="left" w:pos="0"/>
          </w:tabs>
          <w:ind w:left="1296" w:hanging="1296"/>
        </w:pPr>
        <w:rPr>
          <w:rFonts w:hint="eastAsia" w:cs="Times New Roman"/>
        </w:rPr>
      </w:lvl>
    </w:lvlOverride>
    <w:lvlOverride w:ilvl="7">
      <w:lvl w:ilvl="7" w:tentative="1">
        <w:start w:val="1"/>
        <w:numFmt w:val="decimal"/>
        <w:lvlText w:val="%1.%2.%3.%4.%5.%6.%7.%8"/>
        <w:lvlJc w:val="left"/>
        <w:pPr>
          <w:tabs>
            <w:tab w:val="left" w:pos="0"/>
          </w:tabs>
          <w:ind w:left="1440" w:hanging="1440"/>
        </w:pPr>
        <w:rPr>
          <w:rFonts w:hint="eastAsia" w:cs="Times New Roman"/>
        </w:rPr>
      </w:lvl>
    </w:lvlOverride>
    <w:lvlOverride w:ilvl="8">
      <w:lvl w:ilvl="8" w:tentative="1">
        <w:start w:val="1"/>
        <w:numFmt w:val="decimal"/>
        <w:lvlText w:val="%1.%2.%3.%4.%5.%6.%7.%8.%9"/>
        <w:lvlJc w:val="left"/>
        <w:pPr>
          <w:tabs>
            <w:tab w:val="left" w:pos="0"/>
          </w:tabs>
          <w:ind w:left="1584" w:hanging="1584"/>
        </w:pPr>
        <w:rPr>
          <w:rFonts w:hint="eastAsia" w:cs="Times New Roman"/>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5MWRmMDllZmY5NmM1ZWIwOTZmZDY3MzQ2YjEwNDIifQ=="/>
  </w:docVars>
  <w:rsids>
    <w:rsidRoot w:val="66FE5878"/>
    <w:rsid w:val="00050AE3"/>
    <w:rsid w:val="00086EB2"/>
    <w:rsid w:val="002C109E"/>
    <w:rsid w:val="002C5485"/>
    <w:rsid w:val="002D152F"/>
    <w:rsid w:val="00371C6B"/>
    <w:rsid w:val="003725E6"/>
    <w:rsid w:val="0038025B"/>
    <w:rsid w:val="003C0AE8"/>
    <w:rsid w:val="0047546B"/>
    <w:rsid w:val="00705261"/>
    <w:rsid w:val="00724D80"/>
    <w:rsid w:val="00926CD5"/>
    <w:rsid w:val="00AF787E"/>
    <w:rsid w:val="00B345EB"/>
    <w:rsid w:val="00BC2017"/>
    <w:rsid w:val="00BC784D"/>
    <w:rsid w:val="00BD5588"/>
    <w:rsid w:val="00D07CFB"/>
    <w:rsid w:val="00D61AE7"/>
    <w:rsid w:val="00DA3C2D"/>
    <w:rsid w:val="00DC2D0C"/>
    <w:rsid w:val="00E62951"/>
    <w:rsid w:val="00EA1B9F"/>
    <w:rsid w:val="00F62987"/>
    <w:rsid w:val="00FD3A4F"/>
    <w:rsid w:val="014B1FBF"/>
    <w:rsid w:val="02A66D5F"/>
    <w:rsid w:val="03124EDC"/>
    <w:rsid w:val="032D2CA9"/>
    <w:rsid w:val="03B755BC"/>
    <w:rsid w:val="06CA2DD6"/>
    <w:rsid w:val="06CE325E"/>
    <w:rsid w:val="0A211A21"/>
    <w:rsid w:val="0B173DEF"/>
    <w:rsid w:val="0DAB78B6"/>
    <w:rsid w:val="112F4C3E"/>
    <w:rsid w:val="11FC5721"/>
    <w:rsid w:val="15022826"/>
    <w:rsid w:val="16085E6D"/>
    <w:rsid w:val="17765A41"/>
    <w:rsid w:val="18A650E7"/>
    <w:rsid w:val="18F73914"/>
    <w:rsid w:val="19C7230B"/>
    <w:rsid w:val="1A3A116A"/>
    <w:rsid w:val="1BDA149E"/>
    <w:rsid w:val="1C5E68F4"/>
    <w:rsid w:val="1CC014F2"/>
    <w:rsid w:val="1D643077"/>
    <w:rsid w:val="1F0B09D7"/>
    <w:rsid w:val="1FA90F7F"/>
    <w:rsid w:val="2205580D"/>
    <w:rsid w:val="22DA0ECC"/>
    <w:rsid w:val="24F96642"/>
    <w:rsid w:val="260F49E7"/>
    <w:rsid w:val="27B912BB"/>
    <w:rsid w:val="28AE23AD"/>
    <w:rsid w:val="29823C5C"/>
    <w:rsid w:val="2AA250AA"/>
    <w:rsid w:val="2AA94835"/>
    <w:rsid w:val="2AF32241"/>
    <w:rsid w:val="2C0B1C74"/>
    <w:rsid w:val="2E0E2C01"/>
    <w:rsid w:val="2E353741"/>
    <w:rsid w:val="2E93540E"/>
    <w:rsid w:val="2EFB0A8B"/>
    <w:rsid w:val="316A5CA7"/>
    <w:rsid w:val="31E744BC"/>
    <w:rsid w:val="31F50013"/>
    <w:rsid w:val="33817D73"/>
    <w:rsid w:val="33F348F3"/>
    <w:rsid w:val="33F93CAE"/>
    <w:rsid w:val="33FB7823"/>
    <w:rsid w:val="3618734C"/>
    <w:rsid w:val="37C12AEC"/>
    <w:rsid w:val="37C84AC4"/>
    <w:rsid w:val="3B6A4E93"/>
    <w:rsid w:val="3C427FFD"/>
    <w:rsid w:val="3C6D0619"/>
    <w:rsid w:val="3E8C5B37"/>
    <w:rsid w:val="401533FA"/>
    <w:rsid w:val="40C82EFD"/>
    <w:rsid w:val="40E4235E"/>
    <w:rsid w:val="41143308"/>
    <w:rsid w:val="41404698"/>
    <w:rsid w:val="43024B93"/>
    <w:rsid w:val="43087199"/>
    <w:rsid w:val="43E03694"/>
    <w:rsid w:val="447433CC"/>
    <w:rsid w:val="448D7A72"/>
    <w:rsid w:val="458D49D2"/>
    <w:rsid w:val="46590284"/>
    <w:rsid w:val="47A975B1"/>
    <w:rsid w:val="47D75A52"/>
    <w:rsid w:val="48EA2E2B"/>
    <w:rsid w:val="499C0DD7"/>
    <w:rsid w:val="49E316AD"/>
    <w:rsid w:val="4B287C8B"/>
    <w:rsid w:val="4BBA08B5"/>
    <w:rsid w:val="4EB11E83"/>
    <w:rsid w:val="515107EF"/>
    <w:rsid w:val="52B648C1"/>
    <w:rsid w:val="53237473"/>
    <w:rsid w:val="5381372B"/>
    <w:rsid w:val="55181BD3"/>
    <w:rsid w:val="572A6DBD"/>
    <w:rsid w:val="577D2EF3"/>
    <w:rsid w:val="5896100E"/>
    <w:rsid w:val="59E74FDE"/>
    <w:rsid w:val="59EB62D8"/>
    <w:rsid w:val="59ED7C98"/>
    <w:rsid w:val="5B963692"/>
    <w:rsid w:val="5C5E6FF0"/>
    <w:rsid w:val="5D8D0AA8"/>
    <w:rsid w:val="5E9F2623"/>
    <w:rsid w:val="5ECA72A7"/>
    <w:rsid w:val="61250D0B"/>
    <w:rsid w:val="61DB33CD"/>
    <w:rsid w:val="625C0961"/>
    <w:rsid w:val="62727B30"/>
    <w:rsid w:val="62D352A1"/>
    <w:rsid w:val="64133D57"/>
    <w:rsid w:val="64882343"/>
    <w:rsid w:val="65755DF2"/>
    <w:rsid w:val="657B521B"/>
    <w:rsid w:val="66FE5878"/>
    <w:rsid w:val="6CE85841"/>
    <w:rsid w:val="70016511"/>
    <w:rsid w:val="77632FEC"/>
    <w:rsid w:val="794038A7"/>
    <w:rsid w:val="7A861D4A"/>
    <w:rsid w:val="7BB54018"/>
    <w:rsid w:val="7C284CFD"/>
    <w:rsid w:val="7EAC2AB8"/>
    <w:rsid w:val="7EB379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numPr>
        <w:ilvl w:val="0"/>
        <w:numId w:val="1"/>
      </w:numPr>
      <w:adjustRightInd w:val="0"/>
      <w:spacing w:beforeLines="50" w:afterLines="50"/>
      <w:textAlignment w:val="baseline"/>
      <w:outlineLvl w:val="0"/>
    </w:pPr>
    <w:rPr>
      <w:rFonts w:ascii="Times New Roman" w:hAnsi="Times New Roman" w:eastAsia="黑体"/>
      <w:b/>
      <w:bCs/>
      <w:szCs w:val="21"/>
    </w:rPr>
  </w:style>
  <w:style w:type="paragraph" w:styleId="3">
    <w:name w:val="heading 2"/>
    <w:basedOn w:val="1"/>
    <w:next w:val="1"/>
    <w:unhideWhenUsed/>
    <w:qFormat/>
    <w:uiPriority w:val="0"/>
    <w:pPr>
      <w:keepNext/>
      <w:keepLines/>
      <w:spacing w:before="260" w:after="260" w:line="416" w:lineRule="auto"/>
      <w:jc w:val="left"/>
      <w:outlineLvl w:val="1"/>
    </w:pPr>
    <w:rPr>
      <w:rFonts w:ascii="Calibri Light" w:hAnsi="Calibri Light"/>
      <w:b/>
      <w:bCs/>
      <w:sz w:val="30"/>
      <w:szCs w:val="32"/>
    </w:rPr>
  </w:style>
  <w:style w:type="paragraph" w:styleId="4">
    <w:name w:val="heading 3"/>
    <w:basedOn w:val="1"/>
    <w:next w:val="1"/>
    <w:autoRedefine/>
    <w:unhideWhenUsed/>
    <w:qFormat/>
    <w:uiPriority w:val="0"/>
    <w:pPr>
      <w:keepNext/>
      <w:keepLines/>
      <w:spacing w:before="260" w:after="260" w:line="416" w:lineRule="auto"/>
      <w:jc w:val="left"/>
      <w:outlineLvl w:val="2"/>
    </w:pPr>
    <w:rPr>
      <w:b/>
      <w:bCs/>
      <w:sz w:val="28"/>
      <w:szCs w:val="32"/>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6">
    <w:name w:val="Body Text"/>
    <w:basedOn w:val="1"/>
    <w:autoRedefine/>
    <w:qFormat/>
    <w:uiPriority w:val="0"/>
    <w:pPr>
      <w:spacing w:line="360" w:lineRule="auto"/>
      <w:ind w:firstLine="480" w:firstLineChars="200"/>
    </w:pPr>
    <w:rPr>
      <w:sz w:val="24"/>
      <w:lang w:val="zh-CN"/>
    </w:rPr>
  </w:style>
  <w:style w:type="paragraph" w:styleId="7">
    <w:name w:val="toc 3"/>
    <w:basedOn w:val="1"/>
    <w:next w:val="1"/>
    <w:autoRedefine/>
    <w:qFormat/>
    <w:uiPriority w:val="39"/>
    <w:pPr>
      <w:ind w:left="840" w:leftChars="400"/>
    </w:pPr>
  </w:style>
  <w:style w:type="paragraph" w:styleId="8">
    <w:name w:val="Plain Text"/>
    <w:basedOn w:val="1"/>
    <w:autoRedefine/>
    <w:qFormat/>
    <w:uiPriority w:val="99"/>
    <w:rPr>
      <w:rFonts w:ascii="宋体" w:hAnsi="Courier New" w:cs="Courier New"/>
      <w:szCs w:val="21"/>
    </w:rPr>
  </w:style>
  <w:style w:type="paragraph" w:styleId="9">
    <w:name w:val="Balloon Text"/>
    <w:basedOn w:val="1"/>
    <w:link w:val="28"/>
    <w:autoRedefine/>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pPr>
      <w:tabs>
        <w:tab w:val="left" w:pos="540"/>
        <w:tab w:val="right" w:leader="dot" w:pos="8371"/>
      </w:tabs>
      <w:jc w:val="left"/>
    </w:pPr>
    <w:rPr>
      <w:rFonts w:ascii="宋体" w:hAnsi="宋体"/>
      <w:bCs/>
      <w:caps/>
      <w:kern w:val="0"/>
      <w:szCs w:val="21"/>
    </w:rPr>
  </w:style>
  <w:style w:type="paragraph" w:styleId="13">
    <w:name w:val="toc 2"/>
    <w:basedOn w:val="1"/>
    <w:next w:val="1"/>
    <w:autoRedefine/>
    <w:qFormat/>
    <w:uiPriority w:val="39"/>
    <w:pPr>
      <w:ind w:left="420" w:leftChars="200"/>
    </w:pPr>
  </w:style>
  <w:style w:type="character" w:styleId="16">
    <w:name w:val="Strong"/>
    <w:basedOn w:val="15"/>
    <w:qFormat/>
    <w:uiPriority w:val="0"/>
  </w:style>
  <w:style w:type="character" w:styleId="17">
    <w:name w:val="page number"/>
    <w:basedOn w:val="15"/>
    <w:autoRedefine/>
    <w:qFormat/>
    <w:uiPriority w:val="0"/>
    <w:rPr>
      <w:rFonts w:ascii="Times New Roman" w:hAnsi="Times New Roman" w:eastAsia="宋体" w:cs="Times New Roman"/>
      <w:sz w:val="18"/>
    </w:rPr>
  </w:style>
  <w:style w:type="character" w:styleId="18">
    <w:name w:val="FollowedHyperlink"/>
    <w:basedOn w:val="15"/>
    <w:autoRedefine/>
    <w:qFormat/>
    <w:uiPriority w:val="0"/>
    <w:rPr>
      <w:color w:val="800080"/>
      <w:u w:val="none"/>
    </w:rPr>
  </w:style>
  <w:style w:type="character" w:styleId="19">
    <w:name w:val="Emphasis"/>
    <w:basedOn w:val="15"/>
    <w:autoRedefine/>
    <w:qFormat/>
    <w:uiPriority w:val="0"/>
  </w:style>
  <w:style w:type="character" w:styleId="20">
    <w:name w:val="HTML Definition"/>
    <w:basedOn w:val="15"/>
    <w:autoRedefine/>
    <w:qFormat/>
    <w:uiPriority w:val="0"/>
  </w:style>
  <w:style w:type="character" w:styleId="21">
    <w:name w:val="HTML Variable"/>
    <w:basedOn w:val="15"/>
    <w:autoRedefine/>
    <w:qFormat/>
    <w:uiPriority w:val="0"/>
  </w:style>
  <w:style w:type="character" w:styleId="22">
    <w:name w:val="Hyperlink"/>
    <w:basedOn w:val="15"/>
    <w:autoRedefine/>
    <w:unhideWhenUsed/>
    <w:qFormat/>
    <w:uiPriority w:val="99"/>
    <w:rPr>
      <w:color w:val="0563C1" w:themeColor="hyperlink"/>
      <w:u w:val="single"/>
      <w14:textFill>
        <w14:solidFill>
          <w14:schemeClr w14:val="hlink"/>
        </w14:solidFill>
      </w14:textFill>
    </w:rPr>
  </w:style>
  <w:style w:type="character" w:styleId="23">
    <w:name w:val="HTML Code"/>
    <w:basedOn w:val="15"/>
    <w:autoRedefine/>
    <w:qFormat/>
    <w:uiPriority w:val="0"/>
    <w:rPr>
      <w:rFonts w:ascii="Courier New" w:hAnsi="Courier New"/>
      <w:sz w:val="20"/>
    </w:rPr>
  </w:style>
  <w:style w:type="character" w:styleId="24">
    <w:name w:val="HTML Cite"/>
    <w:basedOn w:val="15"/>
    <w:autoRedefine/>
    <w:qFormat/>
    <w:uiPriority w:val="0"/>
  </w:style>
  <w:style w:type="paragraph" w:customStyle="1" w:styleId="25">
    <w:name w:val="封面标准名称"/>
    <w:qFormat/>
    <w:uiPriority w:val="99"/>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
    <w:name w:val="标准书眉一"/>
    <w:autoRedefine/>
    <w:qFormat/>
    <w:uiPriority w:val="99"/>
    <w:pPr>
      <w:jc w:val="both"/>
    </w:pPr>
    <w:rPr>
      <w:rFonts w:ascii="Times New Roman" w:hAnsi="Times New Roman" w:eastAsia="宋体" w:cs="Times New Roman"/>
      <w:lang w:val="en-US" w:eastAsia="zh-CN" w:bidi="ar-SA"/>
    </w:rPr>
  </w:style>
  <w:style w:type="paragraph" w:customStyle="1" w:styleId="27">
    <w:name w:val="标准书脚_奇数页"/>
    <w:autoRedefine/>
    <w:qFormat/>
    <w:uiPriority w:val="99"/>
    <w:pPr>
      <w:spacing w:before="120"/>
      <w:jc w:val="right"/>
    </w:pPr>
    <w:rPr>
      <w:rFonts w:ascii="Times New Roman" w:hAnsi="Times New Roman" w:eastAsia="宋体" w:cs="Times New Roman"/>
      <w:sz w:val="18"/>
      <w:lang w:val="en-US" w:eastAsia="zh-CN" w:bidi="ar-SA"/>
    </w:rPr>
  </w:style>
  <w:style w:type="character" w:customStyle="1" w:styleId="28">
    <w:name w:val="批注框文本 字符"/>
    <w:basedOn w:val="15"/>
    <w:link w:val="9"/>
    <w:qFormat/>
    <w:uiPriority w:val="0"/>
    <w:rPr>
      <w:rFonts w:ascii="Calibri" w:hAnsi="Calibri"/>
      <w:kern w:val="2"/>
      <w:sz w:val="18"/>
      <w:szCs w:val="18"/>
    </w:rPr>
  </w:style>
  <w:style w:type="character" w:customStyle="1" w:styleId="29">
    <w:name w:val="x-tab-strip-text"/>
    <w:basedOn w:val="15"/>
    <w:qFormat/>
    <w:uiPriority w:val="0"/>
    <w:rPr>
      <w:rFonts w:ascii="Tahoma" w:hAnsi="Tahoma" w:eastAsia="Tahoma" w:cs="Tahoma"/>
      <w:color w:val="416AA3"/>
      <w:sz w:val="16"/>
      <w:szCs w:val="16"/>
    </w:rPr>
  </w:style>
  <w:style w:type="character" w:customStyle="1" w:styleId="30">
    <w:name w:val="x-tab-strip-text1"/>
    <w:basedOn w:val="15"/>
    <w:qFormat/>
    <w:uiPriority w:val="0"/>
  </w:style>
  <w:style w:type="character" w:customStyle="1" w:styleId="31">
    <w:name w:val="x-tab-strip-text2"/>
    <w:basedOn w:val="15"/>
    <w:autoRedefine/>
    <w:qFormat/>
    <w:uiPriority w:val="0"/>
  </w:style>
  <w:style w:type="character" w:customStyle="1" w:styleId="32">
    <w:name w:val="x-tab-strip-text3"/>
    <w:basedOn w:val="15"/>
    <w:autoRedefine/>
    <w:qFormat/>
    <w:uiPriority w:val="0"/>
    <w:rPr>
      <w:b/>
      <w:color w:val="15428B"/>
    </w:rPr>
  </w:style>
  <w:style w:type="character" w:customStyle="1" w:styleId="33">
    <w:name w:val="x-tab-strip-text4"/>
    <w:basedOn w:val="15"/>
    <w:autoRedefine/>
    <w:qFormat/>
    <w:uiPriority w:val="0"/>
  </w:style>
  <w:style w:type="character" w:customStyle="1" w:styleId="34">
    <w:name w:val="x-tab-strip-text5"/>
    <w:basedOn w:val="15"/>
    <w:autoRedefine/>
    <w:qFormat/>
    <w:uiPriority w:val="0"/>
    <w:rPr>
      <w:color w:val="15428B"/>
    </w:rPr>
  </w:style>
  <w:style w:type="character" w:customStyle="1" w:styleId="35">
    <w:name w:val="current"/>
    <w:basedOn w:val="15"/>
    <w:autoRedefine/>
    <w:qFormat/>
    <w:uiPriority w:val="0"/>
    <w:rPr>
      <w:color w:val="FFFFFF"/>
      <w:sz w:val="27"/>
      <w:szCs w:val="27"/>
      <w:u w:val="none"/>
      <w:bdr w:val="single" w:color="C0C0C0" w:sz="6" w:space="0"/>
      <w:shd w:val="clear" w:fill="809FFF"/>
    </w:rPr>
  </w:style>
  <w:style w:type="character" w:customStyle="1" w:styleId="36">
    <w:name w:val="t-exception-class-name"/>
    <w:basedOn w:val="15"/>
    <w:qFormat/>
    <w:uiPriority w:val="0"/>
    <w:rPr>
      <w:b/>
      <w:color w:val="0000FF"/>
      <w:sz w:val="24"/>
      <w:szCs w:val="24"/>
      <w:shd w:val="clear" w:fill="E1E1E1"/>
    </w:rPr>
  </w:style>
  <w:style w:type="character" w:customStyle="1" w:styleId="37">
    <w:name w:val="zdly-condition-span"/>
    <w:basedOn w:val="15"/>
    <w:autoRedefine/>
    <w:qFormat/>
    <w:uiPriority w:val="0"/>
    <w:rPr>
      <w:b/>
      <w:color w:val="005F97"/>
      <w:sz w:val="18"/>
      <w:szCs w:val="18"/>
    </w:rPr>
  </w:style>
  <w:style w:type="character" w:customStyle="1" w:styleId="38">
    <w:name w:val="icon-cmt"/>
    <w:basedOn w:val="15"/>
    <w:autoRedefine/>
    <w:qFormat/>
    <w:uiPriority w:val="0"/>
  </w:style>
  <w:style w:type="character" w:customStyle="1" w:styleId="39">
    <w:name w:val="icon-list"/>
    <w:basedOn w:val="15"/>
    <w:qFormat/>
    <w:uiPriority w:val="0"/>
  </w:style>
  <w:style w:type="character" w:customStyle="1" w:styleId="40">
    <w:name w:val="p-tab-simplemode"/>
    <w:basedOn w:val="15"/>
    <w:autoRedefine/>
    <w:qFormat/>
    <w:uiPriority w:val="0"/>
  </w:style>
  <w:style w:type="character" w:customStyle="1" w:styleId="41">
    <w:name w:val="f-tab-split2"/>
    <w:basedOn w:val="15"/>
    <w:qFormat/>
    <w:uiPriority w:val="0"/>
  </w:style>
  <w:style w:type="character" w:customStyle="1" w:styleId="42">
    <w:name w:val="p-tab-simple-mode2"/>
    <w:basedOn w:val="15"/>
    <w:qFormat/>
    <w:uiPriority w:val="0"/>
  </w:style>
  <w:style w:type="character" w:customStyle="1" w:styleId="43">
    <w:name w:val="button-right12"/>
    <w:basedOn w:val="15"/>
    <w:autoRedefine/>
    <w:qFormat/>
    <w:uiPriority w:val="0"/>
  </w:style>
  <w:style w:type="character" w:customStyle="1" w:styleId="44">
    <w:name w:val="button-right13"/>
    <w:basedOn w:val="15"/>
    <w:autoRedefine/>
    <w:qFormat/>
    <w:uiPriority w:val="0"/>
  </w:style>
  <w:style w:type="character" w:customStyle="1" w:styleId="45">
    <w:name w:val="hover20"/>
    <w:basedOn w:val="15"/>
    <w:qFormat/>
    <w:uiPriority w:val="0"/>
    <w:rPr>
      <w:u w:val="single"/>
    </w:rPr>
  </w:style>
  <w:style w:type="paragraph" w:customStyle="1" w:styleId="46">
    <w:name w:val="列出段落1"/>
    <w:basedOn w:val="1"/>
    <w:qFormat/>
    <w:uiPriority w:val="99"/>
    <w:pPr>
      <w:spacing w:line="360" w:lineRule="auto"/>
      <w:ind w:firstLine="200" w:firstLineChars="200"/>
    </w:pPr>
    <w:rPr>
      <w:rFonts w:ascii="Calibri" w:hAnsi="Calibri"/>
      <w:szCs w:val="22"/>
    </w:rPr>
  </w:style>
  <w:style w:type="paragraph" w:customStyle="1" w:styleId="47">
    <w:name w:val="项目编号"/>
    <w:basedOn w:val="5"/>
    <w:autoRedefine/>
    <w:qFormat/>
    <w:uiPriority w:val="0"/>
    <w:pPr>
      <w:numPr>
        <w:ilvl w:val="0"/>
        <w:numId w:val="2"/>
      </w:numPr>
      <w:spacing w:line="360" w:lineRule="auto"/>
    </w:pPr>
    <w:rPr>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758</Words>
  <Characters>793</Characters>
  <Lines>11</Lines>
  <Paragraphs>3</Paragraphs>
  <TotalTime>78</TotalTime>
  <ScaleCrop>false</ScaleCrop>
  <LinksUpToDate>false</LinksUpToDate>
  <CharactersWithSpaces>826</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2019-03-13T06:59:00Z</dcterms:created>
  <dc:creator>蔡健挺</dc:creator>
  <cp:lastModifiedBy>fengcy</cp:lastModifiedBy>
  <cp:lastPrinted>2022-11-24T08:21:00Z</cp:lastPrinted>
  <dcterms:modified xsi:type="dcterms:W3CDTF">2025-07-29T03:16:14Z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369CD3F1B1254187B04C4B932612FA34_13</vt:lpwstr>
  </property>
  <property fmtid="{D5CDD505-2E9C-101B-9397-08002B2CF9AE}" pid="4" name="KSOTemplateDocerSaveRecord">
    <vt:lpwstr>eyJoZGlkIjoiOWI5MWRmMDllZmY5NmM1ZWIwOTZmZDY3MzQ2YjEwNDIiLCJ1c2VySWQiOiIyMjQ1MTIyMzcifQ==</vt:lpwstr>
  </property>
</Properties>
</file>