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sz w:val="36"/>
          <w:szCs w:val="36"/>
          <w:highlight w:val="none"/>
          <w:u w:val="none"/>
          <w:lang w:val="en-US" w:eastAsia="zh-CN"/>
        </w:rPr>
        <w:t>曲靖局生产指挥中心地块规划调规及输变电技术业务用房项目规划分期技术服务采购文件</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曲靖局生产指挥中心地块实行分期建设，而曲靖市规委会审批通过的修建性详细规划方案为一期统一建设，因此在曲靖局输变电技术业务用房项目竣工规划核实时导致容积率、绿化率等指标不满足规划要求，未通过规划部门审查，影响工程竣工备案、不动产登记办理，另外，鉴于二期项目建设的不确定性，二期预留地块长时间闲置，政府部门可能会因地块开发利用不全面列为闲置土地，面临行政处罚。为保障项目合法合规性，避免不必要的行政处罚，拟开展曲靖局生产指挥中心地块规划方案调规，并编制输变电技术业务用房项目规划分期方案，向规划行政管理部门申请调规和分期。</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批复文件：</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曲靖局生产指挥中心地块规划调规及输变电技术业务用房项目规划分期</w:t>
      </w:r>
      <w:r>
        <w:rPr>
          <w:rFonts w:hint="eastAsia" w:ascii="宋体" w:hAnsi="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按要求完成曲靖局生产指挥中心地块规划调规及输变电技术业务用房项目规划分期方案编制，并协助曲靖局报曲靖市规划审查部门审批。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2.3服务地址：云南省</w:t>
      </w:r>
      <w:r>
        <w:rPr>
          <w:rFonts w:hint="eastAsia" w:ascii="宋体" w:hAnsi="宋体" w:cs="宋体"/>
          <w:color w:val="auto"/>
          <w:sz w:val="28"/>
          <w:szCs w:val="28"/>
          <w:highlight w:val="none"/>
          <w:lang w:val="en-US" w:eastAsia="zh-CN"/>
        </w:rPr>
        <w:t>曲靖市麒麟区靖宁东路279号</w:t>
      </w:r>
      <w:r>
        <w:rPr>
          <w:rFonts w:hint="eastAsia" w:ascii="宋体" w:hAnsi="宋体" w:eastAsia="宋体" w:cs="宋体"/>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2025年7月30日-2026年5月30日，实际时间以通过规划审核时间为准。</w:t>
      </w:r>
    </w:p>
    <w:p>
      <w:pPr>
        <w:pStyle w:val="2"/>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lang w:val="en-US" w:eastAsia="zh-CN"/>
        </w:rPr>
        <w:t>报价方需</w:t>
      </w:r>
      <w:r>
        <w:rPr>
          <w:rFonts w:hint="eastAsia" w:hAnsi="宋体" w:eastAsia="宋体" w:cs="宋体"/>
          <w:color w:val="auto"/>
          <w:sz w:val="28"/>
          <w:szCs w:val="28"/>
          <w:highlight w:val="none"/>
          <w:lang w:val="en-US" w:eastAsia="zh-CN"/>
        </w:rPr>
        <w:t>提供</w:t>
      </w:r>
      <w:r>
        <w:rPr>
          <w:rFonts w:hint="eastAsia" w:hAnsi="宋体" w:cs="宋体"/>
          <w:color w:val="auto"/>
          <w:sz w:val="28"/>
          <w:szCs w:val="28"/>
          <w:highlight w:val="none"/>
          <w:lang w:val="en-US" w:eastAsia="zh-CN"/>
        </w:rPr>
        <w:t>足量经验丰富</w:t>
      </w:r>
      <w:r>
        <w:rPr>
          <w:rFonts w:hint="eastAsia" w:hAnsi="宋体" w:eastAsia="宋体" w:cs="宋体"/>
          <w:color w:val="auto"/>
          <w:sz w:val="28"/>
          <w:szCs w:val="28"/>
          <w:highlight w:val="none"/>
          <w:lang w:val="en-US" w:eastAsia="zh-CN"/>
        </w:rPr>
        <w:t>的</w:t>
      </w:r>
      <w:r>
        <w:rPr>
          <w:rFonts w:hint="eastAsia" w:hAnsi="宋体" w:cs="宋体"/>
          <w:color w:val="auto"/>
          <w:sz w:val="28"/>
          <w:szCs w:val="28"/>
          <w:highlight w:val="none"/>
          <w:lang w:val="en-US" w:eastAsia="zh-CN"/>
        </w:rPr>
        <w:t>专业技术人员</w:t>
      </w:r>
      <w:r>
        <w:rPr>
          <w:rFonts w:hint="eastAsia" w:hAnsi="宋体" w:eastAsia="宋体" w:cs="宋体"/>
          <w:color w:val="auto"/>
          <w:sz w:val="28"/>
          <w:szCs w:val="28"/>
          <w:highlight w:val="none"/>
          <w:lang w:val="en-US" w:eastAsia="zh-CN"/>
        </w:rPr>
        <w:t>开展本项目要求的服务工作，</w:t>
      </w:r>
      <w:r>
        <w:rPr>
          <w:rFonts w:hint="eastAsia" w:hAnsi="宋体" w:cs="宋体"/>
          <w:color w:val="auto"/>
          <w:sz w:val="28"/>
          <w:szCs w:val="28"/>
          <w:highlight w:val="none"/>
          <w:lang w:val="en-US" w:eastAsia="zh-CN"/>
        </w:rPr>
        <w:t>服务人员需熟悉国土空间规划编制及报审流程等工作。</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：报价方需在确定采购结果后根据采购方要求签订</w:t>
      </w:r>
      <w:r>
        <w:rPr>
          <w:rFonts w:hint="eastAsia" w:ascii="宋体" w:hAnsi="宋体" w:cs="宋体"/>
          <w:color w:val="auto"/>
          <w:kern w:val="2"/>
          <w:sz w:val="28"/>
          <w:szCs w:val="28"/>
          <w:highlight w:val="none"/>
          <w:lang w:val="en-US" w:eastAsia="zh-CN" w:bidi="ar-SA"/>
        </w:rPr>
        <w:t>技术服务协议</w:t>
      </w:r>
      <w:r>
        <w:rPr>
          <w:rFonts w:hint="eastAsia" w:ascii="宋体" w:hAnsi="宋体" w:eastAsia="宋体" w:cs="宋体"/>
          <w:color w:val="auto"/>
          <w:kern w:val="2"/>
          <w:sz w:val="28"/>
          <w:szCs w:val="28"/>
          <w:highlight w:val="none"/>
          <w:lang w:val="en-US" w:eastAsia="zh-CN" w:bidi="ar-SA"/>
        </w:rPr>
        <w:t>，严格落实</w:t>
      </w:r>
      <w:r>
        <w:rPr>
          <w:rFonts w:hint="eastAsia" w:ascii="宋体" w:hAnsi="宋体" w:cs="宋体"/>
          <w:color w:val="auto"/>
          <w:kern w:val="2"/>
          <w:sz w:val="28"/>
          <w:szCs w:val="28"/>
          <w:highlight w:val="none"/>
          <w:lang w:val="en-US" w:eastAsia="zh-CN" w:bidi="ar-SA"/>
        </w:rPr>
        <w:t>曲靖市规划设计</w:t>
      </w:r>
      <w:r>
        <w:rPr>
          <w:rFonts w:hint="eastAsia" w:ascii="宋体" w:hAnsi="宋体" w:eastAsia="宋体" w:cs="宋体"/>
          <w:color w:val="auto"/>
          <w:kern w:val="2"/>
          <w:sz w:val="28"/>
          <w:szCs w:val="28"/>
          <w:highlight w:val="none"/>
          <w:lang w:val="en-US" w:eastAsia="zh-CN" w:bidi="ar-SA"/>
        </w:rPr>
        <w:t>要求。</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6"/>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1.技术服务内容（含工作量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按要求完成曲靖局生产指挥中心地块规划调规及输变电技术业务用房项目规划分期</w:t>
            </w:r>
            <w:r>
              <w:rPr>
                <w:rFonts w:hint="eastAsia" w:ascii="宋体" w:hAnsi="宋体" w:cs="Times New Roman"/>
                <w:color w:val="auto"/>
                <w:sz w:val="24"/>
                <w:highlight w:val="none"/>
                <w:lang w:val="en-US" w:eastAsia="zh-CN"/>
              </w:rPr>
              <w:t>方案编制，并协助曲靖局开展报审</w:t>
            </w:r>
            <w:r>
              <w:rPr>
                <w:rFonts w:hint="eastAsia" w:ascii="宋体" w:hAnsi="宋体" w:eastAsia="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涉及服务的相关仪器设备型号规格：</w:t>
            </w:r>
            <w:r>
              <w:rPr>
                <w:rFonts w:hint="eastAsia" w:ascii="宋体" w:hAnsi="宋体" w:cs="Times New Roman"/>
                <w:color w:val="auto"/>
                <w:sz w:val="24"/>
                <w:highlight w:val="none"/>
                <w:lang w:val="en-US" w:eastAsia="zh-CN"/>
              </w:rPr>
              <w:t>具体型号规格与现场实际为准。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w:t>
            </w:r>
            <w:r>
              <w:rPr>
                <w:rFonts w:hint="eastAsia" w:ascii="宋体" w:hAnsi="宋体" w:eastAsia="宋体" w:cs="Times New Roman"/>
                <w:color w:val="auto"/>
                <w:sz w:val="24"/>
                <w:highlight w:val="none"/>
                <w:lang w:val="en-US" w:eastAsia="zh-CN"/>
              </w:rPr>
              <w:t>按要求完成曲靖局生产指挥中心地块规划调规及输变电技术业务用房项目规划分期</w:t>
            </w:r>
            <w:r>
              <w:rPr>
                <w:rFonts w:hint="eastAsia" w:ascii="宋体" w:hAnsi="宋体" w:cs="Times New Roman"/>
                <w:color w:val="auto"/>
                <w:sz w:val="24"/>
                <w:highlight w:val="none"/>
                <w:lang w:val="en-US" w:eastAsia="zh-CN"/>
              </w:rPr>
              <w:t>方案编制，通过曲靖市规划部门审核</w:t>
            </w:r>
            <w:r>
              <w:rPr>
                <w:rFonts w:hint="eastAsia" w:ascii="宋体" w:hAnsi="宋体" w:eastAsia="宋体" w:cs="Times New Roman"/>
                <w:color w:val="auto"/>
                <w:sz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2"/>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default" w:ascii="宋体" w:hAnsi="宋体" w:eastAsia="宋体" w:cs="宋体"/>
                <w:sz w:val="24"/>
                <w:szCs w:val="24"/>
              </w:rPr>
              <w:t>①具有独立法人资格且为中华人民共和国境内注册的法人，持有合法有效的企业法人营业执照、组织机构代码证、税务登记证或有工商行政管理部门核发统一社会信用代码的企业法人营业执照</w:t>
            </w:r>
            <w:r>
              <w:rPr>
                <w:rFonts w:hint="eastAsia" w:ascii="宋体" w:hAnsi="宋体" w:eastAsia="宋体" w:cs="宋体"/>
                <w:sz w:val="24"/>
                <w:szCs w:val="24"/>
                <w:lang w:eastAsia="zh-CN"/>
              </w:rPr>
              <w:t>。</w:t>
            </w:r>
            <w:r>
              <w:rPr>
                <w:rFonts w:hint="default" w:ascii="宋体" w:hAnsi="宋体" w:eastAsia="宋体" w:cs="宋体"/>
                <w:sz w:val="24"/>
                <w:szCs w:val="24"/>
              </w:rPr>
              <w:br w:type="textWrapping"/>
            </w:r>
            <w:r>
              <w:rPr>
                <w:rFonts w:hint="default" w:ascii="宋体" w:hAnsi="宋体" w:eastAsia="宋体" w:cs="宋体"/>
                <w:sz w:val="24"/>
                <w:szCs w:val="24"/>
              </w:rPr>
              <w:t>②</w:t>
            </w:r>
            <w:r>
              <w:rPr>
                <w:rFonts w:hint="eastAsia" w:ascii="宋体" w:hAnsi="宋体" w:eastAsia="宋体" w:cs="Times New Roman"/>
                <w:color w:val="auto"/>
                <w:sz w:val="24"/>
                <w:highlight w:val="none"/>
                <w:lang w:val="en-US" w:eastAsia="zh-CN"/>
              </w:rPr>
              <w:t>具备国土空间规划编制</w:t>
            </w:r>
            <w:r>
              <w:rPr>
                <w:rFonts w:hint="eastAsia" w:ascii="宋体" w:hAnsi="宋体" w:cs="Times New Roman"/>
                <w:color w:val="auto"/>
                <w:sz w:val="24"/>
                <w:highlight w:val="none"/>
                <w:lang w:val="en-US" w:eastAsia="zh-CN"/>
              </w:rPr>
              <w:t>能力</w:t>
            </w:r>
            <w:r>
              <w:rPr>
                <w:rFonts w:hint="default" w:ascii="宋体" w:hAnsi="宋体" w:eastAsia="宋体" w:cs="宋体"/>
                <w:sz w:val="24"/>
                <w:szCs w:val="24"/>
              </w:rPr>
              <w:t>。</w:t>
            </w:r>
            <w:r>
              <w:rPr>
                <w:rFonts w:hint="default" w:ascii="宋体" w:hAnsi="宋体" w:eastAsia="宋体" w:cs="宋体"/>
                <w:sz w:val="24"/>
                <w:szCs w:val="24"/>
              </w:rPr>
              <w:br w:type="textWrapping"/>
            </w:r>
            <w:r>
              <w:rPr>
                <w:rFonts w:hint="default" w:ascii="宋体" w:hAnsi="宋体" w:eastAsia="宋体" w:cs="宋体"/>
                <w:sz w:val="24"/>
                <w:szCs w:val="24"/>
              </w:rPr>
              <w:t>③具有独立承担民事责任能力的事业单位或其他组织</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19"/>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8.2报价文件中每页均需盖章，并附报价人、授权人身份证照片。</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8.4如有需授权的资质，需提供授权文件（参考文件见报价须知）。</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pStyle w:val="2"/>
        <w:rPr>
          <w:rFonts w:hint="eastAsia"/>
          <w:i/>
          <w:color w:val="auto"/>
          <w:sz w:val="24"/>
          <w:szCs w:val="28"/>
          <w:highlight w:val="none"/>
          <w:lang w:eastAsia="zh-CN"/>
        </w:rPr>
        <w:sectPr>
          <w:headerReference r:id="rId4" w:type="default"/>
          <w:footerReference r:id="rId5" w:type="default"/>
          <w:pgSz w:w="11906" w:h="16838"/>
          <w:pgMar w:top="1440" w:right="1800" w:bottom="1440" w:left="1800" w:header="851" w:footer="992" w:gutter="0"/>
          <w:pgNumType w:fmt="decimal" w:start="1"/>
          <w:cols w:space="720" w:num="1"/>
          <w:docGrid w:type="lines" w:linePitch="312" w:charSpace="0"/>
        </w:sect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5"/>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961"/>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2"/>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37"/>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37"/>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38"/>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lang w:val="en-US" w:eastAsia="zh-CN"/>
              </w:rPr>
            </w:pP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2"/>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color w:val="auto"/>
          <w:spacing w:val="-1"/>
          <w:szCs w:val="21"/>
          <w:highlight w:val="none"/>
          <w:lang w:val="en-US" w:eastAsia="zh-CN"/>
        </w:rPr>
        <w:sectPr>
          <w:headerReference r:id="rId6" w:type="default"/>
          <w:footerReference r:id="rId7"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eastAsia="宋体" w:cs="宋体"/>
          <w:i w:val="0"/>
          <w:color w:val="000000"/>
          <w:sz w:val="21"/>
          <w:szCs w:val="21"/>
          <w:highlight w:val="none"/>
          <w:u w:val="none"/>
          <w:lang w:val="en-US" w:eastAsia="zh-CN"/>
        </w:rPr>
        <w:t>6、技术服务需求：曲靖局生产指挥中心地块占地40亩（26667平方米），建筑密度不大于35%，容积率1.5—2.0，绿地率不小于35%，其中一期输变电技术业务用房项目实际总建筑面积16594.62平方米，根据实际建设情况核算地块总体和分期的空间及经济技术指标，以满足规划规划设计条件和实际分期规划验收要求，并完成规划管理部门的报批手续。</w:t>
      </w:r>
      <w:bookmarkStart w:id="3" w:name="_GoBack"/>
      <w:bookmarkEnd w:id="3"/>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2"/>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2"/>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2"/>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2"/>
        <w:rPr>
          <w:rFonts w:hint="eastAsia" w:ascii="宋体" w:hAnsi="宋体" w:cs="宋体"/>
          <w:color w:val="auto"/>
          <w:spacing w:val="-1"/>
          <w:szCs w:val="21"/>
          <w:highlight w:val="none"/>
          <w:lang w:val="en-US" w:eastAsia="zh-CN"/>
        </w:rPr>
      </w:pPr>
    </w:p>
    <w:p>
      <w:pPr>
        <w:pStyle w:val="2"/>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楷体_GB2312"/>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0"/>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ALMi84AgAAcA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8AsyLzgCAABwBAAADgAAAAAAAAABACAAAAAfAQAAZHJzL2Uyb0RvYy54&#10;bWxQSwUGAAAAAAYABgBZAQAAyQUAAAAA&#10;">
              <v:fill on="f" focussize="0,0"/>
              <v:stroke on="f" weight="0.5pt"/>
              <v:imagedata o:title=""/>
              <o:lock v:ext="edit" aspectratio="f"/>
              <v:textbox inset="0mm,0mm,0mm,0mm" style="mso-fit-shape-to-text:t;">
                <w:txbxContent>
                  <w:p>
                    <w:pPr>
                      <w:pStyle w:val="10"/>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H2oaIyAgAAYw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fahojICAABj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6"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vert="horz" wrap="square" lIns="0" tIns="0" rIns="0" bIns="0" anchor="t" anchorCtr="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nIJkC0wAAAAUBAAAPAAAAAAAAAAEAIAAAACIAAABkcnMvZG93bnJldi54bWxQSwECFAAUAAAA&#10;CACHTuJAodldMfMBAADXAwAADgAAAAAAAAABACAAAAAiAQAAZHJzL2Uyb0RvYy54bWxQSwUGAAAA&#10;AAYABgBZAQAAh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A3317D"/>
    <w:rsid w:val="128F1729"/>
    <w:rsid w:val="1314606E"/>
    <w:rsid w:val="13156B06"/>
    <w:rsid w:val="132C5BF7"/>
    <w:rsid w:val="13713320"/>
    <w:rsid w:val="140F06C2"/>
    <w:rsid w:val="143157EC"/>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407C54"/>
    <w:rsid w:val="19835A8F"/>
    <w:rsid w:val="1A4568B6"/>
    <w:rsid w:val="1A9B56B1"/>
    <w:rsid w:val="1AD676E6"/>
    <w:rsid w:val="1AE23044"/>
    <w:rsid w:val="1B264AAD"/>
    <w:rsid w:val="1B713205"/>
    <w:rsid w:val="1BAE4EB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DED0FBD"/>
    <w:rsid w:val="2E4C050F"/>
    <w:rsid w:val="2E8D7D2F"/>
    <w:rsid w:val="2E992581"/>
    <w:rsid w:val="2EA04932"/>
    <w:rsid w:val="2EA66679"/>
    <w:rsid w:val="2EAC3366"/>
    <w:rsid w:val="2EF47418"/>
    <w:rsid w:val="2F0E0E3A"/>
    <w:rsid w:val="2F3121C1"/>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303247B"/>
    <w:rsid w:val="33DE762A"/>
    <w:rsid w:val="34350F39"/>
    <w:rsid w:val="348B67B2"/>
    <w:rsid w:val="34B5794F"/>
    <w:rsid w:val="351D0231"/>
    <w:rsid w:val="35366183"/>
    <w:rsid w:val="35CF70D5"/>
    <w:rsid w:val="36152FD7"/>
    <w:rsid w:val="36A019EA"/>
    <w:rsid w:val="36A42B7E"/>
    <w:rsid w:val="3764168B"/>
    <w:rsid w:val="37BA45DD"/>
    <w:rsid w:val="380D65EC"/>
    <w:rsid w:val="38185806"/>
    <w:rsid w:val="387244B3"/>
    <w:rsid w:val="38E66C5E"/>
    <w:rsid w:val="38ED1F5F"/>
    <w:rsid w:val="39167469"/>
    <w:rsid w:val="396413F3"/>
    <w:rsid w:val="39B267B5"/>
    <w:rsid w:val="3A561743"/>
    <w:rsid w:val="3AF75A49"/>
    <w:rsid w:val="3B072F6A"/>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C183012"/>
    <w:rsid w:val="4C2C14E4"/>
    <w:rsid w:val="4D075171"/>
    <w:rsid w:val="4D2151EC"/>
    <w:rsid w:val="4D587DA8"/>
    <w:rsid w:val="4D9A67C1"/>
    <w:rsid w:val="4DD7520B"/>
    <w:rsid w:val="4DFE26A6"/>
    <w:rsid w:val="4E542193"/>
    <w:rsid w:val="4EC17A6E"/>
    <w:rsid w:val="4EC871A4"/>
    <w:rsid w:val="4ED96C18"/>
    <w:rsid w:val="4F207E57"/>
    <w:rsid w:val="4F2802FF"/>
    <w:rsid w:val="4F4C55D1"/>
    <w:rsid w:val="4F5D4369"/>
    <w:rsid w:val="4F6958AF"/>
    <w:rsid w:val="4F6D6CE0"/>
    <w:rsid w:val="4F8657FB"/>
    <w:rsid w:val="4F9F6D7C"/>
    <w:rsid w:val="4FBC3C5F"/>
    <w:rsid w:val="4FD2303B"/>
    <w:rsid w:val="502D7B5F"/>
    <w:rsid w:val="50B12C8B"/>
    <w:rsid w:val="50CB0291"/>
    <w:rsid w:val="512E482E"/>
    <w:rsid w:val="51935E36"/>
    <w:rsid w:val="51C22051"/>
    <w:rsid w:val="520B1255"/>
    <w:rsid w:val="522B2602"/>
    <w:rsid w:val="523F3141"/>
    <w:rsid w:val="52447517"/>
    <w:rsid w:val="526F2C5D"/>
    <w:rsid w:val="52DE7476"/>
    <w:rsid w:val="5347027E"/>
    <w:rsid w:val="536B7E07"/>
    <w:rsid w:val="53755256"/>
    <w:rsid w:val="538C4C1A"/>
    <w:rsid w:val="539826A8"/>
    <w:rsid w:val="53BD03E4"/>
    <w:rsid w:val="53E12F63"/>
    <w:rsid w:val="544C6D86"/>
    <w:rsid w:val="54F32AAD"/>
    <w:rsid w:val="55275981"/>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50CB"/>
    <w:rsid w:val="649E47CB"/>
    <w:rsid w:val="64A102A9"/>
    <w:rsid w:val="650E4193"/>
    <w:rsid w:val="65524600"/>
    <w:rsid w:val="6562603E"/>
    <w:rsid w:val="65C12781"/>
    <w:rsid w:val="65CC0FB5"/>
    <w:rsid w:val="66175FEA"/>
    <w:rsid w:val="669F4A33"/>
    <w:rsid w:val="66A52379"/>
    <w:rsid w:val="670C5939"/>
    <w:rsid w:val="67AC3584"/>
    <w:rsid w:val="69B347EA"/>
    <w:rsid w:val="6A6F363F"/>
    <w:rsid w:val="6A95270A"/>
    <w:rsid w:val="6BCC516E"/>
    <w:rsid w:val="6C9E65C1"/>
    <w:rsid w:val="6CA432F8"/>
    <w:rsid w:val="6CFA7795"/>
    <w:rsid w:val="6CFC0368"/>
    <w:rsid w:val="6DD260B4"/>
    <w:rsid w:val="6DED79A2"/>
    <w:rsid w:val="6F381897"/>
    <w:rsid w:val="6F9E7ED2"/>
    <w:rsid w:val="70024AAD"/>
    <w:rsid w:val="701A510A"/>
    <w:rsid w:val="70232CBC"/>
    <w:rsid w:val="7028281E"/>
    <w:rsid w:val="707B6214"/>
    <w:rsid w:val="709B56DD"/>
    <w:rsid w:val="70BA44DF"/>
    <w:rsid w:val="70D77F30"/>
    <w:rsid w:val="70E50C0B"/>
    <w:rsid w:val="70EB23F1"/>
    <w:rsid w:val="719F7978"/>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17">
    <w:name w:val="Default Paragraph Font"/>
    <w:unhideWhenUsed/>
    <w:qFormat/>
    <w:uiPriority w:val="1"/>
  </w:style>
  <w:style w:type="table" w:default="1" w:styleId="15">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34"/>
    <w:unhideWhenUsed/>
    <w:qFormat/>
    <w:uiPriority w:val="99"/>
    <w:rPr>
      <w:rFonts w:ascii="宋体"/>
      <w:sz w:val="18"/>
      <w:szCs w:val="18"/>
    </w:rPr>
  </w:style>
  <w:style w:type="paragraph" w:styleId="5">
    <w:name w:val="Normal Indent"/>
    <w:basedOn w:val="1"/>
    <w:link w:val="33"/>
    <w:qFormat/>
    <w:uiPriority w:val="0"/>
    <w:pPr>
      <w:ind w:firstLine="420" w:firstLineChars="200"/>
    </w:pPr>
    <w:rPr>
      <w:rFonts w:ascii="Times New Roman" w:hAnsi="Times New Roman"/>
      <w:szCs w:val="20"/>
    </w:rPr>
  </w:style>
  <w:style w:type="paragraph" w:styleId="6">
    <w:name w:val="Body Text"/>
    <w:basedOn w:val="7"/>
    <w:next w:val="7"/>
    <w:link w:val="23"/>
    <w:unhideWhenUsed/>
    <w:qFormat/>
    <w:uiPriority w:val="99"/>
    <w:pPr>
      <w:spacing w:after="120"/>
    </w:p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Plain Text"/>
    <w:basedOn w:val="1"/>
    <w:link w:val="27"/>
    <w:qFormat/>
    <w:uiPriority w:val="0"/>
    <w:rPr>
      <w:rFonts w:ascii="宋体" w:hAnsi="Courier New"/>
      <w:kern w:val="0"/>
      <w:sz w:val="20"/>
      <w:szCs w:val="20"/>
    </w:rPr>
  </w:style>
  <w:style w:type="paragraph" w:styleId="9">
    <w:name w:val="Balloon Text"/>
    <w:basedOn w:val="1"/>
    <w:link w:val="36"/>
    <w:unhideWhenUsed/>
    <w:qFormat/>
    <w:uiPriority w:val="99"/>
    <w:rPr>
      <w:sz w:val="18"/>
      <w:szCs w:val="18"/>
    </w:rPr>
  </w:style>
  <w:style w:type="paragraph" w:styleId="10">
    <w:name w:val="footer"/>
    <w:basedOn w:val="1"/>
    <w:link w:val="31"/>
    <w:unhideWhenUsed/>
    <w:qFormat/>
    <w:uiPriority w:val="99"/>
    <w:pPr>
      <w:tabs>
        <w:tab w:val="center" w:pos="4153"/>
        <w:tab w:val="right" w:pos="8306"/>
      </w:tabs>
      <w:snapToGrid w:val="0"/>
      <w:jc w:val="left"/>
    </w:pPr>
    <w:rPr>
      <w:kern w:val="0"/>
      <w:sz w:val="18"/>
      <w:szCs w:val="18"/>
    </w:rPr>
  </w:style>
  <w:style w:type="paragraph" w:styleId="11">
    <w:name w:val="header"/>
    <w:basedOn w:val="1"/>
    <w:link w:val="2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2"/>
    <w:basedOn w:val="1"/>
    <w:next w:val="1"/>
    <w:unhideWhenUsed/>
    <w:qFormat/>
    <w:uiPriority w:val="39"/>
    <w:pPr>
      <w:widowControl/>
      <w:spacing w:after="100" w:line="259" w:lineRule="auto"/>
      <w:ind w:left="220"/>
      <w:jc w:val="left"/>
    </w:pPr>
    <w:rPr>
      <w:rFonts w:cs="Times New Roman"/>
      <w:kern w:val="0"/>
      <w:sz w:val="22"/>
    </w:rPr>
  </w:style>
  <w:style w:type="paragraph" w:styleId="13">
    <w:name w:val="Normal (Web)"/>
    <w:basedOn w:val="1"/>
    <w:unhideWhenUsed/>
    <w:qFormat/>
    <w:uiPriority w:val="99"/>
    <w:rPr>
      <w:sz w:val="24"/>
    </w:rPr>
  </w:style>
  <w:style w:type="paragraph" w:styleId="14">
    <w:name w:val="Body Text First Indent"/>
    <w:basedOn w:val="1"/>
    <w:link w:val="28"/>
    <w:unhideWhenUsed/>
    <w:qFormat/>
    <w:uiPriority w:val="0"/>
    <w:pPr>
      <w:spacing w:beforeLines="50" w:line="360" w:lineRule="auto"/>
      <w:ind w:firstLine="200" w:firstLineChars="200"/>
    </w:pPr>
    <w:rPr>
      <w:rFonts w:ascii="Times New Roman" w:hAnsi="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unhideWhenUsed/>
    <w:qFormat/>
    <w:uiPriority w:val="99"/>
    <w:rPr>
      <w:color w:val="0000FF"/>
      <w:u w:val="single"/>
    </w:rPr>
  </w:style>
  <w:style w:type="paragraph" w:customStyle="1" w:styleId="19">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0">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1">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2">
    <w:name w:val="List Paragraph"/>
    <w:basedOn w:val="1"/>
    <w:qFormat/>
    <w:uiPriority w:val="34"/>
    <w:pPr>
      <w:ind w:firstLine="420" w:firstLineChars="200"/>
    </w:pPr>
  </w:style>
  <w:style w:type="character" w:customStyle="1" w:styleId="23">
    <w:name w:val="正文文本 Char"/>
    <w:link w:val="6"/>
    <w:semiHidden/>
    <w:qFormat/>
    <w:uiPriority w:val="99"/>
    <w:rPr>
      <w:kern w:val="2"/>
      <w:sz w:val="21"/>
      <w:szCs w:val="22"/>
    </w:rPr>
  </w:style>
  <w:style w:type="character" w:customStyle="1" w:styleId="24">
    <w:name w:val="纯文本 Char1"/>
    <w:semiHidden/>
    <w:qFormat/>
    <w:uiPriority w:val="99"/>
    <w:rPr>
      <w:rFonts w:ascii="宋体" w:hAnsi="Courier New" w:cs="Courier New"/>
      <w:kern w:val="2"/>
      <w:sz w:val="21"/>
      <w:szCs w:val="21"/>
    </w:rPr>
  </w:style>
  <w:style w:type="character" w:customStyle="1" w:styleId="25">
    <w:name w:val="正文首行缩进 字符"/>
    <w:qFormat/>
    <w:uiPriority w:val="0"/>
    <w:rPr>
      <w:rFonts w:ascii="Times New Roman" w:hAnsi="Times New Roman"/>
      <w:kern w:val="2"/>
      <w:sz w:val="24"/>
      <w:szCs w:val="24"/>
    </w:rPr>
  </w:style>
  <w:style w:type="character" w:customStyle="1" w:styleId="26">
    <w:name w:val="font61"/>
    <w:basedOn w:val="17"/>
    <w:qFormat/>
    <w:uiPriority w:val="0"/>
    <w:rPr>
      <w:rFonts w:hint="eastAsia" w:ascii="宋体" w:hAnsi="宋体" w:eastAsia="宋体" w:cs="宋体"/>
      <w:color w:val="000000"/>
      <w:sz w:val="18"/>
      <w:szCs w:val="18"/>
      <w:u w:val="none"/>
    </w:rPr>
  </w:style>
  <w:style w:type="character" w:customStyle="1" w:styleId="27">
    <w:name w:val="纯文本 Char"/>
    <w:link w:val="8"/>
    <w:qFormat/>
    <w:uiPriority w:val="0"/>
    <w:rPr>
      <w:rFonts w:ascii="宋体" w:hAnsi="Courier New"/>
    </w:rPr>
  </w:style>
  <w:style w:type="character" w:customStyle="1" w:styleId="28">
    <w:name w:val="正文首行缩进 Char"/>
    <w:link w:val="14"/>
    <w:qFormat/>
    <w:uiPriority w:val="0"/>
    <w:rPr>
      <w:rFonts w:ascii="Times New Roman" w:hAnsi="Times New Roman"/>
      <w:kern w:val="2"/>
      <w:sz w:val="24"/>
      <w:szCs w:val="24"/>
    </w:rPr>
  </w:style>
  <w:style w:type="character" w:customStyle="1" w:styleId="29">
    <w:name w:val="页眉 Char"/>
    <w:link w:val="11"/>
    <w:qFormat/>
    <w:uiPriority w:val="99"/>
    <w:rPr>
      <w:sz w:val="18"/>
      <w:szCs w:val="18"/>
    </w:rPr>
  </w:style>
  <w:style w:type="character" w:customStyle="1" w:styleId="30">
    <w:name w:val="font31"/>
    <w:basedOn w:val="17"/>
    <w:qFormat/>
    <w:uiPriority w:val="0"/>
    <w:rPr>
      <w:rFonts w:hint="eastAsia" w:ascii="宋体" w:hAnsi="宋体" w:eastAsia="宋体" w:cs="宋体"/>
      <w:color w:val="FF0000"/>
      <w:sz w:val="20"/>
      <w:szCs w:val="20"/>
      <w:u w:val="none"/>
    </w:rPr>
  </w:style>
  <w:style w:type="character" w:customStyle="1" w:styleId="31">
    <w:name w:val="页脚 Char"/>
    <w:link w:val="10"/>
    <w:qFormat/>
    <w:uiPriority w:val="99"/>
    <w:rPr>
      <w:sz w:val="18"/>
      <w:szCs w:val="18"/>
    </w:rPr>
  </w:style>
  <w:style w:type="character" w:customStyle="1" w:styleId="32">
    <w:name w:val="font71"/>
    <w:basedOn w:val="17"/>
    <w:qFormat/>
    <w:uiPriority w:val="0"/>
    <w:rPr>
      <w:rFonts w:hint="eastAsia" w:ascii="宋体" w:hAnsi="宋体" w:eastAsia="宋体" w:cs="宋体"/>
      <w:b/>
      <w:color w:val="000000"/>
      <w:sz w:val="18"/>
      <w:szCs w:val="18"/>
      <w:u w:val="none"/>
    </w:rPr>
  </w:style>
  <w:style w:type="character" w:customStyle="1" w:styleId="33">
    <w:name w:val="正文缩进 Char"/>
    <w:link w:val="5"/>
    <w:qFormat/>
    <w:uiPriority w:val="0"/>
    <w:rPr>
      <w:rFonts w:ascii="Times New Roman" w:hAnsi="Times New Roman"/>
      <w:kern w:val="2"/>
      <w:sz w:val="21"/>
    </w:rPr>
  </w:style>
  <w:style w:type="character" w:customStyle="1" w:styleId="34">
    <w:name w:val="文档结构图 Char"/>
    <w:link w:val="2"/>
    <w:semiHidden/>
    <w:qFormat/>
    <w:uiPriority w:val="99"/>
    <w:rPr>
      <w:rFonts w:ascii="宋体"/>
      <w:kern w:val="2"/>
      <w:sz w:val="18"/>
      <w:szCs w:val="18"/>
    </w:rPr>
  </w:style>
  <w:style w:type="character" w:customStyle="1" w:styleId="35">
    <w:name w:val="font21"/>
    <w:basedOn w:val="17"/>
    <w:qFormat/>
    <w:uiPriority w:val="0"/>
    <w:rPr>
      <w:rFonts w:hint="eastAsia" w:ascii="宋体" w:hAnsi="宋体" w:eastAsia="宋体" w:cs="宋体"/>
      <w:b/>
      <w:color w:val="000000"/>
      <w:sz w:val="21"/>
      <w:szCs w:val="21"/>
      <w:u w:val="none"/>
    </w:rPr>
  </w:style>
  <w:style w:type="character" w:customStyle="1" w:styleId="36">
    <w:name w:val="批注框文本 Char"/>
    <w:link w:val="9"/>
    <w:semiHidden/>
    <w:qFormat/>
    <w:uiPriority w:val="99"/>
    <w:rPr>
      <w:kern w:val="2"/>
      <w:sz w:val="18"/>
      <w:szCs w:val="18"/>
    </w:rPr>
  </w:style>
  <w:style w:type="character" w:customStyle="1" w:styleId="37">
    <w:name w:val="font51"/>
    <w:basedOn w:val="17"/>
    <w:qFormat/>
    <w:uiPriority w:val="0"/>
    <w:rPr>
      <w:rFonts w:hint="eastAsia" w:ascii="宋体" w:hAnsi="宋体" w:eastAsia="宋体" w:cs="宋体"/>
      <w:color w:val="000000"/>
      <w:sz w:val="18"/>
      <w:szCs w:val="18"/>
      <w:u w:val="none"/>
    </w:rPr>
  </w:style>
  <w:style w:type="character" w:customStyle="1" w:styleId="38">
    <w:name w:val="font01"/>
    <w:basedOn w:val="17"/>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1846</Words>
  <Characters>1958</Characters>
  <Lines>45</Lines>
  <Paragraphs>12</Paragraphs>
  <TotalTime>1</TotalTime>
  <ScaleCrop>false</ScaleCrop>
  <LinksUpToDate>false</LinksUpToDate>
  <CharactersWithSpaces>2048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路适远</dc:creator>
  <cp:lastModifiedBy>朱如飞</cp:lastModifiedBy>
  <cp:lastPrinted>2022-07-20T02:30:00Z</cp:lastPrinted>
  <dcterms:modified xsi:type="dcterms:W3CDTF">2025-07-25T07:42:27Z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D38DD372B42F430C81DC750C763D7F5A</vt:lpwstr>
  </property>
</Properties>
</file>