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napToGrid w:val="0"/>
        <w:spacing w:line="276" w:lineRule="auto"/>
        <w:jc w:val="center"/>
        <w:outlineLvl w:val="0"/>
        <w:rPr>
          <w:rFonts w:hint="eastAsia" w:hAnsi="宋体"/>
          <w:b/>
          <w:sz w:val="28"/>
          <w:szCs w:val="28"/>
        </w:rPr>
      </w:pPr>
      <w:r>
        <w:rPr>
          <w:rFonts w:hint="eastAsia" w:hAnsi="宋体"/>
          <w:b/>
          <w:sz w:val="28"/>
          <w:szCs w:val="28"/>
        </w:rPr>
        <w:t xml:space="preserve"> </w:t>
      </w:r>
    </w:p>
    <w:p>
      <w:pPr>
        <w:pStyle w:val="5"/>
        <w:snapToGrid w:val="0"/>
        <w:spacing w:line="276" w:lineRule="auto"/>
        <w:jc w:val="center"/>
        <w:outlineLvl w:val="0"/>
        <w:rPr>
          <w:rFonts w:hint="eastAsia" w:hAnsi="宋体"/>
          <w:b/>
          <w:sz w:val="28"/>
          <w:szCs w:val="28"/>
        </w:rPr>
      </w:pPr>
      <w:bookmarkStart w:id="0" w:name="OLE_LINK1"/>
      <w:r>
        <w:rPr>
          <w:rFonts w:hint="eastAsia" w:hAnsi="宋体"/>
          <w:b/>
          <w:sz w:val="28"/>
          <w:szCs w:val="28"/>
        </w:rPr>
        <w:t>评审方法及</w:t>
      </w:r>
      <w:r>
        <w:rPr>
          <w:rFonts w:hAnsi="宋体"/>
          <w:b/>
          <w:sz w:val="28"/>
          <w:szCs w:val="28"/>
        </w:rPr>
        <w:t>评审</w:t>
      </w:r>
      <w:r>
        <w:rPr>
          <w:rFonts w:hint="eastAsia" w:hAnsi="宋体"/>
          <w:b/>
          <w:sz w:val="28"/>
          <w:szCs w:val="28"/>
        </w:rPr>
        <w:t>标准</w:t>
      </w:r>
    </w:p>
    <w:bookmarkEnd w:id="0"/>
    <w:p>
      <w:pPr>
        <w:pStyle w:val="5"/>
        <w:spacing w:line="276" w:lineRule="auto"/>
        <w:ind w:firstLine="422" w:firstLineChars="200"/>
        <w:rPr>
          <w:rFonts w:hint="eastAsia" w:hAnsi="宋体"/>
          <w:b/>
          <w:bCs/>
        </w:rPr>
      </w:pPr>
      <w:r>
        <w:rPr>
          <w:rFonts w:hint="eastAsia" w:hAnsi="宋体"/>
          <w:b/>
          <w:bCs/>
        </w:rPr>
        <w:t>一、评审原则：</w:t>
      </w:r>
    </w:p>
    <w:p>
      <w:pPr>
        <w:pStyle w:val="5"/>
        <w:spacing w:line="276" w:lineRule="auto"/>
        <w:rPr>
          <w:rFonts w:hint="eastAsia" w:hAnsi="宋体"/>
          <w:b/>
          <w:bCs/>
        </w:rPr>
      </w:pPr>
      <w:r>
        <w:rPr>
          <w:rFonts w:hint="eastAsia" w:hAnsi="宋体"/>
          <w:bCs/>
        </w:rPr>
        <w:t>（一）评审依据：评审小组将以</w:t>
      </w:r>
      <w:r>
        <w:rPr>
          <w:rFonts w:hint="eastAsia" w:hAnsi="宋体"/>
        </w:rPr>
        <w:t>采购文件、响应文件为评审依据</w:t>
      </w:r>
      <w:r>
        <w:rPr>
          <w:rFonts w:hint="eastAsia" w:hAnsi="宋体"/>
          <w:bCs/>
        </w:rPr>
        <w:t>，对响应文件进行评分。</w:t>
      </w:r>
    </w:p>
    <w:p/>
    <w:p>
      <w:pPr>
        <w:pStyle w:val="5"/>
        <w:spacing w:line="276" w:lineRule="auto"/>
        <w:ind w:firstLine="422"/>
        <w:jc w:val="left"/>
        <w:rPr>
          <w:rFonts w:hint="eastAsia" w:hAnsi="宋体"/>
          <w:b/>
          <w:bCs/>
        </w:rPr>
      </w:pPr>
      <w:r>
        <w:rPr>
          <w:rFonts w:hint="eastAsia" w:hAnsi="宋体"/>
          <w:b/>
          <w:bCs/>
        </w:rPr>
        <w:t>二、成交候选人推荐原则</w:t>
      </w:r>
    </w:p>
    <w:p>
      <w:pPr>
        <w:pStyle w:val="4"/>
        <w:ind w:firstLine="420"/>
      </w:pPr>
      <w:r>
        <w:rPr>
          <w:rFonts w:hint="eastAsia" w:ascii="宋体" w:hAnsi="宋体"/>
          <w:szCs w:val="21"/>
        </w:rPr>
        <w:t>评审小组应当根据</w:t>
      </w:r>
      <w:r>
        <w:rPr>
          <w:rFonts w:hint="eastAsia" w:ascii="宋体" w:hAnsi="宋体"/>
          <w:bCs/>
          <w:szCs w:val="21"/>
        </w:rPr>
        <w:t>综合</w:t>
      </w:r>
      <w:r>
        <w:rPr>
          <w:rFonts w:hint="eastAsia" w:ascii="宋体" w:hAnsi="宋体"/>
          <w:szCs w:val="21"/>
        </w:rPr>
        <w:t>评分情况，按照评审得分由高到低顺序推荐成交候选供应商。评审得分相同的，按照最后报价由低到高的顺序推荐。评审得分且最后报价相同的，按</w:t>
      </w:r>
      <w:r>
        <w:rPr>
          <w:rFonts w:hint="eastAsia"/>
        </w:rPr>
        <w:t>服务能力</w:t>
      </w:r>
      <w:r>
        <w:rPr>
          <w:rFonts w:ascii="宋体" w:hAnsi="宋体"/>
          <w:szCs w:val="21"/>
        </w:rPr>
        <w:t>由高到低</w:t>
      </w:r>
      <w:r>
        <w:rPr>
          <w:rFonts w:hint="eastAsia" w:ascii="宋体" w:hAnsi="宋体"/>
          <w:szCs w:val="21"/>
        </w:rPr>
        <w:t xml:space="preserve">顺序推荐。 </w:t>
      </w:r>
    </w:p>
    <w:p>
      <w:pPr>
        <w:pStyle w:val="2"/>
      </w:pPr>
    </w:p>
    <w:tbl>
      <w:tblPr>
        <w:tblStyle w:val="9"/>
        <w:tblW w:w="91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134"/>
        <w:gridCol w:w="1701"/>
        <w:gridCol w:w="4536"/>
        <w:gridCol w:w="11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85" w:type="dxa"/>
            <w:gridSpan w:val="5"/>
          </w:tcPr>
          <w:p>
            <w:pPr>
              <w:spacing w:line="400" w:lineRule="exact"/>
            </w:pPr>
            <w:r>
              <w:rPr>
                <w:b/>
              </w:rPr>
              <w:t>（一）、商务评审（</w:t>
            </w:r>
            <w:r>
              <w:rPr>
                <w:rFonts w:hint="eastAsia"/>
                <w:b/>
              </w:rPr>
              <w:t>50</w:t>
            </w:r>
            <w:r>
              <w:rPr>
                <w:b/>
              </w:rPr>
              <w:t>）分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序号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评分因素</w:t>
            </w: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详细评审项</w:t>
            </w:r>
          </w:p>
        </w:tc>
        <w:tc>
          <w:tcPr>
            <w:tcW w:w="4536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详细评审分项要素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分值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t>企业资质证书情况</w:t>
            </w: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</w:pPr>
            <w:r>
              <w:t>质量、环境、职业健康安全管理体系</w:t>
            </w:r>
          </w:p>
        </w:tc>
        <w:tc>
          <w:tcPr>
            <w:tcW w:w="4536" w:type="dxa"/>
            <w:vAlign w:val="center"/>
          </w:tcPr>
          <w:p>
            <w:pPr>
              <w:spacing w:line="400" w:lineRule="exact"/>
              <w:jc w:val="left"/>
            </w:pPr>
            <w:r>
              <w:t>通过质量、环境、职业健康安全管理体系认证。</w:t>
            </w:r>
          </w:p>
          <w:p>
            <w:pPr>
              <w:spacing w:line="400" w:lineRule="exact"/>
              <w:jc w:val="left"/>
            </w:pPr>
            <w:r>
              <w:t>1.三证齐全且证书在有效期内，得3分；</w:t>
            </w:r>
          </w:p>
          <w:p>
            <w:pPr>
              <w:spacing w:line="400" w:lineRule="exact"/>
              <w:jc w:val="left"/>
            </w:pPr>
            <w:r>
              <w:t>2.具有两证且证书在有效期内，得2分；</w:t>
            </w:r>
          </w:p>
          <w:p>
            <w:pPr>
              <w:spacing w:line="400" w:lineRule="exact"/>
              <w:jc w:val="left"/>
            </w:pPr>
            <w:r>
              <w:t>3.仅有一证且证书在有效期内，得1分；</w:t>
            </w:r>
          </w:p>
          <w:p>
            <w:pPr>
              <w:spacing w:line="400" w:lineRule="exact"/>
              <w:jc w:val="left"/>
            </w:pPr>
            <w:r>
              <w:t>4.未提供相关佐证材料或证书不在有效期内，得0分。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t>3.0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服务响应</w:t>
            </w:r>
            <w:r>
              <w:t>能力</w:t>
            </w: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服务响应</w:t>
            </w:r>
            <w:r>
              <w:t>能力</w:t>
            </w:r>
          </w:p>
        </w:tc>
        <w:tc>
          <w:tcPr>
            <w:tcW w:w="4536" w:type="dxa"/>
            <w:vAlign w:val="center"/>
          </w:tcPr>
          <w:p>
            <w:pPr>
              <w:spacing w:line="400" w:lineRule="exact"/>
              <w:jc w:val="left"/>
            </w:pPr>
            <w:r>
              <w:t>1.承诺</w:t>
            </w:r>
            <w:r>
              <w:rPr>
                <w:rFonts w:hint="eastAsia"/>
              </w:rPr>
              <w:t>24小时答复，在48小时内提供技术服务</w:t>
            </w:r>
            <w:r>
              <w:t>满足甲方要求：3分；</w:t>
            </w:r>
          </w:p>
          <w:p>
            <w:pPr>
              <w:spacing w:line="400" w:lineRule="exact"/>
              <w:jc w:val="left"/>
            </w:pPr>
            <w:r>
              <w:t>2.承诺</w:t>
            </w:r>
            <w:r>
              <w:rPr>
                <w:rFonts w:hint="eastAsia"/>
              </w:rPr>
              <w:t>36小时答复，在60小时内提供技术服务</w:t>
            </w:r>
            <w:r>
              <w:t>满足甲方要求：2分；</w:t>
            </w:r>
          </w:p>
          <w:p>
            <w:pPr>
              <w:spacing w:line="400" w:lineRule="exact"/>
              <w:jc w:val="left"/>
            </w:pPr>
            <w:r>
              <w:t>3.承诺</w:t>
            </w:r>
            <w:r>
              <w:rPr>
                <w:rFonts w:hint="eastAsia"/>
              </w:rPr>
              <w:t>48小时答复，在72小时内提供技术服务</w:t>
            </w:r>
            <w:r>
              <w:t>满足甲方要求：1分；</w:t>
            </w:r>
          </w:p>
          <w:p>
            <w:pPr>
              <w:spacing w:line="400" w:lineRule="exact"/>
              <w:jc w:val="left"/>
            </w:pPr>
            <w:r>
              <w:t>4.未承诺不得分。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1</w:t>
            </w:r>
            <w:r>
              <w:t>3.0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t>商务响应性</w:t>
            </w: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</w:pPr>
            <w:r>
              <w:t>质量保证期</w:t>
            </w:r>
          </w:p>
        </w:tc>
        <w:tc>
          <w:tcPr>
            <w:tcW w:w="4536" w:type="dxa"/>
            <w:vAlign w:val="center"/>
          </w:tcPr>
          <w:p>
            <w:pPr>
              <w:spacing w:line="400" w:lineRule="exact"/>
              <w:jc w:val="left"/>
            </w:pPr>
            <w:r>
              <w:t>承诺质保期满足1年得5分，每增加12个月加1分，本项最高得7分。</w:t>
            </w:r>
          </w:p>
          <w:p>
            <w:pPr>
              <w:spacing w:line="400" w:lineRule="exact"/>
              <w:jc w:val="left"/>
            </w:pPr>
            <w:r>
              <w:t>承诺质保期不满足1年，不得分。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t>7.0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t>商务响应性</w:t>
            </w: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</w:pPr>
            <w:r>
              <w:t>其他响应</w:t>
            </w:r>
          </w:p>
        </w:tc>
        <w:tc>
          <w:tcPr>
            <w:tcW w:w="4536" w:type="dxa"/>
            <w:vAlign w:val="center"/>
          </w:tcPr>
          <w:p>
            <w:pPr>
              <w:spacing w:line="400" w:lineRule="exact"/>
              <w:jc w:val="left"/>
            </w:pPr>
            <w:r>
              <w:t>全部响应招标文件和合同要求得满分，出现非实质性条款负偏差（不满足招标要求），每项扣1分，本项最低得0分。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t>7.0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团队资质</w:t>
            </w: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团队资质</w:t>
            </w:r>
          </w:p>
        </w:tc>
        <w:tc>
          <w:tcPr>
            <w:tcW w:w="4536" w:type="dxa"/>
            <w:vAlign w:val="center"/>
          </w:tcPr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1.项目组60%以上为专职人员，得20分；</w:t>
            </w:r>
          </w:p>
          <w:p>
            <w:pPr>
              <w:pStyle w:val="2"/>
            </w:pPr>
            <w:r>
              <w:rPr>
                <w:rFonts w:hint="eastAsia"/>
              </w:rPr>
              <w:t>2. 项目组</w:t>
            </w:r>
            <w:r>
              <w:rPr>
                <w:rFonts w:ascii="Times New Roman" w:hAnsi="Times New Roman" w:cs="Times New Roman"/>
              </w:rPr>
              <w:t>少于</w:t>
            </w:r>
            <w:r>
              <w:rPr>
                <w:rFonts w:hint="eastAsia"/>
              </w:rPr>
              <w:t>60%以上为专职人员，不得分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t>20.0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85" w:type="dxa"/>
            <w:gridSpan w:val="5"/>
          </w:tcPr>
          <w:p>
            <w:pPr>
              <w:spacing w:line="400" w:lineRule="exact"/>
            </w:pPr>
            <w:r>
              <w:rPr>
                <w:b/>
              </w:rPr>
              <w:t>（二）、技术评审（</w:t>
            </w:r>
            <w:r>
              <w:rPr>
                <w:rFonts w:hint="eastAsia"/>
                <w:b/>
              </w:rPr>
              <w:t>70</w:t>
            </w:r>
            <w:r>
              <w:rPr>
                <w:b/>
              </w:rPr>
              <w:t>）分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序号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评分因素</w:t>
            </w: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详细评审项</w:t>
            </w:r>
          </w:p>
        </w:tc>
        <w:tc>
          <w:tcPr>
            <w:tcW w:w="4536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详细评审分项要素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分值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t>技术应答情况</w:t>
            </w: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</w:pPr>
            <w:r>
              <w:t>技术要求</w:t>
            </w:r>
          </w:p>
        </w:tc>
        <w:tc>
          <w:tcPr>
            <w:tcW w:w="4536" w:type="dxa"/>
            <w:vAlign w:val="center"/>
          </w:tcPr>
          <w:p>
            <w:pPr>
              <w:spacing w:line="400" w:lineRule="exact"/>
              <w:jc w:val="left"/>
            </w:pPr>
            <w:r>
              <w:t>技术规范书和技术要求应答情况。</w:t>
            </w:r>
          </w:p>
          <w:p>
            <w:pPr>
              <w:spacing w:line="400" w:lineRule="exact"/>
              <w:jc w:val="left"/>
            </w:pPr>
            <w:r>
              <w:t>1.优（15分＜得分≤20分）：技术应答完整、清晰，对需说明的内容有详细阐述，完全响应招标文件要求。</w:t>
            </w:r>
          </w:p>
          <w:p>
            <w:pPr>
              <w:spacing w:line="400" w:lineRule="exact"/>
              <w:jc w:val="left"/>
            </w:pPr>
            <w:r>
              <w:t>2.良（10分＜得分≤15分）：技术应答较为完整、清晰，对需说明的内容有相关阐述，基本响应招标文件要求。</w:t>
            </w:r>
          </w:p>
          <w:p>
            <w:pPr>
              <w:spacing w:line="400" w:lineRule="exact"/>
              <w:jc w:val="left"/>
            </w:pPr>
            <w:r>
              <w:t xml:space="preserve">3.差（0分≤得分≤10分）：技术应答一般，对需说明的内容阐述不全，部分条款未响应招标文件要求；           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t>20.0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t>2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技术要求</w:t>
            </w: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</w:pPr>
            <w:r>
              <w:t>对于技术规范书中的关键指标</w:t>
            </w:r>
            <w:r>
              <w:rPr>
                <w:rFonts w:hint="eastAsia"/>
              </w:rPr>
              <w:t>技术要求内容</w:t>
            </w:r>
            <w:r>
              <w:t>的响应</w:t>
            </w:r>
          </w:p>
        </w:tc>
        <w:tc>
          <w:tcPr>
            <w:tcW w:w="4536" w:type="dxa"/>
            <w:vAlign w:val="center"/>
          </w:tcPr>
          <w:p>
            <w:pPr>
              <w:spacing w:line="400" w:lineRule="exact"/>
              <w:jc w:val="left"/>
            </w:pPr>
            <w:r>
              <w:t>对于技术规范书中提到的关键指标</w:t>
            </w:r>
            <w:r>
              <w:rPr>
                <w:rFonts w:hint="eastAsia"/>
              </w:rPr>
              <w:t>技术要求内容</w:t>
            </w:r>
            <w:r>
              <w:t>是否完全符合</w:t>
            </w:r>
            <w:r>
              <w:rPr>
                <w:rFonts w:hint="eastAsia"/>
              </w:rPr>
              <w:t>（带</w:t>
            </w:r>
            <w:r>
              <w:t>“</w:t>
            </w:r>
            <w:r>
              <w:rPr>
                <w:rFonts w:ascii="Segoe UI Symbol" w:hAnsi="Segoe UI Symbol" w:cs="Segoe UI Symbol"/>
              </w:rPr>
              <w:t>★</w:t>
            </w:r>
            <w:r>
              <w:rPr>
                <w:rFonts w:ascii="Calibri" w:hAnsi="Calibri" w:cs="Calibri"/>
              </w:rPr>
              <w:t>”</w:t>
            </w:r>
            <w:r>
              <w:rPr>
                <w:rFonts w:hint="eastAsia"/>
              </w:rPr>
              <w:t>）</w:t>
            </w:r>
            <w:r>
              <w:t>。</w:t>
            </w:r>
          </w:p>
          <w:p>
            <w:pPr>
              <w:spacing w:line="400" w:lineRule="exact"/>
              <w:jc w:val="left"/>
            </w:pPr>
            <w:r>
              <w:t>1.完全符合（15分＜得分≤20 分）；对技术规范书中提到的所有指标全部符合。</w:t>
            </w:r>
          </w:p>
          <w:p>
            <w:pPr>
              <w:spacing w:line="400" w:lineRule="exact"/>
              <w:jc w:val="left"/>
            </w:pPr>
            <w:r>
              <w:t>2.关键指标基本符合（5分＜得分≤15分）；对技术规范书中提到的关键指标基本符合，其他部分指标在合理范围内基本符合。</w:t>
            </w:r>
          </w:p>
          <w:p>
            <w:pPr>
              <w:spacing w:line="400" w:lineRule="exact"/>
              <w:jc w:val="left"/>
            </w:pPr>
            <w:r>
              <w:t>3.不符合（0 分≤得分≤5 分）。对技术规范书中提到指标不符合。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t>20.0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t>3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技术支持配合</w:t>
            </w: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技术支持配合</w:t>
            </w:r>
          </w:p>
        </w:tc>
        <w:tc>
          <w:tcPr>
            <w:tcW w:w="4536" w:type="dxa"/>
            <w:vAlign w:val="center"/>
          </w:tcPr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1.承诺</w:t>
            </w:r>
            <w:r>
              <w:t>指定项目经理，提交系统需求分析报告，评审通过后开展系统设计</w:t>
            </w:r>
            <w:r>
              <w:rPr>
                <w:rFonts w:hint="eastAsia"/>
              </w:rPr>
              <w:t>，20分；</w:t>
            </w:r>
          </w:p>
          <w:p>
            <w:pPr>
              <w:spacing w:line="400" w:lineRule="exact"/>
              <w:jc w:val="left"/>
            </w:pPr>
            <w:r>
              <w:t xml:space="preserve">2. </w:t>
            </w:r>
            <w:r>
              <w:rPr>
                <w:rFonts w:hint="eastAsia"/>
              </w:rPr>
              <w:t>不承诺</w:t>
            </w:r>
            <w:r>
              <w:t>指定项目经理，</w:t>
            </w:r>
            <w:r>
              <w:rPr>
                <w:rFonts w:hint="eastAsia"/>
              </w:rPr>
              <w:t>不</w:t>
            </w:r>
            <w:r>
              <w:t>提交系统需求分析报告，评审通过后</w:t>
            </w:r>
            <w:r>
              <w:rPr>
                <w:rFonts w:hint="eastAsia"/>
              </w:rPr>
              <w:t>不</w:t>
            </w:r>
            <w:r>
              <w:t>开展系统设计</w:t>
            </w:r>
            <w:r>
              <w:rPr>
                <w:rFonts w:hint="eastAsia"/>
              </w:rPr>
              <w:t>，0分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t>20.0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5" w:hRule="atLeast"/>
        </w:trPr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t>4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现场服务、培训</w:t>
            </w: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现场服务、培训</w:t>
            </w:r>
          </w:p>
        </w:tc>
        <w:tc>
          <w:tcPr>
            <w:tcW w:w="4536" w:type="dxa"/>
            <w:vAlign w:val="center"/>
          </w:tcPr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对于现场服务、培训能力是否完全符合</w:t>
            </w:r>
            <w:r>
              <w:t>。</w:t>
            </w:r>
          </w:p>
          <w:p>
            <w:pPr>
              <w:spacing w:line="400" w:lineRule="exact"/>
              <w:jc w:val="left"/>
            </w:pPr>
            <w:r>
              <w:t>1.优（7分＜得分≤10 分），</w:t>
            </w:r>
            <w:r>
              <w:rPr>
                <w:rFonts w:hint="eastAsia"/>
              </w:rPr>
              <w:t>完全符合现场服务、培训能力</w:t>
            </w:r>
            <w:r>
              <w:t>。</w:t>
            </w:r>
          </w:p>
          <w:p>
            <w:pPr>
              <w:spacing w:line="400" w:lineRule="exact"/>
              <w:jc w:val="left"/>
            </w:pPr>
            <w:r>
              <w:t>2.良（3分＜得分≤7 分），关键指标基本符合</w:t>
            </w:r>
            <w:r>
              <w:rPr>
                <w:rFonts w:hint="eastAsia"/>
              </w:rPr>
              <w:t>现场服务、培训能力</w:t>
            </w:r>
            <w:r>
              <w:t>。</w:t>
            </w:r>
          </w:p>
          <w:p>
            <w:pPr>
              <w:spacing w:line="400" w:lineRule="exact"/>
              <w:jc w:val="left"/>
            </w:pPr>
            <w:r>
              <w:t>3.差（0 分≤得分≤3 分）</w:t>
            </w:r>
            <w:r>
              <w:rPr>
                <w:rFonts w:hint="eastAsia"/>
              </w:rPr>
              <w:t>不符合现场服务、培训能力</w:t>
            </w:r>
            <w:r>
              <w:t>。</w:t>
            </w:r>
          </w:p>
          <w:p>
            <w:pPr>
              <w:spacing w:line="400" w:lineRule="exact"/>
              <w:jc w:val="left"/>
            </w:pPr>
            <w:r>
              <w:t>最高得10分。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t>10.0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85" w:type="dxa"/>
            <w:gridSpan w:val="5"/>
            <w:vAlign w:val="center"/>
          </w:tcPr>
          <w:p>
            <w:pPr>
              <w:spacing w:line="400" w:lineRule="exact"/>
              <w:jc w:val="left"/>
            </w:pPr>
            <w:r>
              <w:rPr>
                <w:b/>
              </w:rPr>
              <w:t>（</w:t>
            </w:r>
            <w:r>
              <w:rPr>
                <w:rFonts w:hint="eastAsia"/>
                <w:b/>
              </w:rPr>
              <w:t>三</w:t>
            </w:r>
            <w:r>
              <w:rPr>
                <w:b/>
              </w:rPr>
              <w:t>）、</w:t>
            </w:r>
            <w:r>
              <w:rPr>
                <w:rFonts w:hint="eastAsia"/>
                <w:b/>
              </w:rPr>
              <w:t>价格</w:t>
            </w:r>
            <w:r>
              <w:rPr>
                <w:b/>
              </w:rPr>
              <w:t>评审（</w:t>
            </w:r>
            <w:r>
              <w:rPr>
                <w:rFonts w:hint="eastAsia"/>
                <w:b/>
              </w:rPr>
              <w:t>30</w:t>
            </w:r>
            <w:r>
              <w:rPr>
                <w:b/>
              </w:rPr>
              <w:t>）分</w:t>
            </w:r>
            <w:bookmarkStart w:id="1" w:name="_GoBack"/>
            <w:bookmarkEnd w:id="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序号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评分因素</w:t>
            </w: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详细评审项</w:t>
            </w:r>
          </w:p>
        </w:tc>
        <w:tc>
          <w:tcPr>
            <w:tcW w:w="4536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b/>
              </w:rPr>
              <w:t>详细评审分项要素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分值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134" w:type="dxa"/>
            <w:vAlign w:val="center"/>
          </w:tcPr>
          <w:p>
            <w:pPr>
              <w:adjustRightInd w:val="0"/>
              <w:spacing w:line="276" w:lineRule="auto"/>
              <w:jc w:val="center"/>
              <w:textAlignment w:val="baseline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价格</w:t>
            </w:r>
          </w:p>
          <w:p>
            <w:pPr>
              <w:adjustRightInd w:val="0"/>
              <w:spacing w:line="276" w:lineRule="auto"/>
              <w:jc w:val="center"/>
              <w:textAlignment w:val="baseline"/>
            </w:pPr>
          </w:p>
        </w:tc>
        <w:tc>
          <w:tcPr>
            <w:tcW w:w="1701" w:type="dxa"/>
            <w:vAlign w:val="center"/>
          </w:tcPr>
          <w:p>
            <w:pPr>
              <w:adjustRightInd w:val="0"/>
              <w:spacing w:line="276" w:lineRule="auto"/>
              <w:jc w:val="center"/>
              <w:textAlignment w:val="baseline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最后报价</w:t>
            </w:r>
          </w:p>
          <w:p>
            <w:pPr>
              <w:adjustRightInd w:val="0"/>
              <w:spacing w:line="276" w:lineRule="auto"/>
              <w:jc w:val="center"/>
              <w:textAlignment w:val="baseline"/>
            </w:pPr>
          </w:p>
        </w:tc>
        <w:tc>
          <w:tcPr>
            <w:tcW w:w="4536" w:type="dxa"/>
            <w:vAlign w:val="center"/>
          </w:tcPr>
          <w:p>
            <w:pPr>
              <w:snapToGrid w:val="0"/>
              <w:spacing w:line="276" w:lineRule="auto"/>
              <w:ind w:firstLine="420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（1）以进入综合评分环节的最低评审报价合计金额（指所有供应商代理费合计总金额的平均值）为基准价，计算价格分。本项目价格分为3</w:t>
            </w:r>
            <w:r>
              <w:rPr>
                <w:rFonts w:ascii="宋体" w:hAnsi="宋体"/>
                <w:bCs/>
                <w:szCs w:val="21"/>
              </w:rPr>
              <w:t>0</w:t>
            </w:r>
            <w:r>
              <w:rPr>
                <w:rFonts w:hint="eastAsia" w:ascii="宋体" w:hAnsi="宋体"/>
                <w:bCs/>
                <w:szCs w:val="21"/>
              </w:rPr>
              <w:t>分。</w:t>
            </w:r>
          </w:p>
          <w:p>
            <w:pPr>
              <w:spacing w:line="400" w:lineRule="exact"/>
              <w:jc w:val="left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（2）价格分计算公式：某供应商价格分=基准价/某供应商代理费合计总金额×</w:t>
            </w:r>
            <w:r>
              <w:rPr>
                <w:rFonts w:ascii="宋体" w:hAnsi="宋体"/>
                <w:bCs/>
                <w:szCs w:val="21"/>
              </w:rPr>
              <w:t>30</w:t>
            </w:r>
            <w:r>
              <w:rPr>
                <w:rFonts w:hint="eastAsia" w:ascii="宋体" w:hAnsi="宋体"/>
                <w:bCs/>
                <w:szCs w:val="21"/>
              </w:rPr>
              <w:t>分。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85" w:type="dxa"/>
            <w:gridSpan w:val="5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 w:hAnsi="宋体"/>
                <w:b/>
                <w:bCs/>
              </w:rPr>
              <w:t>总得分=商务评审分+技术评审分+价格评审分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7616F6E"/>
    <w:rsid w:val="000870D8"/>
    <w:rsid w:val="00175058"/>
    <w:rsid w:val="00180A2A"/>
    <w:rsid w:val="00197AD3"/>
    <w:rsid w:val="001A3F25"/>
    <w:rsid w:val="001D77BF"/>
    <w:rsid w:val="002A4F77"/>
    <w:rsid w:val="002B411B"/>
    <w:rsid w:val="00314DB6"/>
    <w:rsid w:val="00322987"/>
    <w:rsid w:val="003A448D"/>
    <w:rsid w:val="003B561A"/>
    <w:rsid w:val="0044403B"/>
    <w:rsid w:val="00477E94"/>
    <w:rsid w:val="004B5C89"/>
    <w:rsid w:val="004C336B"/>
    <w:rsid w:val="004E2C44"/>
    <w:rsid w:val="005B5082"/>
    <w:rsid w:val="00671830"/>
    <w:rsid w:val="00731C44"/>
    <w:rsid w:val="00863DF4"/>
    <w:rsid w:val="00884476"/>
    <w:rsid w:val="00897AC5"/>
    <w:rsid w:val="008A5F38"/>
    <w:rsid w:val="008D572A"/>
    <w:rsid w:val="00916B84"/>
    <w:rsid w:val="00994391"/>
    <w:rsid w:val="009A6A5B"/>
    <w:rsid w:val="00A65F97"/>
    <w:rsid w:val="00A90375"/>
    <w:rsid w:val="00B1135D"/>
    <w:rsid w:val="00B76CBC"/>
    <w:rsid w:val="00B82E6C"/>
    <w:rsid w:val="00C25813"/>
    <w:rsid w:val="00CF4D60"/>
    <w:rsid w:val="00D13C42"/>
    <w:rsid w:val="00D24218"/>
    <w:rsid w:val="00D32C41"/>
    <w:rsid w:val="00D674CF"/>
    <w:rsid w:val="00D72B14"/>
    <w:rsid w:val="00E256BD"/>
    <w:rsid w:val="00EA703B"/>
    <w:rsid w:val="00EB7F06"/>
    <w:rsid w:val="00F207D2"/>
    <w:rsid w:val="00F50065"/>
    <w:rsid w:val="031A2823"/>
    <w:rsid w:val="044E7D8A"/>
    <w:rsid w:val="0CF34297"/>
    <w:rsid w:val="13816ECC"/>
    <w:rsid w:val="17616F6E"/>
    <w:rsid w:val="186D15A1"/>
    <w:rsid w:val="1872382B"/>
    <w:rsid w:val="19C0314D"/>
    <w:rsid w:val="1B185113"/>
    <w:rsid w:val="1C546989"/>
    <w:rsid w:val="20E9518E"/>
    <w:rsid w:val="21477726"/>
    <w:rsid w:val="23906366"/>
    <w:rsid w:val="26331017"/>
    <w:rsid w:val="27A7649B"/>
    <w:rsid w:val="2A315B45"/>
    <w:rsid w:val="2C333C14"/>
    <w:rsid w:val="2DB43208"/>
    <w:rsid w:val="2E4375F4"/>
    <w:rsid w:val="327A0EC0"/>
    <w:rsid w:val="3A2E3E02"/>
    <w:rsid w:val="3D273115"/>
    <w:rsid w:val="40C66554"/>
    <w:rsid w:val="42B34A7B"/>
    <w:rsid w:val="435509D0"/>
    <w:rsid w:val="44C012D8"/>
    <w:rsid w:val="459245EA"/>
    <w:rsid w:val="48B91E5D"/>
    <w:rsid w:val="497A2022"/>
    <w:rsid w:val="51093F61"/>
    <w:rsid w:val="51B57FA9"/>
    <w:rsid w:val="521B3D51"/>
    <w:rsid w:val="52A568BB"/>
    <w:rsid w:val="52C24988"/>
    <w:rsid w:val="54234767"/>
    <w:rsid w:val="55014595"/>
    <w:rsid w:val="5A8C449C"/>
    <w:rsid w:val="5C2E7B1F"/>
    <w:rsid w:val="621D3630"/>
    <w:rsid w:val="6BE2040C"/>
    <w:rsid w:val="6FB46AE8"/>
    <w:rsid w:val="7B564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iPriority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9"/>
    <w:pPr>
      <w:autoSpaceDE w:val="0"/>
      <w:autoSpaceDN w:val="0"/>
      <w:adjustRightInd w:val="0"/>
      <w:outlineLvl w:val="0"/>
    </w:pPr>
    <w:rPr>
      <w:rFonts w:ascii="Arial" w:hAnsi="Arial" w:eastAsia="宋体" w:cs="Times New Roman"/>
      <w:b/>
      <w:color w:val="000000"/>
      <w:sz w:val="32"/>
    </w:rPr>
  </w:style>
  <w:style w:type="character" w:default="1" w:styleId="10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99"/>
    <w:pPr>
      <w:spacing w:after="120"/>
    </w:p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Plain Text"/>
    <w:basedOn w:val="1"/>
    <w:next w:val="1"/>
    <w:qFormat/>
    <w:uiPriority w:val="0"/>
    <w:rPr>
      <w:rFonts w:ascii="宋体" w:hAnsi="Courier New" w:cs="Courier New"/>
      <w:szCs w:val="21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8">
    <w:name w:val="Body Text First Indent"/>
    <w:basedOn w:val="1"/>
    <w:qFormat/>
    <w:uiPriority w:val="0"/>
    <w:pPr>
      <w:ind w:firstLine="420" w:firstLineChars="100"/>
    </w:pPr>
    <w:rPr>
      <w:rFonts w:ascii="Times New Roman" w:hAnsi="Times New Roman" w:eastAsia="宋体" w:cs="Times New Roman"/>
      <w:szCs w:val="20"/>
    </w:rPr>
  </w:style>
  <w:style w:type="paragraph" w:customStyle="1" w:styleId="11">
    <w:name w:val="Default"/>
    <w:qFormat/>
    <w:uiPriority w:val="0"/>
    <w:pPr>
      <w:widowControl w:val="0"/>
      <w:autoSpaceDE w:val="0"/>
      <w:autoSpaceDN w:val="0"/>
      <w:adjustRightInd w:val="0"/>
      <w:spacing w:line="320" w:lineRule="exact"/>
      <w:ind w:firstLine="200" w:firstLineChars="200"/>
    </w:pPr>
    <w:rPr>
      <w:rFonts w:ascii="Times New Roman" w:hAnsi="Times New Roman" w:eastAsia="宋体" w:cs="Times New Roman"/>
      <w:color w:val="000000"/>
      <w:sz w:val="24"/>
      <w:szCs w:val="24"/>
      <w:lang w:val="en-US" w:eastAsia="zh-CN" w:bidi="ar-SA"/>
    </w:rPr>
  </w:style>
  <w:style w:type="paragraph" w:styleId="12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233</Words>
  <Characters>1333</Characters>
  <Lines>11</Lines>
  <Paragraphs>3</Paragraphs>
  <TotalTime>180</TotalTime>
  <ScaleCrop>false</ScaleCrop>
  <LinksUpToDate>false</LinksUpToDate>
  <CharactersWithSpaces>1563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2025-04-11T10:41:00Z</dcterms:created>
  <dc:creator>2176582E6DB647989B571133181FE602</dc:creator>
  <cp:lastModifiedBy>张荣锦</cp:lastModifiedBy>
  <dcterms:modified xsi:type="dcterms:W3CDTF">2025-08-01T06:53:33Z</dcterms:modified>
  <cp:revision>102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772B917B26E84BBA9C31BD5E5730C927</vt:lpwstr>
  </property>
</Properties>
</file>