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0" w:beforeLines="500" w:line="240" w:lineRule="auto"/>
        <w:rPr>
          <w:rFonts w:ascii="Times New Roman" w:hAnsi="Times New Roman" w:eastAsia="仿宋_GB2312" w:cs="Times New Roman"/>
          <w:b/>
          <w:sz w:val="36"/>
          <w:szCs w:val="20"/>
          <w:highlight w:val="yellow"/>
        </w:rPr>
      </w:pPr>
      <w:r>
        <w:rPr>
          <w:rFonts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624840</wp:posOffset>
                </wp:positionV>
                <wp:extent cx="5476240" cy="2621915"/>
                <wp:effectExtent l="0" t="0" r="1270" b="1270"/>
                <wp:wrapNone/>
                <wp:docPr id="1363677801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6240" cy="2621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52"/>
                                <w:szCs w:val="52"/>
                              </w:rPr>
                              <w:t>智慧综合缴费终端模块加工服务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-0.05pt;margin-top:49.2pt;height:206.45pt;width:431.2pt;z-index:251660288;mso-width-relative:page;mso-height-relative:page;" filled="f" stroked="f" coordsize="21600,21600" o:gfxdata="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Blg6&#10;89YAAAAIAQAADwAAAAAAAAABACAAAAAiAAAAZHJzL2Rvd25yZXYueG1sUEsBAhQAFAAAAAgAh07i&#10;QIxTxzokAgAALQQAAA4AAAAAAAAAAQAgAAAAJQEAAGRycy9lMm9Eb2MueG1sUEsFBgAAAAAGAAYA&#10;WQEAALs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52"/>
                          <w:szCs w:val="52"/>
                        </w:rPr>
                        <w:t>智慧综合缴费终端模块加工服务</w:t>
                      </w: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1513840</wp:posOffset>
                </wp:positionH>
                <wp:positionV relativeFrom="paragraph">
                  <wp:posOffset>8010525</wp:posOffset>
                </wp:positionV>
                <wp:extent cx="2294890" cy="479425"/>
                <wp:effectExtent l="0" t="0" r="1270" b="0"/>
                <wp:wrapNone/>
                <wp:docPr id="162202210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4890" cy="479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202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8"/>
                                <w:szCs w:val="28"/>
                              </w:rPr>
                              <w:t>5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年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8"/>
                                <w:szCs w:val="28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19.2pt;margin-top:630.75pt;height:37.75pt;width:180.7pt;z-index:251662336;mso-width-relative:page;mso-height-relative:page;" filled="f" stroked="f" coordsize="21600,21600" o:gfxdata="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AN3&#10;v13ZAAAADQEAAA8AAAAAAAAAAQAgAAAAIgAAAGRycy9kb3ducmV2LnhtbFBLAQIUABQAAAAIAIdO&#10;4kB1kYsvIgIAACsEAAAOAAAAAAAAAAEAIAAAACgBAABkcnMvZTJvRG9jLnhtbFBLBQYAAAAABgAG&#10;AFkBAAC8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202</w:t>
                      </w:r>
                      <w:r>
                        <w:rPr>
                          <w:rFonts w:hint="eastAsia" w:ascii="Times New Roman" w:hAnsi="Times New Roman" w:cs="Times New Roman"/>
                          <w:sz w:val="28"/>
                          <w:szCs w:val="28"/>
                        </w:rPr>
                        <w:t>5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年</w:t>
                      </w:r>
                      <w:r>
                        <w:rPr>
                          <w:rFonts w:hint="eastAsia" w:ascii="Times New Roman" w:hAnsi="Times New Roman" w:cs="Times New Roman"/>
                          <w:sz w:val="28"/>
                          <w:szCs w:val="28"/>
                        </w:rPr>
                        <w:t>8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3636645</wp:posOffset>
                </wp:positionV>
                <wp:extent cx="4848225" cy="934085"/>
                <wp:effectExtent l="0" t="0" r="0" b="1270"/>
                <wp:wrapNone/>
                <wp:docPr id="47565581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225" cy="934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52"/>
                                <w:szCs w:val="52"/>
                              </w:rPr>
                              <w:t>技术规范书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9.75pt;margin-top:286.35pt;height:73.55pt;width:381.75pt;z-index:251659264;mso-width-relative:page;mso-height-relative:page;" filled="f" stroked="f" coordsize="21600,21600" o:gfxdata="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Bi3b&#10;/dYAAAAKAQAADwAAAAAAAAABACAAAAAiAAAAZHJzL2Rvd25yZXYueG1sUEsBAhQAFAAAAAgAh07i&#10;QFBJw9gkAgAAKwQAAA4AAAAAAAAAAQAgAAAAJQEAAGRycy9lMm9Eb2MueG1sUEsFBgAAAAAGAAYA&#10;WQEAALs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黑体" w:hAnsi="黑体" w:eastAsia="黑体"/>
                          <w:sz w:val="52"/>
                          <w:szCs w:val="52"/>
                        </w:rPr>
                        <w:t>技术规范书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before="1560" w:beforeLines="500" w:line="240" w:lineRule="auto"/>
        <w:rPr>
          <w:rFonts w:ascii="Times New Roman" w:hAnsi="Times New Roman" w:eastAsia="仿宋_GB2312" w:cs="Times New Roman"/>
          <w:b/>
          <w:sz w:val="36"/>
          <w:szCs w:val="20"/>
          <w:highlight w:val="yellow"/>
        </w:rPr>
      </w:pPr>
    </w:p>
    <w:p>
      <w:pPr>
        <w:spacing w:before="1560" w:beforeLines="500" w:line="240" w:lineRule="auto"/>
        <w:rPr>
          <w:rFonts w:ascii="Times New Roman" w:hAnsi="Times New Roman" w:eastAsia="仿宋_GB2312" w:cs="Times New Roman"/>
          <w:b/>
          <w:sz w:val="36"/>
          <w:szCs w:val="20"/>
          <w:highlight w:val="yellow"/>
        </w:rPr>
      </w:pPr>
    </w:p>
    <w:p>
      <w:pPr>
        <w:spacing w:before="1560" w:beforeLines="500" w:line="240" w:lineRule="auto"/>
        <w:rPr>
          <w:rFonts w:ascii="Times New Roman" w:hAnsi="Times New Roman" w:eastAsia="仿宋_GB2312" w:cs="Times New Roman"/>
          <w:b/>
          <w:sz w:val="36"/>
          <w:szCs w:val="20"/>
          <w:highlight w:val="yellow"/>
        </w:rPr>
      </w:pPr>
    </w:p>
    <w:p>
      <w:pPr>
        <w:spacing w:before="1560" w:beforeLines="500" w:line="240" w:lineRule="auto"/>
        <w:rPr>
          <w:rFonts w:ascii="Times New Roman" w:hAnsi="Times New Roman" w:eastAsia="仿宋_GB2312" w:cs="Times New Roman"/>
          <w:b/>
          <w:sz w:val="36"/>
          <w:szCs w:val="20"/>
          <w:highlight w:val="yellow"/>
        </w:rPr>
      </w:pPr>
    </w:p>
    <w:p>
      <w:pPr>
        <w:spacing w:before="1560" w:beforeLines="500" w:line="240" w:lineRule="auto"/>
        <w:jc w:val="center"/>
        <w:rPr>
          <w:rFonts w:ascii="Times New Roman" w:hAnsi="Times New Roman" w:eastAsia="仿宋_GB2312" w:cs="Times New Roman"/>
          <w:b/>
          <w:sz w:val="36"/>
          <w:szCs w:val="20"/>
        </w:rPr>
      </w:pPr>
      <w:r>
        <w:rPr>
          <w:rFonts w:ascii="Times New Roman" w:hAnsi="Times New Roman" w:cs="Times New Roman"/>
          <w:highlight w:val="yello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-1171575</wp:posOffset>
                </wp:positionH>
                <wp:positionV relativeFrom="paragraph">
                  <wp:posOffset>471170</wp:posOffset>
                </wp:positionV>
                <wp:extent cx="7581265" cy="472440"/>
                <wp:effectExtent l="0" t="4445" r="635" b="0"/>
                <wp:wrapNone/>
                <wp:docPr id="887904725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81265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firstLine="560"/>
                              <w:jc w:val="center"/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广西电网能源科技有限责任公司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" o:spid="_x0000_s1026" o:spt="202" type="#_x0000_t202" style="position:absolute;left:0pt;margin-left:-92.25pt;margin-top:37.1pt;height:37.2pt;width:596.95pt;z-index:251661312;mso-width-relative:page;mso-height-relative:page;" filled="f" stroked="f" coordsize="21600,21600" o:gfxdata="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NxV&#10;LsPZAAAADAEAAA8AAAAAAAAAAQAgAAAAIgAAAGRycy9kb3ducmV2LnhtbFBLAQIUABQAAAAIAIdO&#10;4kALovCcIgIAACsEAAAOAAAAAAAAAAEAIAAAACgBAABkcnMvZTJvRG9jLnhtbFBLBQYAAAAABgAG&#10;AFkBAAC8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ind w:firstLine="560"/>
                        <w:jc w:val="center"/>
                        <w:rPr>
                          <w:rFonts w:hint="eastAsia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广西电网能源科技有限责任公司</w:t>
                      </w:r>
                    </w:p>
                  </w:txbxContent>
                </v:textbox>
              </v:shape>
            </w:pict>
          </mc:Fallback>
        </mc:AlternateContent>
      </w:r>
    </w:p>
    <w:sdt>
      <w:sdtPr>
        <w:rPr>
          <w:rFonts w:asciiTheme="minorHAnsi" w:hAnsiTheme="minorHAnsi" w:eastAsiaTheme="minorEastAsia" w:cstheme="minorBidi"/>
          <w:color w:val="auto"/>
          <w:kern w:val="2"/>
          <w:sz w:val="22"/>
          <w:szCs w:val="24"/>
          <w:lang w:val="zh-CN"/>
          <w14:ligatures w14:val="standardContextual"/>
        </w:rPr>
        <w:id w:val="-445544658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/>
          <w:bCs/>
          <w:color w:val="auto"/>
          <w:kern w:val="2"/>
          <w:sz w:val="22"/>
          <w:szCs w:val="24"/>
          <w:lang w:val="zh-CN"/>
          <w14:ligatures w14:val="standardContextual"/>
        </w:rPr>
      </w:sdtEndPr>
      <w:sdtContent>
        <w:p>
          <w:pPr>
            <w:pStyle w:val="43"/>
            <w:jc w:val="center"/>
            <w:rPr>
              <w:lang w:val="zh-CN"/>
            </w:rPr>
          </w:pPr>
          <w:r>
            <w:rPr>
              <w:lang w:val="zh-CN"/>
            </w:rPr>
            <w:t>目</w:t>
          </w:r>
          <w:r>
            <w:rPr>
              <w:rFonts w:hint="eastAsia"/>
              <w:lang w:val="en-US" w:eastAsia="zh-CN"/>
            </w:rPr>
            <w:t xml:space="preserve">  </w:t>
          </w:r>
          <w:r>
            <w:rPr>
              <w:lang w:val="zh-CN"/>
            </w:rPr>
            <w:t>录</w:t>
          </w:r>
        </w:p>
        <w:p>
          <w:pPr>
            <w:rPr>
              <w:rFonts w:hint="eastAsia"/>
            </w:rPr>
          </w:pP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_Toc31835 </w:instrText>
          </w:r>
          <w:r>
            <w:fldChar w:fldCharType="separate"/>
          </w:r>
          <w:r>
            <w:t>一、总则</w:t>
          </w:r>
          <w:r>
            <w:tab/>
          </w:r>
          <w:r>
            <w:fldChar w:fldCharType="begin"/>
          </w:r>
          <w:r>
            <w:instrText xml:space="preserve"> PAGEREF _Toc31835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_Toc8552 </w:instrText>
          </w:r>
          <w:r>
            <w:rPr>
              <w:bCs/>
              <w:lang w:val="zh-CN"/>
            </w:rPr>
            <w:fldChar w:fldCharType="separate"/>
          </w:r>
          <w:r>
            <w:t>1.1一般要求</w:t>
          </w:r>
          <w:r>
            <w:tab/>
          </w:r>
          <w:r>
            <w:fldChar w:fldCharType="begin"/>
          </w:r>
          <w:r>
            <w:instrText xml:space="preserve"> PAGEREF _Toc8552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_Toc30297 </w:instrText>
          </w:r>
          <w:r>
            <w:rPr>
              <w:bCs/>
              <w:lang w:val="zh-CN"/>
            </w:rPr>
            <w:fldChar w:fldCharType="separate"/>
          </w:r>
          <w:r>
            <w:t>1.2标准和规范</w:t>
          </w:r>
          <w:r>
            <w:tab/>
          </w:r>
          <w:r>
            <w:fldChar w:fldCharType="begin"/>
          </w:r>
          <w:r>
            <w:instrText xml:space="preserve"> PAGEREF _Toc30297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_Toc22954 </w:instrText>
          </w:r>
          <w:r>
            <w:rPr>
              <w:bCs/>
              <w:lang w:val="zh-CN"/>
            </w:rPr>
            <w:fldChar w:fldCharType="separate"/>
          </w:r>
          <w:r>
            <w:t>二、技术要求</w:t>
          </w:r>
          <w:r>
            <w:tab/>
          </w:r>
          <w:r>
            <w:fldChar w:fldCharType="begin"/>
          </w:r>
          <w:r>
            <w:instrText xml:space="preserve"> PAGEREF _Toc22954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_Toc15864 </w:instrText>
          </w:r>
          <w:r>
            <w:rPr>
              <w:bCs/>
              <w:lang w:val="zh-CN"/>
            </w:rPr>
            <w:fldChar w:fldCharType="separate"/>
          </w:r>
          <w:r>
            <w:t>2.</w:t>
          </w:r>
          <w:r>
            <w:rPr>
              <w:rFonts w:hint="eastAsia"/>
            </w:rPr>
            <w:t>1</w:t>
          </w:r>
          <w:r>
            <w:t xml:space="preserve"> 技术指标要求</w:t>
          </w:r>
          <w:r>
            <w:tab/>
          </w:r>
          <w:r>
            <w:fldChar w:fldCharType="begin"/>
          </w:r>
          <w:r>
            <w:instrText xml:space="preserve"> PAGEREF _Toc15864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_Toc2112 </w:instrText>
          </w:r>
          <w:r>
            <w:rPr>
              <w:bCs/>
              <w:lang w:val="zh-CN"/>
            </w:rPr>
            <w:fldChar w:fldCharType="separate"/>
          </w:r>
          <w:r>
            <w:t>2.</w:t>
          </w:r>
          <w:r>
            <w:rPr>
              <w:rFonts w:hint="eastAsia"/>
            </w:rPr>
            <w:t>2</w:t>
          </w:r>
          <w:r>
            <w:t xml:space="preserve"> 功能要求</w:t>
          </w:r>
          <w:r>
            <w:tab/>
          </w:r>
          <w:r>
            <w:fldChar w:fldCharType="begin"/>
          </w:r>
          <w:r>
            <w:instrText xml:space="preserve"> PAGEREF _Toc2112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_Toc7685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三</w:t>
          </w:r>
          <w:r>
            <w:t>、投标技术文件编制要求</w:t>
          </w:r>
          <w:r>
            <w:tab/>
          </w:r>
          <w:r>
            <w:fldChar w:fldCharType="begin"/>
          </w:r>
          <w:r>
            <w:instrText xml:space="preserve"> PAGEREF _Toc7685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_Toc12363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3</w:t>
          </w:r>
          <w:r>
            <w:t>.</w:t>
          </w:r>
          <w:r>
            <w:rPr>
              <w:rFonts w:hint="eastAsia"/>
            </w:rPr>
            <w:t>1</w:t>
          </w:r>
          <w:r>
            <w:t xml:space="preserve"> 项目实施组织与管理</w:t>
          </w:r>
          <w:r>
            <w:tab/>
          </w:r>
          <w:r>
            <w:fldChar w:fldCharType="begin"/>
          </w:r>
          <w:r>
            <w:instrText xml:space="preserve"> PAGEREF _Toc12363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_Toc10852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/>
            </w:rPr>
            <w:t xml:space="preserve">3.2 </w:t>
          </w:r>
          <w:r>
            <w:t>承担能力说明</w:t>
          </w:r>
          <w:r>
            <w:tab/>
          </w:r>
          <w:r>
            <w:fldChar w:fldCharType="begin"/>
          </w:r>
          <w:r>
            <w:instrText xml:space="preserve"> PAGEREF _Toc10852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_Toc26186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3</w:t>
          </w:r>
          <w:r>
            <w:t>.</w:t>
          </w:r>
          <w:r>
            <w:rPr>
              <w:rFonts w:hint="eastAsia"/>
            </w:rPr>
            <w:t>3</w:t>
          </w:r>
          <w:r>
            <w:t xml:space="preserve"> 技术保密要求</w:t>
          </w:r>
          <w:r>
            <w:tab/>
          </w:r>
          <w:r>
            <w:fldChar w:fldCharType="begin"/>
          </w:r>
          <w:r>
            <w:instrText xml:space="preserve"> PAGEREF _Toc26186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_Toc15670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3</w:t>
          </w:r>
          <w:r>
            <w:t>.</w:t>
          </w:r>
          <w:r>
            <w:rPr>
              <w:rFonts w:hint="eastAsia"/>
            </w:rPr>
            <w:t>4</w:t>
          </w:r>
          <w:r>
            <w:t xml:space="preserve"> 售后服务承诺</w:t>
          </w:r>
          <w:r>
            <w:tab/>
          </w:r>
          <w:r>
            <w:fldChar w:fldCharType="begin"/>
          </w:r>
          <w:r>
            <w:instrText xml:space="preserve"> PAGEREF _Toc15670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_Toc15622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3</w:t>
          </w:r>
          <w:r>
            <w:t>.</w:t>
          </w:r>
          <w:r>
            <w:rPr>
              <w:rFonts w:hint="eastAsia"/>
            </w:rPr>
            <w:t>5</w:t>
          </w:r>
          <w:r>
            <w:t xml:space="preserve"> 技术培训</w:t>
          </w:r>
          <w:r>
            <w:tab/>
          </w:r>
          <w:r>
            <w:fldChar w:fldCharType="begin"/>
          </w:r>
          <w:r>
            <w:instrText xml:space="preserve"> PAGEREF _Toc15622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_Toc648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四</w:t>
          </w:r>
          <w:r>
            <w:t>、项目联络</w:t>
          </w:r>
          <w:r>
            <w:tab/>
          </w:r>
          <w:r>
            <w:fldChar w:fldCharType="begin"/>
          </w:r>
          <w:r>
            <w:instrText xml:space="preserve"> PAGEREF _Toc648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_Toc11038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4</w:t>
          </w:r>
          <w:r>
            <w:t>.1 联络会机制</w:t>
          </w:r>
          <w:r>
            <w:tab/>
          </w:r>
          <w:r>
            <w:fldChar w:fldCharType="begin"/>
          </w:r>
          <w:r>
            <w:instrText xml:space="preserve"> PAGEREF _Toc11038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_Toc11832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4</w:t>
          </w:r>
          <w:r>
            <w:t>.2 联络会内容</w:t>
          </w:r>
          <w:r>
            <w:tab/>
          </w:r>
          <w:r>
            <w:fldChar w:fldCharType="begin"/>
          </w:r>
          <w:r>
            <w:instrText xml:space="preserve"> PAGEREF _Toc11832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_Toc13770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五</w:t>
          </w:r>
          <w:r>
            <w:t>、评审与验收</w:t>
          </w:r>
          <w:r>
            <w:tab/>
          </w:r>
          <w:r>
            <w:fldChar w:fldCharType="begin"/>
          </w:r>
          <w:r>
            <w:instrText xml:space="preserve"> PAGEREF _Toc13770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_Toc5671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5</w:t>
          </w:r>
          <w:r>
            <w:t>.1 技术文件交付与确认</w:t>
          </w:r>
          <w:r>
            <w:tab/>
          </w:r>
          <w:r>
            <w:fldChar w:fldCharType="begin"/>
          </w:r>
          <w:r>
            <w:instrText xml:space="preserve"> PAGEREF _Toc5671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_Toc21188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5</w:t>
          </w:r>
          <w:r>
            <w:t>.2 验收方式</w:t>
          </w:r>
          <w:r>
            <w:tab/>
          </w:r>
          <w:r>
            <w:fldChar w:fldCharType="begin"/>
          </w:r>
          <w:r>
            <w:instrText xml:space="preserve"> PAGEREF _Toc21188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_Toc31488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5</w:t>
          </w:r>
          <w:r>
            <w:t>.3 质量保证与违约处理</w:t>
          </w:r>
          <w:r>
            <w:tab/>
          </w:r>
          <w:r>
            <w:fldChar w:fldCharType="begin"/>
          </w:r>
          <w:r>
            <w:instrText xml:space="preserve"> PAGEREF _Toc31488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_Toc17025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六</w:t>
          </w:r>
          <w:r>
            <w:t>、售后服务</w:t>
          </w:r>
          <w:r>
            <w:tab/>
          </w:r>
          <w:r>
            <w:fldChar w:fldCharType="begin"/>
          </w:r>
          <w:r>
            <w:instrText xml:space="preserve"> PAGEREF _Toc17025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_Toc23569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6</w:t>
          </w:r>
          <w:r>
            <w:t>.1 服务期限</w:t>
          </w:r>
          <w:r>
            <w:tab/>
          </w:r>
          <w:r>
            <w:fldChar w:fldCharType="begin"/>
          </w:r>
          <w:r>
            <w:instrText xml:space="preserve"> PAGEREF _Toc23569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_Toc27930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6</w:t>
          </w:r>
          <w:r>
            <w:t>.2 保修范围</w:t>
          </w:r>
          <w:r>
            <w:tab/>
          </w:r>
          <w:r>
            <w:fldChar w:fldCharType="begin"/>
          </w:r>
          <w:r>
            <w:instrText xml:space="preserve"> PAGEREF _Toc27930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_Toc22279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6</w:t>
          </w:r>
          <w:r>
            <w:t>.3 响应时效</w:t>
          </w:r>
          <w:r>
            <w:tab/>
          </w:r>
          <w:r>
            <w:fldChar w:fldCharType="begin"/>
          </w:r>
          <w:r>
            <w:instrText xml:space="preserve"> PAGEREF _Toc22279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_Toc24469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6</w:t>
          </w:r>
          <w:r>
            <w:t>.4 故障处理机制</w:t>
          </w:r>
          <w:r>
            <w:tab/>
          </w:r>
          <w:r>
            <w:fldChar w:fldCharType="begin"/>
          </w:r>
          <w:r>
            <w:instrText xml:space="preserve"> PAGEREF _Toc24469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_Toc23193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6</w:t>
          </w:r>
          <w:r>
            <w:t>.5 服务实施方式</w:t>
          </w:r>
          <w:r>
            <w:tab/>
          </w:r>
          <w:r>
            <w:fldChar w:fldCharType="begin"/>
          </w:r>
          <w:r>
            <w:instrText xml:space="preserve"> PAGEREF _Toc23193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_Toc13429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6</w:t>
          </w:r>
          <w:r>
            <w:t>.6 协作配合要求</w:t>
          </w:r>
          <w:r>
            <w:tab/>
          </w:r>
          <w:r>
            <w:fldChar w:fldCharType="begin"/>
          </w:r>
          <w:r>
            <w:instrText xml:space="preserve"> PAGEREF _Toc13429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_Toc27481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6</w:t>
          </w:r>
          <w:r>
            <w:t>.7 服务团队保障</w:t>
          </w:r>
          <w:r>
            <w:tab/>
          </w:r>
          <w:r>
            <w:fldChar w:fldCharType="begin"/>
          </w:r>
          <w:r>
            <w:instrText xml:space="preserve"> PAGEREF _Toc27481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_Toc18867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6</w:t>
          </w:r>
          <w:r>
            <w:t>.8 保修期后服务方案</w:t>
          </w:r>
          <w:r>
            <w:tab/>
          </w:r>
          <w:r>
            <w:fldChar w:fldCharType="begin"/>
          </w:r>
          <w:r>
            <w:instrText xml:space="preserve"> PAGEREF _Toc18867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_Toc29768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七</w:t>
          </w:r>
          <w:r>
            <w:t>、其他相关要求</w:t>
          </w:r>
          <w:r>
            <w:tab/>
          </w:r>
          <w:r>
            <w:fldChar w:fldCharType="begin"/>
          </w:r>
          <w:r>
            <w:instrText xml:space="preserve"> PAGEREF _Toc29768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_Toc30603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7</w:t>
          </w:r>
          <w:r>
            <w:t>.1技术配合</w:t>
          </w:r>
          <w:r>
            <w:tab/>
          </w:r>
          <w:r>
            <w:fldChar w:fldCharType="begin"/>
          </w:r>
          <w:r>
            <w:instrText xml:space="preserve"> PAGEREF _Toc30603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_Toc10472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7</w:t>
          </w:r>
          <w:r>
            <w:t>.2现场服务</w:t>
          </w:r>
          <w:r>
            <w:tab/>
          </w:r>
          <w:r>
            <w:fldChar w:fldCharType="begin"/>
          </w:r>
          <w:r>
            <w:instrText xml:space="preserve"> PAGEREF _Toc10472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_Toc22223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7</w:t>
          </w:r>
          <w:r>
            <w:t>.3 培训</w:t>
          </w:r>
          <w:r>
            <w:tab/>
          </w:r>
          <w:r>
            <w:fldChar w:fldCharType="begin"/>
          </w:r>
          <w:r>
            <w:instrText xml:space="preserve"> PAGEREF _Toc22223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_Toc27859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7</w:t>
          </w:r>
          <w:r>
            <w:t>.4知识产权约定</w:t>
          </w:r>
          <w:r>
            <w:tab/>
          </w:r>
          <w:r>
            <w:fldChar w:fldCharType="begin"/>
          </w:r>
          <w:r>
            <w:instrText xml:space="preserve"> PAGEREF _Toc27859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rPr>
              <w:rFonts w:hint="eastAsia"/>
            </w:rPr>
          </w:pPr>
          <w:r>
            <w:rPr>
              <w:bCs/>
              <w:lang w:val="zh-CN"/>
            </w:rPr>
            <w:fldChar w:fldCharType="end"/>
          </w:r>
        </w:p>
      </w:sdtContent>
    </w:sdt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</w:rPr>
      </w:pPr>
    </w:p>
    <w:p>
      <w:pPr>
        <w:rPr>
          <w:b/>
          <w:bCs/>
        </w:rPr>
      </w:pPr>
    </w:p>
    <w:p>
      <w:pPr>
        <w:rPr>
          <w:b/>
          <w:bCs/>
        </w:rPr>
      </w:pPr>
    </w:p>
    <w:p>
      <w:pPr>
        <w:rPr>
          <w:b/>
          <w:bCs/>
        </w:rPr>
      </w:pPr>
    </w:p>
    <w:p>
      <w:pPr>
        <w:rPr>
          <w:b/>
          <w:bCs/>
        </w:rPr>
      </w:pPr>
    </w:p>
    <w:p>
      <w:pPr>
        <w:rPr>
          <w:b/>
          <w:bCs/>
        </w:rPr>
      </w:pPr>
    </w:p>
    <w:p>
      <w:pPr>
        <w:rPr>
          <w:b/>
          <w:bCs/>
        </w:rPr>
      </w:pPr>
    </w:p>
    <w:p>
      <w:pPr>
        <w:rPr>
          <w:b/>
          <w:bCs/>
        </w:rPr>
      </w:pPr>
    </w:p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</w:rPr>
      </w:pPr>
    </w:p>
    <w:p>
      <w:pPr>
        <w:pStyle w:val="3"/>
        <w:rPr>
          <w:rFonts w:hint="eastAsia"/>
        </w:rPr>
      </w:pPr>
      <w:bookmarkStart w:id="0" w:name="_Toc31835"/>
      <w:bookmarkStart w:id="1" w:name="_Toc299606277"/>
      <w:bookmarkStart w:id="2" w:name="_Toc182240419"/>
      <w:bookmarkStart w:id="3" w:name="_Toc353940788"/>
      <w:bookmarkStart w:id="4" w:name="_Toc203118711"/>
      <w:bookmarkStart w:id="5" w:name="_Toc444945507"/>
      <w:bookmarkStart w:id="6" w:name="_Toc3891"/>
      <w:bookmarkStart w:id="7" w:name="_Toc353939550"/>
      <w:r>
        <w:t>一、总则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>
      <w:pPr>
        <w:pStyle w:val="4"/>
        <w:rPr>
          <w:rFonts w:hint="eastAsia"/>
        </w:rPr>
      </w:pPr>
      <w:bookmarkStart w:id="8" w:name="_Toc8552"/>
      <w:r>
        <w:t>1.1一般要求</w:t>
      </w:r>
      <w:bookmarkEnd w:id="8"/>
    </w:p>
    <w:p>
      <w:pPr>
        <w:rPr>
          <w:rFonts w:hint="eastAsia"/>
        </w:rPr>
      </w:pPr>
      <w:r>
        <w:rPr>
          <w:b/>
          <w:bCs/>
        </w:rPr>
        <w:t>1.1.1</w:t>
      </w:r>
      <w:r>
        <w:t>本技术条款适用于广西电网能源科技有限责任公司“</w:t>
      </w:r>
      <w:r>
        <w:rPr>
          <w:rFonts w:hint="eastAsia"/>
        </w:rPr>
        <w:t>智慧综合缴费终端模块加工服务</w:t>
      </w:r>
      <w:bookmarkStart w:id="46" w:name="_GoBack"/>
      <w:bookmarkEnd w:id="46"/>
      <w:r>
        <w:t>”项目。</w:t>
      </w:r>
      <w:r>
        <w:rPr>
          <w:b/>
          <w:bCs/>
        </w:rPr>
        <w:t>投标方务必仔细阅读</w:t>
      </w:r>
      <w:r>
        <w:t>本条款全部内容，</w:t>
      </w:r>
      <w:r>
        <w:rPr>
          <w:b/>
          <w:bCs/>
        </w:rPr>
        <w:t>避免</w:t>
      </w:r>
      <w:r>
        <w:t>因理解偏差导致投标失败。</w:t>
      </w:r>
    </w:p>
    <w:p>
      <w:pPr>
        <w:rPr>
          <w:rFonts w:hint="eastAsia"/>
        </w:rPr>
      </w:pPr>
      <w:r>
        <w:rPr>
          <w:b/>
          <w:bCs/>
        </w:rPr>
        <w:t>1.1.2</w:t>
      </w:r>
      <w:r>
        <w:t>本技术规范书提出的是</w:t>
      </w:r>
      <w:r>
        <w:rPr>
          <w:b/>
          <w:bCs/>
        </w:rPr>
        <w:t>最低限度的技术要求</w:t>
      </w:r>
      <w:r>
        <w:t>，未涵盖所有技术细节，也未详尽引用相关标准和规范条文。</w:t>
      </w:r>
      <w:r>
        <w:rPr>
          <w:b/>
          <w:bCs/>
        </w:rPr>
        <w:t>投标方应提供</w:t>
      </w:r>
      <w:r>
        <w:t>符合本技术规范书、工业标准及国家标准的优质产品与服务。</w:t>
      </w:r>
      <w:r>
        <w:rPr>
          <w:b/>
          <w:bCs/>
        </w:rPr>
        <w:t>投标方必须：</w:t>
      </w:r>
      <w:r>
        <w:br w:type="textWrapping"/>
      </w:r>
      <w:r>
        <w:t>*</w:t>
      </w:r>
      <w:r>
        <w:rPr>
          <w:b/>
          <w:bCs/>
        </w:rPr>
        <w:t>认真阅读</w:t>
      </w:r>
      <w:r>
        <w:t>本规范书；</w:t>
      </w:r>
      <w:r>
        <w:br w:type="textWrapping"/>
      </w:r>
      <w:r>
        <w:t>*</w:t>
      </w:r>
      <w:r>
        <w:rPr>
          <w:b/>
          <w:bCs/>
        </w:rPr>
        <w:t>逐条准确应答</w:t>
      </w:r>
      <w:r>
        <w:t>，明确说明是否满足每项要求；</w:t>
      </w:r>
      <w:r>
        <w:br w:type="textWrapping"/>
      </w:r>
      <w:r>
        <w:t>* 对不满足的要求，除在应答中说明外，</w:t>
      </w:r>
      <w:r>
        <w:rPr>
          <w:b/>
          <w:bCs/>
        </w:rPr>
        <w:t>必须</w:t>
      </w:r>
      <w:r>
        <w:t>另附“差异表”详细列出。</w:t>
      </w:r>
    </w:p>
    <w:p>
      <w:pPr>
        <w:rPr>
          <w:rFonts w:hint="eastAsia"/>
        </w:rPr>
      </w:pPr>
      <w:r>
        <w:rPr>
          <w:b/>
          <w:bCs/>
        </w:rPr>
        <w:t>1.1.3</w:t>
      </w:r>
      <w:r>
        <w:t>本规范书中，凡标有</w:t>
      </w:r>
      <w:r>
        <w:rPr>
          <w:b/>
          <w:bCs/>
        </w:rPr>
        <w:t>下划线</w:t>
      </w:r>
      <w:r>
        <w:t>或</w:t>
      </w:r>
      <w:r>
        <w:rPr>
          <w:b/>
          <w:bCs/>
        </w:rPr>
        <w:t>“★”</w:t>
      </w:r>
      <w:r>
        <w:t> 的指标要求，均视为</w:t>
      </w:r>
      <w:r>
        <w:rPr>
          <w:b/>
          <w:bCs/>
        </w:rPr>
        <w:t>重要的技术指标或性能要求</w:t>
      </w:r>
      <w:r>
        <w:t>。</w:t>
      </w:r>
      <w:r>
        <w:rPr>
          <w:b/>
          <w:bCs/>
        </w:rPr>
        <w:t>投标方须特别关注并确保完全满足</w:t>
      </w:r>
      <w:r>
        <w:t>这些要求。</w:t>
      </w:r>
    </w:p>
    <w:p>
      <w:pPr>
        <w:rPr>
          <w:rFonts w:hint="eastAsia"/>
        </w:rPr>
      </w:pPr>
      <w:r>
        <w:rPr>
          <w:b/>
          <w:bCs/>
        </w:rPr>
        <w:t>1.1.4投标方应提交</w:t>
      </w:r>
      <w:r>
        <w:t>满足本技术规范书要求的建议书、实施方案及报价。建议书与实施方案</w:t>
      </w:r>
      <w:r>
        <w:rPr>
          <w:b/>
          <w:bCs/>
        </w:rPr>
        <w:t>必须响应</w:t>
      </w:r>
      <w:r>
        <w:t>本规范书的主要要求，否则视为未应答。投标方认为需特殊说明之处，</w:t>
      </w:r>
      <w:r>
        <w:rPr>
          <w:b/>
          <w:bCs/>
        </w:rPr>
        <w:t>应附详细技术资料</w:t>
      </w:r>
      <w:r>
        <w:t>；若因评标理解差异产生后果，由投标方负责。</w:t>
      </w:r>
    </w:p>
    <w:p>
      <w:pPr>
        <w:rPr>
          <w:rFonts w:hint="eastAsia"/>
        </w:rPr>
      </w:pPr>
      <w:r>
        <w:rPr>
          <w:b/>
          <w:bCs/>
        </w:rPr>
        <w:t>1.1.5</w:t>
      </w:r>
      <w:r>
        <w:t>若投标方认为本技术条款要求存在不合理或表述不清之处，</w:t>
      </w:r>
      <w:r>
        <w:rPr>
          <w:b/>
          <w:bCs/>
        </w:rPr>
        <w:t>可在响应原要求后，提出相关建议</w:t>
      </w:r>
      <w:r>
        <w:t>。</w:t>
      </w:r>
    </w:p>
    <w:p>
      <w:pPr>
        <w:rPr>
          <w:rFonts w:hint="eastAsia"/>
        </w:rPr>
      </w:pPr>
      <w:r>
        <w:rPr>
          <w:b/>
          <w:bCs/>
        </w:rPr>
        <w:t>1.1.6投标方可提出</w:t>
      </w:r>
      <w:r>
        <w:t>满足本技术规范书要求、技术更先进成熟、价格合理的替代方案，供招标方选择。</w:t>
      </w:r>
    </w:p>
    <w:p>
      <w:pPr>
        <w:rPr>
          <w:rFonts w:hint="eastAsia"/>
        </w:rPr>
      </w:pPr>
      <w:r>
        <w:rPr>
          <w:b/>
          <w:bCs/>
        </w:rPr>
        <w:t>1.1.7投标方应提供</w:t>
      </w:r>
      <w:r>
        <w:t>满足本技术规范书要求的完整服务与工作产品，</w:t>
      </w:r>
      <w:r>
        <w:rPr>
          <w:b/>
          <w:bCs/>
        </w:rPr>
        <w:t>符合</w:t>
      </w:r>
      <w:r>
        <w:t>国家及用户相关质量标准。所有工作产品</w:t>
      </w:r>
      <w:r>
        <w:rPr>
          <w:b/>
          <w:bCs/>
        </w:rPr>
        <w:t>必须拥有</w:t>
      </w:r>
      <w:r>
        <w:t>在中国境内的合法使用权。</w:t>
      </w:r>
    </w:p>
    <w:p>
      <w:pPr>
        <w:rPr>
          <w:rFonts w:hint="eastAsia"/>
        </w:rPr>
      </w:pPr>
      <w:r>
        <w:rPr>
          <w:b/>
          <w:bCs/>
        </w:rPr>
        <w:t>1.1.8</w:t>
      </w:r>
      <w:r>
        <w:t>若本技术规范书引用的标准与投标方执行的标准不一致，</w:t>
      </w:r>
      <w:r>
        <w:rPr>
          <w:b/>
          <w:bCs/>
        </w:rPr>
        <w:t>按两者中要求较高的标准执行</w:t>
      </w:r>
      <w:r>
        <w:t>。</w:t>
      </w:r>
    </w:p>
    <w:p>
      <w:pPr>
        <w:rPr>
          <w:rFonts w:hint="eastAsia"/>
        </w:rPr>
      </w:pPr>
      <w:r>
        <w:rPr>
          <w:b/>
          <w:bCs/>
        </w:rPr>
        <w:t>1.1.9</w:t>
      </w:r>
      <w:r>
        <w:t>若因故无法提供指定产品或服务，</w:t>
      </w:r>
      <w:r>
        <w:rPr>
          <w:b/>
          <w:bCs/>
        </w:rPr>
        <w:t>投标方必须明确说明原因</w:t>
      </w:r>
      <w:r>
        <w:t>，提供替代方案，</w:t>
      </w:r>
      <w:r>
        <w:rPr>
          <w:b/>
          <w:bCs/>
        </w:rPr>
        <w:t>并作出相应的质量保证承诺</w:t>
      </w:r>
      <w:r>
        <w:t>。</w:t>
      </w:r>
    </w:p>
    <w:p>
      <w:pPr>
        <w:rPr>
          <w:rFonts w:hint="eastAsia"/>
        </w:rPr>
      </w:pPr>
      <w:r>
        <w:rPr>
          <w:b/>
          <w:bCs/>
        </w:rPr>
        <w:t>1.1.10投标方应保证</w:t>
      </w:r>
      <w:r>
        <w:t>其提供的产品或服务，能与招标方未来自行开发或委托第三方开发的其他工作产品</w:t>
      </w:r>
      <w:r>
        <w:rPr>
          <w:b/>
          <w:bCs/>
        </w:rPr>
        <w:t>实现可靠的性能兼容</w:t>
      </w:r>
      <w:r>
        <w:t>。</w:t>
      </w:r>
    </w:p>
    <w:p>
      <w:pPr>
        <w:rPr>
          <w:rFonts w:hint="eastAsia"/>
        </w:rPr>
      </w:pPr>
      <w:r>
        <w:rPr>
          <w:b/>
          <w:bCs/>
        </w:rPr>
        <w:t>1.1.11投标方须对</w:t>
      </w:r>
      <w:r>
        <w:t>本次投标所有文件</w:t>
      </w:r>
      <w:r>
        <w:rPr>
          <w:b/>
          <w:bCs/>
        </w:rPr>
        <w:t>严格保密</w:t>
      </w:r>
      <w:r>
        <w:t>，</w:t>
      </w:r>
      <w:r>
        <w:rPr>
          <w:b/>
          <w:bCs/>
        </w:rPr>
        <w:t>不得</w:t>
      </w:r>
      <w:r>
        <w:t>向任何其他单位公布或泄露本项目相关信息。</w:t>
      </w:r>
    </w:p>
    <w:p>
      <w:pPr>
        <w:rPr>
          <w:rFonts w:hint="eastAsia"/>
        </w:rPr>
      </w:pPr>
      <w:r>
        <w:rPr>
          <w:b/>
          <w:bCs/>
        </w:rPr>
        <w:t>1.1.12招标方保留</w:t>
      </w:r>
      <w:r>
        <w:t>修改本技术规范书的权利，可提出变更意见与建议。最终签订的技术协议与合同具有同等法律效力。</w:t>
      </w:r>
    </w:p>
    <w:p>
      <w:pPr>
        <w:rPr>
          <w:rFonts w:hint="eastAsia"/>
        </w:rPr>
      </w:pPr>
      <w:r>
        <w:rPr>
          <w:b/>
          <w:bCs/>
        </w:rPr>
        <w:t>1.1.13</w:t>
      </w:r>
      <w:r>
        <w:t>在不超出本技术规范书要求的前提下，</w:t>
      </w:r>
      <w:r>
        <w:rPr>
          <w:b/>
          <w:bCs/>
        </w:rPr>
        <w:t>投标方应满足</w:t>
      </w:r>
      <w:r>
        <w:t>招标方提出的所有细化要求。</w:t>
      </w:r>
    </w:p>
    <w:p>
      <w:pPr>
        <w:rPr>
          <w:rFonts w:hint="eastAsia"/>
        </w:rPr>
      </w:pPr>
      <w:r>
        <w:rPr>
          <w:b/>
          <w:bCs/>
        </w:rPr>
        <w:t>1.1.14</w:t>
      </w:r>
      <w:r>
        <w:t>所有文件、图纸、通信</w:t>
      </w:r>
      <w:r>
        <w:rPr>
          <w:b/>
          <w:bCs/>
        </w:rPr>
        <w:t>均须使用中文</w:t>
      </w:r>
      <w:r>
        <w:t>。所有计算、说明、图纸文件、手册等</w:t>
      </w:r>
      <w:r>
        <w:rPr>
          <w:b/>
          <w:bCs/>
        </w:rPr>
        <w:t>必须采用国际单位制(SI)</w:t>
      </w:r>
      <w:r>
        <w:t>。</w:t>
      </w:r>
    </w:p>
    <w:p>
      <w:pPr>
        <w:pStyle w:val="4"/>
        <w:rPr>
          <w:rFonts w:hint="eastAsia"/>
        </w:rPr>
      </w:pPr>
      <w:bookmarkStart w:id="9" w:name="_Toc30297"/>
      <w:r>
        <w:t>1.2标准和规范</w:t>
      </w:r>
      <w:bookmarkEnd w:id="9"/>
    </w:p>
    <w:p>
      <w:pPr>
        <w:rPr>
          <w:rFonts w:hint="eastAsia"/>
        </w:rPr>
      </w:pPr>
      <w:r>
        <w:rPr>
          <w:b/>
          <w:bCs/>
        </w:rPr>
        <w:t>1.2.1</w:t>
      </w:r>
      <w:r>
        <w:t>本规范书所涉及的所有规范、标准或材料规格</w:t>
      </w:r>
      <w:r>
        <w:rPr>
          <w:b/>
          <w:bCs/>
        </w:rPr>
        <w:t>应为最新版本</w:t>
      </w:r>
      <w:r>
        <w:t>，其版本有效性</w:t>
      </w:r>
      <w:r>
        <w:rPr>
          <w:b/>
          <w:bCs/>
        </w:rPr>
        <w:t>以招标文件发出之日为截止日期</w:t>
      </w:r>
      <w:r>
        <w:t>。若本规范书要求与所引用标准之间存在不一致，</w:t>
      </w:r>
      <w:r>
        <w:rPr>
          <w:b/>
          <w:bCs/>
        </w:rPr>
        <w:t>投标方必须立即向招标方指明</w:t>
      </w:r>
      <w:r>
        <w:t>，</w:t>
      </w:r>
      <w:r>
        <w:rPr>
          <w:b/>
          <w:bCs/>
        </w:rPr>
        <w:t>由招标方最终决定</w:t>
      </w:r>
      <w:r>
        <w:t>应遵循的规范或标准。</w:t>
      </w:r>
    </w:p>
    <w:p>
      <w:pPr>
        <w:rPr>
          <w:rFonts w:hint="eastAsia"/>
        </w:rPr>
      </w:pPr>
      <w:r>
        <w:rPr>
          <w:b/>
          <w:bCs/>
        </w:rPr>
        <w:t>1.2.2若投标方拟采用</w:t>
      </w:r>
      <w:r>
        <w:t>其自身的标准或规范，</w:t>
      </w:r>
      <w:r>
        <w:rPr>
          <w:b/>
          <w:bCs/>
        </w:rPr>
        <w:t>必须事先向招标方提供</w:t>
      </w:r>
      <w:r>
        <w:t>该标准或规范的中文版本，</w:t>
      </w:r>
      <w:r>
        <w:rPr>
          <w:b/>
          <w:bCs/>
        </w:rPr>
        <w:t>并征得招标方书面同意</w:t>
      </w:r>
      <w:r>
        <w:t>后方可执行。投标方采用的自有标准或规范</w:t>
      </w:r>
      <w:r>
        <w:rPr>
          <w:b/>
          <w:bCs/>
        </w:rPr>
        <w:t>不得低于</w:t>
      </w:r>
      <w:r>
        <w:t>现行国标（GB）、机械行业标准（JB）的相应规定。</w:t>
      </w:r>
    </w:p>
    <w:p>
      <w:pPr>
        <w:rPr>
          <w:rFonts w:hint="eastAsia"/>
        </w:rPr>
      </w:pPr>
      <w:r>
        <w:rPr>
          <w:b/>
          <w:bCs/>
        </w:rPr>
        <w:t>1.2.3投标方提供的产品及服务须符合</w:t>
      </w:r>
      <w:r>
        <w:t>下列现行有效的国家标准（包括其最新修订版本）以及其他相关国家、行业强制性标准的要求：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b/>
          <w:bCs/>
        </w:rPr>
        <w:t>信息技术与设备安全：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GB 4943.1-2022</w:t>
      </w:r>
      <w:r>
        <w:t> 信息技术设备 安全 第1部分：通用要求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GB 2099.1-2008</w:t>
      </w:r>
      <w:r>
        <w:t> 家用和类似用途插头插座 第1部分：通用要求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b/>
          <w:bCs/>
        </w:rPr>
        <w:t>电磁兼容 (EMC)：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GB/T 19520-2008</w:t>
      </w:r>
      <w:r>
        <w:t> 电子设备机械结构 482.6mm(19in)系列机械结构尺寸 第3-101部分：插箱及其插件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GB/T 17626.5-2019</w:t>
      </w:r>
      <w:r>
        <w:t> 电磁兼容 试验和测量技术 第5部分：浪涌(冲击)抗扰度试验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GB/T 17626.2-2018</w:t>
      </w:r>
      <w:r>
        <w:t> 电磁兼容 试验和测量技术 第2部分：静电放电抗扰度试验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GB/T 17626.3-2016</w:t>
      </w:r>
      <w:r>
        <w:t> 电磁兼容 试验和测量技术 第3部分：射频电磁场辐射抗扰度试验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GB 9254.1-2021</w:t>
      </w:r>
      <w:r>
        <w:t> 信息技术设备</w:t>
      </w:r>
      <w:r>
        <w:rPr>
          <w:rFonts w:hint="eastAsia"/>
        </w:rPr>
        <w:t xml:space="preserve"> </w:t>
      </w:r>
      <w:r>
        <w:t>电磁兼容 第1部分：发射要求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b/>
          <w:bCs/>
        </w:rPr>
        <w:t>环境试验：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GB/T 2423.1-2008</w:t>
      </w:r>
      <w:r>
        <w:t> 电工电子产品环境试验 第2部分：试验方法 试验A：低温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b/>
          <w:bCs/>
        </w:rPr>
        <w:t>金融支付安全：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GB/T 18239-2000</w:t>
      </w:r>
      <w:r>
        <w:t> </w:t>
      </w:r>
      <w:r>
        <w:rPr>
          <w:rFonts w:hint="eastAsia" w:ascii="Times New Roman" w:hAnsi="Times New Roman" w:cs="Times New Roman"/>
          <w:szCs w:val="21"/>
        </w:rPr>
        <w:t>金融IC卡读卡器技术规范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GB/T 16649.1-1996</w:t>
      </w:r>
      <w:r>
        <w:t> </w:t>
      </w:r>
      <w:r>
        <w:rPr>
          <w:rFonts w:hint="eastAsia" w:ascii="Times New Roman" w:hAnsi="Times New Roman" w:cs="Times New Roman"/>
          <w:szCs w:val="21"/>
        </w:rPr>
        <w:t>银行卡安全认证规范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GB/T 18770-2017</w:t>
      </w:r>
      <w:r>
        <w:t> </w:t>
      </w:r>
      <w:r>
        <w:rPr>
          <w:rFonts w:hint="eastAsia" w:ascii="Times New Roman" w:hAnsi="Times New Roman" w:cs="Times New Roman"/>
          <w:szCs w:val="21"/>
        </w:rPr>
        <w:t>密码键盘安全技术要求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GB/T 33145-2016</w:t>
      </w:r>
      <w:r>
        <w:t> 电子支付密码设备安全技术规范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b/>
          <w:bCs/>
        </w:rPr>
        <w:t>生物识别与安防设备：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GA 467-2013</w:t>
      </w:r>
      <w:r>
        <w:t> 居民身份证阅读器通用技术要求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GB/T 25000.51-2016</w:t>
      </w:r>
      <w:r>
        <w:t> </w:t>
      </w:r>
      <w:r>
        <w:rPr>
          <w:rFonts w:hint="eastAsia" w:ascii="Times New Roman" w:hAnsi="Times New Roman" w:cs="Times New Roman"/>
          <w:szCs w:val="21"/>
        </w:rPr>
        <w:t>指纹识别系统通用规范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GB 1409-2019</w:t>
      </w:r>
      <w:r>
        <w:t> 防盗保险柜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GA 374-2019</w:t>
      </w:r>
      <w:r>
        <w:t> 电子防盗锁</w:t>
      </w:r>
    </w:p>
    <w:p>
      <w:pPr>
        <w:numPr>
          <w:ilvl w:val="1"/>
          <w:numId w:val="1"/>
        </w:numPr>
        <w:rPr>
          <w:rFonts w:hint="eastAsia"/>
        </w:rPr>
      </w:pPr>
      <w:r>
        <w:rPr>
          <w:b/>
          <w:bCs/>
        </w:rPr>
        <w:t>GB 37481-2019</w:t>
      </w:r>
      <w:r>
        <w:t> 金库门通用技术要求</w:t>
      </w:r>
    </w:p>
    <w:p>
      <w:pPr>
        <w:rPr>
          <w:rFonts w:hint="eastAsia"/>
        </w:rPr>
      </w:pPr>
      <w:r>
        <w:rPr>
          <w:b/>
          <w:bCs/>
        </w:rPr>
        <w:t>注：</w:t>
      </w:r>
      <w:r>
        <w:t>投标方提供的产品和服务除满足上述标准外，</w:t>
      </w:r>
      <w:r>
        <w:rPr>
          <w:b/>
          <w:bCs/>
        </w:rPr>
        <w:t>还应满足</w:t>
      </w:r>
      <w:r>
        <w:t>国家及行业发布的最新相关标准规范要求。标准会被修订，各方应探讨使用其最新版本的可能性。</w:t>
      </w:r>
    </w:p>
    <w:p>
      <w:pPr>
        <w:pStyle w:val="3"/>
        <w:rPr>
          <w:rFonts w:hint="eastAsia"/>
        </w:rPr>
      </w:pPr>
      <w:bookmarkStart w:id="10" w:name="_Toc205287488"/>
      <w:bookmarkStart w:id="11" w:name="_Toc22954"/>
      <w:r>
        <w:t>二、技术要求</w:t>
      </w:r>
      <w:bookmarkEnd w:id="10"/>
      <w:bookmarkEnd w:id="11"/>
    </w:p>
    <w:p>
      <w:pPr>
        <w:pStyle w:val="4"/>
        <w:rPr>
          <w:rFonts w:hint="eastAsia"/>
        </w:rPr>
      </w:pPr>
      <w:bookmarkStart w:id="12" w:name="_Toc15864"/>
      <w:bookmarkStart w:id="13" w:name="_Toc205287489"/>
      <w:r>
        <w:t>2.</w:t>
      </w:r>
      <w:r>
        <w:rPr>
          <w:rFonts w:hint="eastAsia"/>
        </w:rPr>
        <w:t>1</w:t>
      </w:r>
      <w:r>
        <w:t xml:space="preserve"> 技术指标要求</w:t>
      </w:r>
      <w:bookmarkEnd w:id="12"/>
      <w:bookmarkEnd w:id="13"/>
    </w:p>
    <w:p>
      <w:pPr>
        <w:rPr>
          <w:rFonts w:hint="eastAsia"/>
        </w:rPr>
      </w:pPr>
      <w:r>
        <w:t>广西电网能源科技有限责任公司通过引进多代次、多型号的营业厅终端设备，积淀了丰硕的场景应用数据与迭代升级经验。在专业部门、供电局及研发单位的协同发力下，公司致力于提供一整套模块供应解决方案，涵盖</w:t>
      </w:r>
      <w:r>
        <w:rPr>
          <w:rFonts w:hint="eastAsia"/>
        </w:rPr>
        <w:t>主机、</w:t>
      </w:r>
      <w:r>
        <w:t>高清触摸显示器、电动读卡器</w:t>
      </w:r>
      <w:r>
        <w:rPr>
          <w:rFonts w:hint="eastAsia"/>
        </w:rPr>
        <w:t>、</w:t>
      </w:r>
      <w:r>
        <w:t>凭条打印机</w:t>
      </w:r>
      <w:r>
        <w:rPr>
          <w:rFonts w:hint="eastAsia"/>
        </w:rPr>
        <w:t>、</w:t>
      </w:r>
      <w:r>
        <w:t>条码扫描器</w:t>
      </w:r>
      <w:r>
        <w:rPr>
          <w:rFonts w:hint="eastAsia"/>
        </w:rPr>
        <w:t>、</w:t>
      </w:r>
      <w:r>
        <w:t>双目摄像头</w:t>
      </w:r>
      <w:r>
        <w:rPr>
          <w:rFonts w:hint="eastAsia"/>
        </w:rPr>
        <w:t>、</w:t>
      </w:r>
      <w:r>
        <w:t>密码键盘</w:t>
      </w:r>
      <w:r>
        <w:rPr>
          <w:rFonts w:hint="eastAsia"/>
        </w:rPr>
        <w:t>、</w:t>
      </w:r>
      <w:r>
        <w:t>快速存款机（大堂式</w:t>
      </w:r>
      <w:r>
        <w:rPr>
          <w:rFonts w:hint="eastAsia"/>
        </w:rPr>
        <w:t>）、动态密码锁、保险柜、ups电源、指纹仪</w:t>
      </w:r>
      <w:r>
        <w:t>模块等。每个模块的设计，既要契合各类设备的工作需求，又要保障在长时间、高频次使用场景下能够稳定运行，且便于维护，确保终端设备在复杂环境中持续提供精准、及时、高效的服务。</w:t>
      </w:r>
    </w:p>
    <w:p>
      <w:pPr>
        <w:rPr>
          <w:rFonts w:hint="eastAsia"/>
          <w:b/>
          <w:bCs/>
        </w:rPr>
      </w:pPr>
      <w:bookmarkStart w:id="14" w:name="OLE_LINK1"/>
      <w:r>
        <w:rPr>
          <w:b/>
          <w:bCs/>
        </w:rPr>
        <w:t>智</w:t>
      </w:r>
      <w:r>
        <w:rPr>
          <w:rFonts w:hint="eastAsia"/>
          <w:b/>
          <w:bCs/>
        </w:rPr>
        <w:t>慧</w:t>
      </w:r>
      <w:r>
        <w:rPr>
          <w:b/>
          <w:bCs/>
        </w:rPr>
        <w:t>综合</w:t>
      </w:r>
      <w:r>
        <w:rPr>
          <w:rFonts w:hint="eastAsia"/>
          <w:b/>
          <w:bCs/>
        </w:rPr>
        <w:t>缴费</w:t>
      </w:r>
      <w:r>
        <w:rPr>
          <w:b/>
          <w:bCs/>
        </w:rPr>
        <w:t>终端</w:t>
      </w:r>
    </w:p>
    <w:bookmarkEnd w:id="14"/>
    <w:tbl>
      <w:tblPr>
        <w:tblStyle w:val="2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2110"/>
        <w:gridCol w:w="58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序号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指标名称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技术规格与精度要求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★主机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▪</w:t>
            </w:r>
            <w:r>
              <w:t xml:space="preserve"> 主频 ≥1.8GHz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CPU核心 ≥4核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内存 ≥4GB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存储 ≥64GB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通讯：4G、WiFi、蓝牙、LAN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★显示器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▪</w:t>
            </w:r>
            <w:r>
              <w:t xml:space="preserve"> 尺寸 ≥19英寸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分辨率 ≥1280×1024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触摸分辨率 ≥4096×4096（支持多点触摸）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亮度 ≥300cd/m²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★</w:t>
            </w:r>
            <w:bookmarkStart w:id="15" w:name="_Hlk205195344"/>
            <w:r>
              <w:t>电动读卡器</w:t>
            </w:r>
            <w:bookmarkEnd w:id="15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▪</w:t>
            </w:r>
            <w:r>
              <w:t xml:space="preserve"> 支持IC卡/RF卡/磁卡/社保卡/健康卡读写（ISO7810 ID-1, 7811标准）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IC卡符合ISO7816-2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RF卡符合ISO14443 Type A/B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带电控门，支持掉电弹卡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★</w:t>
            </w:r>
            <w:bookmarkStart w:id="16" w:name="_Hlk205195368"/>
            <w:r>
              <w:t>凭条打印机</w:t>
            </w:r>
            <w:bookmarkEnd w:id="16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▪</w:t>
            </w:r>
            <w:r>
              <w:t xml:space="preserve"> 纸宽 80mm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打印速度 ≥250mm/s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分辨率 ≥203DPI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取纸提醒：侦测+闪烁灯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支持全切/半切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防卡纸、纸量预警、黑标检测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条码扫描器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▪</w:t>
            </w:r>
            <w:r>
              <w:t xml:space="preserve"> 分辨率 ≥640×480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支持PDF417/Datamatrix/QR码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双目摄像头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▪</w:t>
            </w:r>
            <w:r>
              <w:t xml:space="preserve"> 分辨率 ≥300万像素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★密码键盘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▪</w:t>
            </w:r>
            <w:r>
              <w:t xml:space="preserve"> 材质：金属外壳，蚀刻凸/凹字键面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银联国密认证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支持DES/TDES/3DES算法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拆封自毁程序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防水/防尘/防暴设计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★快速存款机（大堂式）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▪</w:t>
            </w:r>
            <w:r>
              <w:t xml:space="preserve"> 进钞口容量 ≥500张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退钞口容量 ≥50张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暂存口容量 ≥100张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点钞速度 ≥800张/分钟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功能：存款、防伪鉴别、金额点算、冠字号识别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支持人民币及多国货币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可检测残缺/孔洞/折角/油渍/胶带/变造币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★动态密码锁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▪</w:t>
            </w:r>
            <w:r>
              <w:t xml:space="preserve"> 12位一次性动态密码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开关到位检测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报警功能：面板拆除/锁体拆卸/密码尝试超限/低电量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符合GA 374-2019《电子防盗锁》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★保险柜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▪</w:t>
            </w:r>
            <w:r>
              <w:t xml:space="preserve"> 柜体壁厚 ≥8mm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符合GB 10409-2019《防盗保险柜（箱）》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配专用钞袋（容量 ≥20,000张），抽屉式拉出自动上锁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1</w:t>
            </w:r>
            <w:r>
              <w:rPr>
                <w:rFonts w:hint="eastAsia"/>
              </w:rPr>
              <w:t>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UPS电源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▪</w:t>
            </w:r>
            <w:r>
              <w:t xml:space="preserve"> 容量 ≥500VA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输入</w:t>
            </w:r>
            <w:r>
              <w:rPr>
                <w:rFonts w:hint="eastAsia"/>
              </w:rPr>
              <w:t>可变</w:t>
            </w:r>
            <w:r>
              <w:t>电压</w:t>
            </w:r>
            <w:r>
              <w:rPr>
                <w:rFonts w:hint="eastAsia"/>
              </w:rPr>
              <w:t>范围</w:t>
            </w:r>
            <w:r>
              <w:t xml:space="preserve"> 16</w:t>
            </w:r>
            <w:r>
              <w:rPr>
                <w:rFonts w:hint="eastAsia"/>
              </w:rPr>
              <w:t>2</w:t>
            </w:r>
            <w:r>
              <w:t>-2</w:t>
            </w:r>
            <w:r>
              <w:rPr>
                <w:rFonts w:hint="eastAsia"/>
              </w:rPr>
              <w:t>8</w:t>
            </w:r>
            <w:r>
              <w:t>5V AC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</w:t>
            </w:r>
            <w:r>
              <w:rPr>
                <w:rFonts w:hint="eastAsia"/>
              </w:rPr>
              <w:t>保护功能可支持快速熔断器，过载提示、关机及短路保护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1</w:t>
            </w:r>
            <w:r>
              <w:rPr>
                <w:rFonts w:hint="eastAsia"/>
              </w:rPr>
              <w:t>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t>指纹仪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▪</w:t>
            </w:r>
            <w:r>
              <w:t xml:space="preserve"> 分辨率 ≥500DPI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认假率 ≤0.0005%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拒真率 ≤0.21%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识别时间 ≤0.3秒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指纹容量 ≥1000枚</w:t>
            </w:r>
            <w:r>
              <w:br w:type="textWrapping"/>
            </w:r>
            <w:r>
              <w:rPr>
                <w:rFonts w:ascii="Times New Roman" w:hAnsi="Times New Roman" w:cs="Times New Roman"/>
              </w:rPr>
              <w:t>▪</w:t>
            </w:r>
            <w:r>
              <w:t xml:space="preserve"> 类型：半导体（支持活体检测）</w:t>
            </w:r>
          </w:p>
        </w:tc>
      </w:tr>
    </w:tbl>
    <w:p>
      <w:pPr>
        <w:rPr>
          <w:rFonts w:hint="eastAsia"/>
        </w:rPr>
      </w:pPr>
      <w:r>
        <w:pict>
          <v:rect id="_x0000_i1025" o:spt="1" style="height:0.75pt;width:0pt;" fillcolor="#40404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pStyle w:val="4"/>
        <w:rPr>
          <w:rFonts w:hint="eastAsia"/>
        </w:rPr>
      </w:pPr>
      <w:bookmarkStart w:id="17" w:name="_Toc2112"/>
      <w:bookmarkStart w:id="18" w:name="_Toc205287490"/>
      <w:r>
        <w:t>2.</w:t>
      </w:r>
      <w:r>
        <w:rPr>
          <w:rFonts w:hint="eastAsia"/>
        </w:rPr>
        <w:t>2</w:t>
      </w:r>
      <w:r>
        <w:t xml:space="preserve"> 功能要求</w:t>
      </w:r>
      <w:bookmarkEnd w:id="17"/>
      <w:bookmarkEnd w:id="18"/>
    </w:p>
    <w:p>
      <w:pPr>
        <w:rPr>
          <w:rFonts w:hint="eastAsia"/>
          <w:b/>
          <w:bCs/>
        </w:rPr>
      </w:pPr>
      <w:r>
        <w:rPr>
          <w:b/>
          <w:bCs/>
        </w:rPr>
        <w:t>2.</w:t>
      </w:r>
      <w:r>
        <w:rPr>
          <w:rFonts w:hint="eastAsia"/>
          <w:b/>
          <w:bCs/>
        </w:rPr>
        <w:t>2</w:t>
      </w:r>
      <w:r>
        <w:rPr>
          <w:b/>
          <w:bCs/>
        </w:rPr>
        <w:t>.1 主机功能要求</w:t>
      </w:r>
    </w:p>
    <w:p>
      <w:pPr>
        <w:numPr>
          <w:ilvl w:val="0"/>
          <w:numId w:val="2"/>
        </w:numPr>
        <w:rPr>
          <w:rFonts w:hint="eastAsia"/>
        </w:rPr>
      </w:pPr>
      <w:r>
        <w:t>主控 CPU 应为多核处理器，主频≥1.8GHz；内存≥4GB（高负载场景下≥8GB）；存储≥64GB（推荐配置 128GB 固态硬盘）。</w:t>
      </w:r>
    </w:p>
    <w:p>
      <w:pPr>
        <w:numPr>
          <w:ilvl w:val="0"/>
          <w:numId w:val="2"/>
        </w:numPr>
        <w:rPr>
          <w:rFonts w:hint="eastAsia"/>
        </w:rPr>
      </w:pPr>
      <w:r>
        <w:t>支持 4G、WiFi、蓝牙及有线 LAN 等多种连接方式，配备 USB、HDMI、RJ45 等多类型接口，满足外设扩展需求。</w:t>
      </w:r>
    </w:p>
    <w:p>
      <w:pPr>
        <w:numPr>
          <w:ilvl w:val="0"/>
          <w:numId w:val="2"/>
        </w:numPr>
        <w:rPr>
          <w:rFonts w:hint="eastAsia"/>
        </w:rPr>
      </w:pPr>
      <w:r>
        <w:t>兼容 DL/T 698.45、MQTT 等多协议，适配政务、电力等场景的标准化通信要求，兼顾数据处理效率、设备扩展性及行业合规性，可应对高并发业务场景。</w:t>
      </w:r>
    </w:p>
    <w:p>
      <w:pPr>
        <w:rPr>
          <w:rFonts w:hint="eastAsia"/>
          <w:b/>
          <w:bCs/>
        </w:rPr>
      </w:pPr>
      <w:r>
        <w:rPr>
          <w:b/>
          <w:bCs/>
        </w:rPr>
        <w:t>2.</w:t>
      </w:r>
      <w:r>
        <w:rPr>
          <w:rFonts w:hint="eastAsia"/>
          <w:b/>
          <w:bCs/>
        </w:rPr>
        <w:t>2</w:t>
      </w:r>
      <w:r>
        <w:rPr>
          <w:b/>
          <w:bCs/>
        </w:rPr>
        <w:t xml:space="preserve">.2 </w:t>
      </w:r>
      <w:r>
        <w:rPr>
          <w:rFonts w:hint="eastAsia"/>
          <w:b/>
          <w:bCs/>
        </w:rPr>
        <w:t>显示器</w:t>
      </w:r>
      <w:r>
        <w:rPr>
          <w:b/>
          <w:bCs/>
        </w:rPr>
        <w:t>要求</w:t>
      </w:r>
    </w:p>
    <w:p>
      <w:pPr>
        <w:numPr>
          <w:ilvl w:val="0"/>
          <w:numId w:val="3"/>
        </w:numPr>
        <w:rPr>
          <w:rFonts w:hint="eastAsia"/>
        </w:rPr>
      </w:pPr>
      <w:r>
        <w:t>屏幕尺寸≥19 英寸，分辨率≥1024×768，亮度≥300cd/m²，保障强光环境下的可视性。</w:t>
      </w:r>
    </w:p>
    <w:p>
      <w:pPr>
        <w:numPr>
          <w:ilvl w:val="0"/>
          <w:numId w:val="3"/>
        </w:numPr>
        <w:rPr>
          <w:rFonts w:hint="eastAsia"/>
        </w:rPr>
      </w:pPr>
      <w:r>
        <w:t>采用电容式多点触摸屏（触控点≥10 点），触控寿命≥5000 万次，具备防尘、防划、防水特性。</w:t>
      </w:r>
    </w:p>
    <w:p>
      <w:pPr>
        <w:rPr>
          <w:rFonts w:hint="eastAsia"/>
          <w:b/>
          <w:bCs/>
        </w:rPr>
      </w:pPr>
      <w:r>
        <w:rPr>
          <w:b/>
          <w:bCs/>
        </w:rPr>
        <w:t>2.</w:t>
      </w:r>
      <w:r>
        <w:rPr>
          <w:rFonts w:hint="eastAsia"/>
          <w:b/>
          <w:bCs/>
        </w:rPr>
        <w:t>2</w:t>
      </w:r>
      <w:r>
        <w:rPr>
          <w:b/>
          <w:bCs/>
        </w:rPr>
        <w:t>.</w:t>
      </w:r>
      <w:r>
        <w:rPr>
          <w:rFonts w:hint="eastAsia"/>
          <w:b/>
          <w:bCs/>
        </w:rPr>
        <w:t>3</w:t>
      </w:r>
      <w:r>
        <w:rPr>
          <w:b/>
          <w:bCs/>
        </w:rPr>
        <w:t xml:space="preserve"> 电动读卡器要求</w:t>
      </w:r>
    </w:p>
    <w:p>
      <w:pPr>
        <w:numPr>
          <w:ilvl w:val="0"/>
          <w:numId w:val="4"/>
        </w:numPr>
        <w:rPr>
          <w:rFonts w:hint="eastAsia"/>
        </w:rPr>
      </w:pPr>
      <w:r>
        <w:t>支持 ISO7810 ID-1 标准尺寸的 IC 卡、磁卡及 RF 卡协议，实现磁条、接触式与非接触式卡的全面覆盖。</w:t>
      </w:r>
    </w:p>
    <w:p>
      <w:pPr>
        <w:numPr>
          <w:ilvl w:val="0"/>
          <w:numId w:val="4"/>
        </w:numPr>
        <w:rPr>
          <w:rFonts w:hint="eastAsia"/>
        </w:rPr>
      </w:pPr>
      <w:r>
        <w:t>配备电控闸门及保护门设计，防止异物入侵；支持掉电自动弹卡功能（断电后 0.5 秒内强制退卡），并集成光电检测机制实时监控卡位置，保障异常状态下的数据安全。</w:t>
      </w:r>
    </w:p>
    <w:p>
      <w:pPr>
        <w:rPr>
          <w:rFonts w:hint="eastAsia"/>
          <w:b/>
          <w:bCs/>
        </w:rPr>
      </w:pPr>
      <w:r>
        <w:rPr>
          <w:b/>
          <w:bCs/>
        </w:rPr>
        <w:t>2.</w:t>
      </w:r>
      <w:r>
        <w:rPr>
          <w:rFonts w:hint="eastAsia"/>
          <w:b/>
          <w:bCs/>
        </w:rPr>
        <w:t>2</w:t>
      </w:r>
      <w:r>
        <w:rPr>
          <w:b/>
          <w:bCs/>
        </w:rPr>
        <w:t>.</w:t>
      </w:r>
      <w:r>
        <w:rPr>
          <w:rFonts w:hint="eastAsia"/>
          <w:b/>
          <w:bCs/>
        </w:rPr>
        <w:t>4</w:t>
      </w:r>
      <w:r>
        <w:rPr>
          <w:b/>
          <w:bCs/>
        </w:rPr>
        <w:t xml:space="preserve"> 凭条打印机要求</w:t>
      </w:r>
    </w:p>
    <w:p>
      <w:pPr>
        <w:numPr>
          <w:ilvl w:val="0"/>
          <w:numId w:val="5"/>
        </w:numPr>
        <w:rPr>
          <w:rFonts w:hint="eastAsia"/>
        </w:rPr>
      </w:pPr>
      <w:r>
        <w:t>满足高效、稳定及多场景适配需求：采用热敏或针式打印技术，打印速度≥150mm/s，分辨率≥203dpi，支持 79-81mm 纸宽及黑标定位切纸。</w:t>
      </w:r>
    </w:p>
    <w:p>
      <w:pPr>
        <w:numPr>
          <w:ilvl w:val="0"/>
          <w:numId w:val="5"/>
        </w:numPr>
        <w:rPr>
          <w:rFonts w:hint="eastAsia"/>
        </w:rPr>
      </w:pPr>
      <w:r>
        <w:t>具备防卡纸设计、纸将尽报警功能；打印头寿命≥100Km，切刀寿命≥100 万次；支持 ESC/POS 指令集及多语种字符集；支持取纸侦测提示功能，提醒用户取走票据。</w:t>
      </w:r>
    </w:p>
    <w:p>
      <w:pPr>
        <w:rPr>
          <w:rFonts w:hint="eastAsia"/>
          <w:b/>
          <w:bCs/>
        </w:rPr>
      </w:pPr>
      <w:r>
        <w:rPr>
          <w:b/>
          <w:bCs/>
        </w:rPr>
        <w:t>2.</w:t>
      </w:r>
      <w:r>
        <w:rPr>
          <w:rFonts w:hint="eastAsia"/>
          <w:b/>
          <w:bCs/>
        </w:rPr>
        <w:t>2.5</w:t>
      </w:r>
      <w:r>
        <w:rPr>
          <w:b/>
          <w:bCs/>
        </w:rPr>
        <w:t xml:space="preserve"> 密码键盘要求</w:t>
      </w:r>
    </w:p>
    <w:p>
      <w:pPr>
        <w:numPr>
          <w:ilvl w:val="0"/>
          <w:numId w:val="6"/>
        </w:numPr>
        <w:rPr>
          <w:rFonts w:hint="eastAsia"/>
        </w:rPr>
      </w:pPr>
      <w:r>
        <w:t>通过银联规范认证及国家密码管理局国密认证（支持 SM2/SM3/SM4 算法），同时兼容单倍 DES、双倍 DES（2DES）及三倍 DES（3DES）加密算法，覆盖 PIN 加密、MAC 运算及金融交易数据加解密需求。</w:t>
      </w:r>
    </w:p>
    <w:p>
      <w:pPr>
        <w:numPr>
          <w:ilvl w:val="0"/>
          <w:numId w:val="6"/>
        </w:numPr>
        <w:rPr>
          <w:rFonts w:hint="eastAsia"/>
        </w:rPr>
      </w:pPr>
      <w:r>
        <w:t>采用不锈钢外壳及蚀刻凸字 / 凹字键面设计，按键寿命≥200 万次，支持 IP54 防护等级，具备防水、防尘、防暴功能；集成拆封自毁程序，在非法物理拆解时自动销毁密钥及敏感数据，实现逻辑与物理双重安全隔离。</w:t>
      </w:r>
    </w:p>
    <w:p>
      <w:pPr>
        <w:rPr>
          <w:rFonts w:hint="eastAsia"/>
          <w:b/>
          <w:bCs/>
        </w:rPr>
      </w:pPr>
      <w:r>
        <w:rPr>
          <w:b/>
          <w:bCs/>
        </w:rPr>
        <w:t>2.</w:t>
      </w:r>
      <w:r>
        <w:rPr>
          <w:rFonts w:hint="eastAsia"/>
          <w:b/>
          <w:bCs/>
        </w:rPr>
        <w:t>2</w:t>
      </w:r>
      <w:r>
        <w:rPr>
          <w:b/>
          <w:bCs/>
        </w:rPr>
        <w:t>.</w:t>
      </w:r>
      <w:r>
        <w:rPr>
          <w:rFonts w:hint="eastAsia"/>
          <w:b/>
          <w:bCs/>
        </w:rPr>
        <w:t>6</w:t>
      </w:r>
      <w:r>
        <w:rPr>
          <w:b/>
          <w:bCs/>
        </w:rPr>
        <w:t xml:space="preserve"> 快速存款机要求（大堂式）</w:t>
      </w:r>
    </w:p>
    <w:p>
      <w:pPr>
        <w:numPr>
          <w:ilvl w:val="0"/>
          <w:numId w:val="7"/>
        </w:numPr>
        <w:rPr>
          <w:rFonts w:hint="eastAsia"/>
        </w:rPr>
      </w:pPr>
      <w:r>
        <w:t>采用双核 CIS 图像识别技术，配备多光谱图像、磁特征分析及红外穿透检测等 10 余种鉴伪技术，可精准识别纸币残缺、孔洞、折角、胶带及变造币（拼接币），同时支持人民币及美元 / 欧元等货币识别。</w:t>
      </w:r>
    </w:p>
    <w:p>
      <w:pPr>
        <w:numPr>
          <w:ilvl w:val="0"/>
          <w:numId w:val="7"/>
        </w:numPr>
        <w:rPr>
          <w:rFonts w:hint="eastAsia"/>
        </w:rPr>
      </w:pPr>
      <w:r>
        <w:t>采用现金清分机方案，设计独立的存、退钞口机构，可同时处理待存入现金和不可识别现金，退钞可直接再次存入，无需等待存钞口处理完毕。</w:t>
      </w:r>
    </w:p>
    <w:p>
      <w:pPr>
        <w:rPr>
          <w:rFonts w:hint="eastAsia"/>
          <w:b/>
          <w:bCs/>
        </w:rPr>
      </w:pPr>
      <w:r>
        <w:rPr>
          <w:b/>
          <w:bCs/>
        </w:rPr>
        <w:t>2.</w:t>
      </w:r>
      <w:r>
        <w:rPr>
          <w:rFonts w:hint="eastAsia"/>
          <w:b/>
          <w:bCs/>
        </w:rPr>
        <w:t>2</w:t>
      </w:r>
      <w:r>
        <w:rPr>
          <w:b/>
          <w:bCs/>
        </w:rPr>
        <w:t>.</w:t>
      </w:r>
      <w:r>
        <w:rPr>
          <w:rFonts w:hint="eastAsia"/>
          <w:b/>
          <w:bCs/>
        </w:rPr>
        <w:t>7</w:t>
      </w:r>
      <w:r>
        <w:rPr>
          <w:b/>
          <w:bCs/>
        </w:rPr>
        <w:t>动态密码锁要求</w:t>
      </w:r>
    </w:p>
    <w:p>
      <w:pPr>
        <w:numPr>
          <w:ilvl w:val="0"/>
          <w:numId w:val="8"/>
        </w:numPr>
        <w:rPr>
          <w:rFonts w:hint="eastAsia"/>
        </w:rPr>
      </w:pPr>
      <w:r>
        <w:t>支持 12 位一次性动态密码（基于时间同步 OTP 算法生成，每 60 秒更新或每次关锁后更新一次）；集成开关到位检测功能，通过传感器实时监测锁舌伸缩状态，确保机械锁闭到位精度≤0.5mm。</w:t>
      </w:r>
    </w:p>
    <w:p>
      <w:pPr>
        <w:numPr>
          <w:ilvl w:val="0"/>
          <w:numId w:val="8"/>
        </w:numPr>
        <w:rPr>
          <w:rFonts w:hint="eastAsia"/>
        </w:rPr>
      </w:pPr>
      <w:r>
        <w:t>安全防护：配备报警功能，采用霍尔 / 微动开关触发（灵敏度≤1mm），支持密码尝试过多报警；低电量报警采用电压阈值监测（3.3V±0.2V 触发预警）。硬件符合 B 级安全认证，主锁舌抗轴向静压力≥3000N、抗侧向静压力≥6000N，锁壳可承受 1600N 静拉力与 50N</w:t>
      </w:r>
      <w:r>
        <w:rPr>
          <w:rFonts w:hint="eastAsia" w:ascii="微软雅黑" w:hAnsi="微软雅黑" w:eastAsia="微软雅黑" w:cs="微软雅黑"/>
        </w:rPr>
        <w:t>・</w:t>
      </w:r>
      <w:r>
        <w:t>M 扭矩冲击。</w:t>
      </w:r>
    </w:p>
    <w:p>
      <w:pPr>
        <w:rPr>
          <w:rFonts w:hint="eastAsia"/>
          <w:b/>
          <w:bCs/>
        </w:rPr>
      </w:pPr>
      <w:r>
        <w:rPr>
          <w:b/>
          <w:bCs/>
        </w:rPr>
        <w:t>2.</w:t>
      </w:r>
      <w:r>
        <w:rPr>
          <w:rFonts w:hint="eastAsia"/>
          <w:b/>
          <w:bCs/>
        </w:rPr>
        <w:t>2</w:t>
      </w:r>
      <w:r>
        <w:rPr>
          <w:b/>
          <w:bCs/>
        </w:rPr>
        <w:t>.</w:t>
      </w:r>
      <w:r>
        <w:rPr>
          <w:rFonts w:hint="eastAsia"/>
          <w:b/>
          <w:bCs/>
        </w:rPr>
        <w:t>8</w:t>
      </w:r>
      <w:r>
        <w:rPr>
          <w:b/>
          <w:bCs/>
        </w:rPr>
        <w:t xml:space="preserve"> 保险柜要求</w:t>
      </w:r>
    </w:p>
    <w:p>
      <w:pPr>
        <w:numPr>
          <w:ilvl w:val="0"/>
          <w:numId w:val="9"/>
        </w:numPr>
        <w:rPr>
          <w:rFonts w:hint="eastAsia"/>
        </w:rPr>
      </w:pPr>
      <w:r>
        <w:t>柜体结构采用厚度≥8mm 的钢板，柜门与门框间无直接侵入通道，符合 GB 10409-2019《防盗保险柜（箱）》对材料强度与焊接工艺的要求。</w:t>
      </w:r>
    </w:p>
    <w:p>
      <w:pPr>
        <w:numPr>
          <w:ilvl w:val="0"/>
          <w:numId w:val="9"/>
        </w:numPr>
        <w:rPr>
          <w:rFonts w:hint="eastAsia"/>
        </w:rPr>
      </w:pPr>
      <w:r>
        <w:t>配备防水耐磨材质专用钞袋，容量≥20,000 张，支持拉出式机械锁定功能，确保钞袋脱离柜体后自动锁闭；集成动态密码锁、震动 / 非法开门报警系统，通过中性盐雾试验，满足 A15 级以上安全级别要求。</w:t>
      </w:r>
    </w:p>
    <w:p>
      <w:pPr>
        <w:rPr>
          <w:rFonts w:hint="eastAsia"/>
          <w:b/>
          <w:bCs/>
        </w:rPr>
      </w:pPr>
      <w:r>
        <w:rPr>
          <w:b/>
          <w:bCs/>
        </w:rPr>
        <w:t>2.</w:t>
      </w:r>
      <w:r>
        <w:rPr>
          <w:rFonts w:hint="eastAsia"/>
          <w:b/>
          <w:bCs/>
        </w:rPr>
        <w:t>2</w:t>
      </w:r>
      <w:r>
        <w:rPr>
          <w:b/>
          <w:bCs/>
        </w:rPr>
        <w:t>.</w:t>
      </w:r>
      <w:r>
        <w:rPr>
          <w:rFonts w:hint="eastAsia"/>
          <w:b/>
          <w:bCs/>
        </w:rPr>
        <w:t>9</w:t>
      </w:r>
      <w:r>
        <w:rPr>
          <w:b/>
          <w:bCs/>
        </w:rPr>
        <w:t xml:space="preserve"> 指纹仪要求</w:t>
      </w:r>
    </w:p>
    <w:p>
      <w:pPr>
        <w:numPr>
          <w:ilvl w:val="0"/>
          <w:numId w:val="10"/>
        </w:numPr>
        <w:rPr>
          <w:rFonts w:hint="eastAsia"/>
        </w:rPr>
      </w:pPr>
      <w:r>
        <w:t>采用半导体电容式传感器，分辨率≥500DPI，支持活体检测以防止伪造指纹攻击。</w:t>
      </w:r>
    </w:p>
    <w:p>
      <w:pPr>
        <w:numPr>
          <w:ilvl w:val="0"/>
          <w:numId w:val="10"/>
        </w:numPr>
        <w:rPr>
          <w:rFonts w:hint="eastAsia"/>
        </w:rPr>
      </w:pPr>
      <w:r>
        <w:t>性能要求：</w:t>
      </w:r>
    </w:p>
    <w:p>
      <w:pPr>
        <w:numPr>
          <w:ilvl w:val="1"/>
          <w:numId w:val="10"/>
        </w:numPr>
        <w:rPr>
          <w:rFonts w:hint="eastAsia"/>
        </w:rPr>
      </w:pPr>
      <w:r>
        <w:t>认假率（FAR）≤0.0005%</w:t>
      </w:r>
    </w:p>
    <w:p>
      <w:pPr>
        <w:numPr>
          <w:ilvl w:val="1"/>
          <w:numId w:val="10"/>
        </w:numPr>
        <w:rPr>
          <w:rFonts w:hint="eastAsia"/>
        </w:rPr>
      </w:pPr>
      <w:r>
        <w:t>拒真率（FRR）≤0.21%</w:t>
      </w:r>
    </w:p>
    <w:p>
      <w:pPr>
        <w:numPr>
          <w:ilvl w:val="1"/>
          <w:numId w:val="10"/>
        </w:numPr>
        <w:rPr>
          <w:rFonts w:hint="eastAsia"/>
        </w:rPr>
      </w:pPr>
      <w:r>
        <w:t>指纹识别时间≤0.3 秒</w:t>
      </w:r>
    </w:p>
    <w:p>
      <w:pPr>
        <w:numPr>
          <w:ilvl w:val="1"/>
          <w:numId w:val="10"/>
        </w:numPr>
        <w:rPr>
          <w:rFonts w:hint="eastAsia"/>
        </w:rPr>
      </w:pPr>
      <w:r>
        <w:t>支持存储指纹数量≥1000 枚</w:t>
      </w:r>
    </w:p>
    <w:p>
      <w:pPr>
        <w:numPr>
          <w:ilvl w:val="1"/>
          <w:numId w:val="10"/>
        </w:numPr>
        <w:rPr>
          <w:rFonts w:hint="eastAsia"/>
        </w:rPr>
      </w:pPr>
      <w:r>
        <w:t>内置防静电保护（≥8KV）及过流 / 过压保护机制</w:t>
      </w:r>
    </w:p>
    <w:p>
      <w:pPr>
        <w:pStyle w:val="3"/>
        <w:rPr>
          <w:rFonts w:hint="eastAsia"/>
        </w:rPr>
      </w:pPr>
      <w:bookmarkStart w:id="19" w:name="_Toc7685"/>
      <w:r>
        <w:rPr>
          <w:rFonts w:hint="eastAsia"/>
        </w:rPr>
        <w:t>三</w:t>
      </w:r>
      <w:r>
        <w:t>、投标技术文件编制要求</w:t>
      </w:r>
      <w:bookmarkEnd w:id="19"/>
    </w:p>
    <w:p>
      <w:pPr>
        <w:rPr>
          <w:rFonts w:hint="eastAsia"/>
        </w:rPr>
      </w:pPr>
      <w:r>
        <w:t>投标方提交的技术文件须包含（不仅限于）以下内容：</w:t>
      </w:r>
    </w:p>
    <w:p>
      <w:pPr>
        <w:pStyle w:val="4"/>
        <w:rPr>
          <w:rFonts w:hint="eastAsia"/>
        </w:rPr>
      </w:pPr>
      <w:bookmarkStart w:id="20" w:name="_Toc12363"/>
      <w:r>
        <w:rPr>
          <w:rFonts w:hint="eastAsia"/>
        </w:rPr>
        <w:t>3</w:t>
      </w:r>
      <w:r>
        <w:t>.</w:t>
      </w:r>
      <w:r>
        <w:rPr>
          <w:rFonts w:hint="eastAsia"/>
        </w:rPr>
        <w:t>1</w:t>
      </w:r>
      <w:r>
        <w:t xml:space="preserve"> 项目实施组织与管理</w:t>
      </w:r>
      <w:bookmarkEnd w:id="20"/>
    </w:p>
    <w:p>
      <w:pPr>
        <w:rPr>
          <w:rFonts w:hint="eastAsia"/>
        </w:rPr>
      </w:pPr>
      <w:r>
        <w:t>描述保障项目顺利实施的组织形式及管理措施。</w:t>
      </w:r>
    </w:p>
    <w:p>
      <w:pPr>
        <w:rPr>
          <w:rFonts w:hint="eastAsia"/>
        </w:rPr>
      </w:pPr>
    </w:p>
    <w:p>
      <w:pPr>
        <w:pStyle w:val="4"/>
        <w:numPr>
          <w:ilvl w:val="1"/>
          <w:numId w:val="11"/>
        </w:numPr>
        <w:rPr>
          <w:rFonts w:hint="eastAsia"/>
        </w:rPr>
      </w:pPr>
      <w:bookmarkStart w:id="21" w:name="_Toc10852"/>
      <w:r>
        <w:t>承担能力说明</w:t>
      </w:r>
      <w:bookmarkEnd w:id="21"/>
    </w:p>
    <w:p>
      <w:pPr>
        <w:ind w:firstLine="440" w:firstLineChars="200"/>
        <w:rPr>
          <w:rFonts w:hint="eastAsia"/>
        </w:rPr>
      </w:pPr>
      <w:r>
        <w:rPr>
          <w:b/>
          <w:bCs/>
        </w:rPr>
        <w:t>单位基本情况</w:t>
      </w:r>
    </w:p>
    <w:p>
      <w:pPr>
        <w:numPr>
          <w:ilvl w:val="1"/>
          <w:numId w:val="12"/>
        </w:numPr>
        <w:rPr>
          <w:rFonts w:hint="eastAsia"/>
        </w:rPr>
      </w:pPr>
      <w:r>
        <w:t>① 单位资质与资信情况；</w:t>
      </w:r>
    </w:p>
    <w:p>
      <w:pPr>
        <w:numPr>
          <w:ilvl w:val="1"/>
          <w:numId w:val="12"/>
        </w:numPr>
        <w:rPr>
          <w:rFonts w:hint="eastAsia"/>
        </w:rPr>
      </w:pPr>
      <w:r>
        <w:t>② 财务状况（企业需提供）；</w:t>
      </w:r>
    </w:p>
    <w:p>
      <w:pPr>
        <w:pStyle w:val="4"/>
        <w:rPr>
          <w:rFonts w:hint="eastAsia"/>
        </w:rPr>
      </w:pPr>
      <w:bookmarkStart w:id="22" w:name="_Toc26186"/>
      <w:r>
        <w:rPr>
          <w:rFonts w:hint="eastAsia"/>
        </w:rPr>
        <w:t>3</w:t>
      </w:r>
      <w:r>
        <w:t>.</w:t>
      </w:r>
      <w:r>
        <w:rPr>
          <w:rFonts w:hint="eastAsia"/>
        </w:rPr>
        <w:t>3</w:t>
      </w:r>
      <w:r>
        <w:t xml:space="preserve"> 技术保密要求</w:t>
      </w:r>
      <w:bookmarkEnd w:id="22"/>
    </w:p>
    <w:p>
      <w:pPr>
        <w:numPr>
          <w:ilvl w:val="0"/>
          <w:numId w:val="13"/>
        </w:numPr>
        <w:rPr>
          <w:rFonts w:hint="eastAsia"/>
        </w:rPr>
      </w:pPr>
      <w:r>
        <w:t>所有参与人员须与招标方签订保密协议，并充分知悉协议内容。</w:t>
      </w:r>
    </w:p>
    <w:p>
      <w:pPr>
        <w:numPr>
          <w:ilvl w:val="0"/>
          <w:numId w:val="13"/>
        </w:numPr>
        <w:rPr>
          <w:rFonts w:hint="eastAsia"/>
        </w:rPr>
      </w:pPr>
      <w:r>
        <w:t>投标方须按国家/行业/招标方要求，对保密信息实施安全管理（不低于内部标准）。</w:t>
      </w:r>
    </w:p>
    <w:p>
      <w:pPr>
        <w:numPr>
          <w:ilvl w:val="0"/>
          <w:numId w:val="13"/>
        </w:numPr>
        <w:rPr>
          <w:rFonts w:hint="eastAsia"/>
        </w:rPr>
      </w:pPr>
      <w:r>
        <w:t>保密信息仅限项目组必要人员知悉，且限于工作相关范围。</w:t>
      </w:r>
    </w:p>
    <w:p>
      <w:pPr>
        <w:numPr>
          <w:ilvl w:val="0"/>
          <w:numId w:val="13"/>
        </w:numPr>
        <w:rPr>
          <w:rFonts w:hint="eastAsia"/>
        </w:rPr>
      </w:pPr>
      <w:r>
        <w:rPr>
          <w:b/>
          <w:bCs/>
        </w:rPr>
        <w:t>未经招标方书面同意，禁止泄露保密信息及衍生成果</w:t>
      </w:r>
      <w:r>
        <w:t>，不得向第三方提供任何建议。</w:t>
      </w:r>
    </w:p>
    <w:p>
      <w:pPr>
        <w:pStyle w:val="4"/>
        <w:rPr>
          <w:rFonts w:hint="eastAsia"/>
        </w:rPr>
      </w:pPr>
      <w:bookmarkStart w:id="23" w:name="_Toc15670"/>
      <w:r>
        <w:rPr>
          <w:rFonts w:hint="eastAsia"/>
        </w:rPr>
        <w:t>3</w:t>
      </w:r>
      <w:r>
        <w:t>.</w:t>
      </w:r>
      <w:r>
        <w:rPr>
          <w:rFonts w:hint="eastAsia"/>
        </w:rPr>
        <w:t>4</w:t>
      </w:r>
      <w:r>
        <w:t xml:space="preserve"> 售后服务承诺</w:t>
      </w:r>
      <w:bookmarkEnd w:id="23"/>
    </w:p>
    <w:p>
      <w:pPr>
        <w:numPr>
          <w:ilvl w:val="0"/>
          <w:numId w:val="14"/>
        </w:numPr>
        <w:rPr>
          <w:rFonts w:hint="eastAsia"/>
        </w:rPr>
      </w:pPr>
      <w:r>
        <w:rPr>
          <w:b/>
          <w:bCs/>
        </w:rPr>
        <w:t>服务体系</w:t>
      </w:r>
    </w:p>
    <w:p>
      <w:pPr>
        <w:numPr>
          <w:ilvl w:val="1"/>
          <w:numId w:val="14"/>
        </w:numPr>
        <w:rPr>
          <w:rFonts w:hint="eastAsia"/>
        </w:rPr>
      </w:pPr>
      <w:r>
        <w:t>本地化专业维护团队，确保及时响应。</w:t>
      </w:r>
    </w:p>
    <w:p>
      <w:pPr>
        <w:numPr>
          <w:ilvl w:val="0"/>
          <w:numId w:val="14"/>
        </w:numPr>
        <w:rPr>
          <w:rFonts w:hint="eastAsia"/>
        </w:rPr>
      </w:pPr>
      <w:r>
        <w:rPr>
          <w:b/>
          <w:bCs/>
        </w:rPr>
        <w:t>保修期后服务</w:t>
      </w:r>
    </w:p>
    <w:p>
      <w:pPr>
        <w:numPr>
          <w:ilvl w:val="1"/>
          <w:numId w:val="14"/>
        </w:numPr>
        <w:rPr>
          <w:rFonts w:hint="eastAsia"/>
        </w:rPr>
      </w:pPr>
      <w:r>
        <w:t>明确收费维修内容（产品/技术/模块/部件）、费用标准及服务范围。</w:t>
      </w:r>
    </w:p>
    <w:p>
      <w:pPr>
        <w:numPr>
          <w:ilvl w:val="0"/>
          <w:numId w:val="14"/>
        </w:numPr>
        <w:rPr>
          <w:rFonts w:hint="eastAsia"/>
        </w:rPr>
      </w:pPr>
      <w:r>
        <w:rPr>
          <w:b/>
          <w:bCs/>
        </w:rPr>
        <w:t>技术规范响应</w:t>
      </w:r>
    </w:p>
    <w:p>
      <w:pPr>
        <w:numPr>
          <w:ilvl w:val="1"/>
          <w:numId w:val="14"/>
        </w:numPr>
        <w:rPr>
          <w:rFonts w:hint="eastAsia"/>
        </w:rPr>
      </w:pPr>
      <w:r>
        <w:t>按招标文件“第</w:t>
      </w:r>
      <w:r>
        <w:rPr>
          <w:rFonts w:hint="eastAsia"/>
        </w:rPr>
        <w:t>六</w:t>
      </w:r>
      <w:r>
        <w:t>条 售后服务要求”逐项说明落实情况。</w:t>
      </w:r>
    </w:p>
    <w:p>
      <w:pPr>
        <w:pStyle w:val="4"/>
        <w:rPr>
          <w:rFonts w:hint="eastAsia"/>
        </w:rPr>
      </w:pPr>
      <w:bookmarkStart w:id="24" w:name="_Toc15622"/>
      <w:r>
        <w:rPr>
          <w:rFonts w:hint="eastAsia"/>
        </w:rPr>
        <w:t>3</w:t>
      </w:r>
      <w:r>
        <w:t>.</w:t>
      </w:r>
      <w:r>
        <w:rPr>
          <w:rFonts w:hint="eastAsia"/>
        </w:rPr>
        <w:t>5</w:t>
      </w:r>
      <w:r>
        <w:t xml:space="preserve"> 技术培训</w:t>
      </w:r>
      <w:bookmarkEnd w:id="24"/>
    </w:p>
    <w:p>
      <w:pPr>
        <w:numPr>
          <w:ilvl w:val="0"/>
          <w:numId w:val="15"/>
        </w:numPr>
        <w:rPr>
          <w:rFonts w:hint="eastAsia"/>
        </w:rPr>
      </w:pPr>
      <w:r>
        <w:rPr>
          <w:b/>
          <w:bCs/>
        </w:rPr>
        <w:t>培训计划</w:t>
      </w:r>
      <w:r>
        <w:t>：提供技术交流、讲座及培训方案，含教材清单；</w:t>
      </w:r>
    </w:p>
    <w:p>
      <w:pPr>
        <w:numPr>
          <w:ilvl w:val="0"/>
          <w:numId w:val="15"/>
        </w:numPr>
        <w:rPr>
          <w:rFonts w:hint="eastAsia"/>
        </w:rPr>
      </w:pPr>
      <w:r>
        <w:rPr>
          <w:b/>
          <w:bCs/>
        </w:rPr>
        <w:t>培训内容</w:t>
      </w:r>
      <w:r>
        <w:t>：功能使用、安全规范、异常处置、数据研判等。</w:t>
      </w:r>
    </w:p>
    <w:p>
      <w:pPr>
        <w:pStyle w:val="3"/>
        <w:rPr>
          <w:rFonts w:hint="eastAsia"/>
        </w:rPr>
      </w:pPr>
      <w:bookmarkStart w:id="25" w:name="_Toc648"/>
      <w:r>
        <w:rPr>
          <w:rFonts w:hint="eastAsia"/>
        </w:rPr>
        <w:t>四</w:t>
      </w:r>
      <w:r>
        <w:t>、项目联络</w:t>
      </w:r>
      <w:bookmarkEnd w:id="25"/>
    </w:p>
    <w:p>
      <w:pPr>
        <w:numPr>
          <w:ilvl w:val="0"/>
          <w:numId w:val="0"/>
        </w:numPr>
        <w:ind w:left="360" w:leftChars="0"/>
        <w:rPr>
          <w:rFonts w:hint="eastAsia"/>
        </w:rPr>
      </w:pPr>
      <w:bookmarkStart w:id="26" w:name="_Toc11038"/>
      <w:r>
        <w:rPr>
          <w:rStyle w:val="27"/>
          <w:rFonts w:hint="eastAsia"/>
        </w:rPr>
        <w:t>4</w:t>
      </w:r>
      <w:r>
        <w:rPr>
          <w:rStyle w:val="27"/>
        </w:rPr>
        <w:t>.1 联络会机制</w:t>
      </w:r>
      <w:bookmarkEnd w:id="26"/>
      <w:r>
        <w:rPr>
          <w:b/>
          <w:bCs/>
        </w:rPr>
        <w:t>：</w:t>
      </w:r>
      <w:r>
        <w:t> 为确保项目方案审查确认及合同顺利执行，建设期间需召开多次项目联络会。招标方或中标方均可根据实际需要提议召开，具体时间、地点由双方商定。</w:t>
      </w:r>
    </w:p>
    <w:p>
      <w:pPr>
        <w:numPr>
          <w:ilvl w:val="0"/>
          <w:numId w:val="0"/>
        </w:numPr>
        <w:ind w:left="360" w:leftChars="0"/>
        <w:rPr>
          <w:rFonts w:hint="eastAsia"/>
        </w:rPr>
      </w:pPr>
      <w:bookmarkStart w:id="27" w:name="_Toc11832"/>
      <w:r>
        <w:rPr>
          <w:rStyle w:val="27"/>
          <w:rFonts w:hint="eastAsia"/>
        </w:rPr>
        <w:t>4</w:t>
      </w:r>
      <w:r>
        <w:rPr>
          <w:rStyle w:val="27"/>
        </w:rPr>
        <w:t>.2 联络会内容</w:t>
      </w:r>
      <w:bookmarkEnd w:id="27"/>
      <w:r>
        <w:rPr>
          <w:b/>
          <w:bCs/>
        </w:rPr>
        <w:t>：</w:t>
      </w:r>
    </w:p>
    <w:p>
      <w:pPr>
        <w:numPr>
          <w:ilvl w:val="1"/>
          <w:numId w:val="16"/>
        </w:numPr>
        <w:rPr>
          <w:rFonts w:hint="eastAsia"/>
        </w:rPr>
      </w:pPr>
      <w:r>
        <w:t>确认服务与工作产品性能是否符合规范书要求。</w:t>
      </w:r>
    </w:p>
    <w:p>
      <w:pPr>
        <w:numPr>
          <w:ilvl w:val="1"/>
          <w:numId w:val="16"/>
        </w:numPr>
        <w:rPr>
          <w:rFonts w:hint="eastAsia"/>
        </w:rPr>
      </w:pPr>
      <w:r>
        <w:t>确认服务与工作产品的实施方案。</w:t>
      </w:r>
    </w:p>
    <w:p>
      <w:pPr>
        <w:numPr>
          <w:ilvl w:val="1"/>
          <w:numId w:val="16"/>
        </w:numPr>
        <w:rPr>
          <w:rFonts w:hint="eastAsia"/>
        </w:rPr>
      </w:pPr>
      <w:r>
        <w:t>检查、确认中标方提交的技术文件和图纸。</w:t>
      </w:r>
    </w:p>
    <w:p>
      <w:pPr>
        <w:numPr>
          <w:ilvl w:val="1"/>
          <w:numId w:val="16"/>
        </w:numPr>
        <w:rPr>
          <w:rFonts w:hint="eastAsia"/>
        </w:rPr>
      </w:pPr>
      <w:r>
        <w:t>讨论、确定培训计划（含课程安排、教材、进度）。</w:t>
      </w:r>
    </w:p>
    <w:p>
      <w:pPr>
        <w:numPr>
          <w:ilvl w:val="1"/>
          <w:numId w:val="16"/>
        </w:numPr>
        <w:rPr>
          <w:rFonts w:hint="eastAsia"/>
        </w:rPr>
      </w:pPr>
      <w:r>
        <w:t>双方认可的其他相关事项。</w:t>
      </w:r>
    </w:p>
    <w:p>
      <w:pPr>
        <w:pStyle w:val="3"/>
        <w:rPr>
          <w:rFonts w:hint="eastAsia"/>
        </w:rPr>
      </w:pPr>
      <w:bookmarkStart w:id="28" w:name="_Toc13770"/>
      <w:r>
        <w:rPr>
          <w:rFonts w:hint="eastAsia"/>
        </w:rPr>
        <w:t>五</w:t>
      </w:r>
      <w:r>
        <w:t>、评审与验收</w:t>
      </w:r>
      <w:bookmarkEnd w:id="28"/>
    </w:p>
    <w:p>
      <w:pPr>
        <w:numPr>
          <w:ilvl w:val="0"/>
          <w:numId w:val="0"/>
        </w:numPr>
        <w:ind w:left="360" w:leftChars="0"/>
        <w:rPr>
          <w:rFonts w:hint="eastAsia"/>
        </w:rPr>
      </w:pPr>
      <w:bookmarkStart w:id="29" w:name="_Toc5671"/>
      <w:r>
        <w:rPr>
          <w:rStyle w:val="27"/>
          <w:rFonts w:hint="eastAsia"/>
        </w:rPr>
        <w:t>5</w:t>
      </w:r>
      <w:r>
        <w:rPr>
          <w:rStyle w:val="27"/>
        </w:rPr>
        <w:t>.1 技术文件交付与确认</w:t>
      </w:r>
      <w:bookmarkEnd w:id="29"/>
      <w:r>
        <w:rPr>
          <w:b/>
          <w:bCs/>
        </w:rPr>
        <w:t>：</w:t>
      </w:r>
    </w:p>
    <w:p>
      <w:pPr>
        <w:numPr>
          <w:ilvl w:val="1"/>
          <w:numId w:val="17"/>
        </w:numPr>
        <w:rPr>
          <w:rFonts w:hint="eastAsia"/>
        </w:rPr>
      </w:pPr>
      <w:r>
        <w:t>中标方须于项目验收前完成本规范书要求的所有技术资料（数据）及文件。</w:t>
      </w:r>
    </w:p>
    <w:p>
      <w:pPr>
        <w:numPr>
          <w:ilvl w:val="1"/>
          <w:numId w:val="17"/>
        </w:numPr>
        <w:rPr>
          <w:rFonts w:hint="eastAsia"/>
        </w:rPr>
      </w:pPr>
      <w:r>
        <w:t>将项目全部相关技术文件、资料、测试及验收报告等文档交付招标方。</w:t>
      </w:r>
    </w:p>
    <w:p>
      <w:pPr>
        <w:numPr>
          <w:ilvl w:val="1"/>
          <w:numId w:val="17"/>
        </w:numPr>
        <w:rPr>
          <w:rFonts w:hint="eastAsia"/>
        </w:rPr>
      </w:pPr>
      <w:r>
        <w:t>招标方可依据合同、招标书及自身规定对文件进行修改补充，经双方确认后形成最终验收文件。</w:t>
      </w:r>
    </w:p>
    <w:p>
      <w:pPr>
        <w:numPr>
          <w:ilvl w:val="0"/>
          <w:numId w:val="0"/>
        </w:numPr>
        <w:ind w:left="360" w:leftChars="0"/>
        <w:rPr>
          <w:rFonts w:hint="eastAsia"/>
        </w:rPr>
      </w:pPr>
      <w:bookmarkStart w:id="30" w:name="_Toc21188"/>
      <w:r>
        <w:rPr>
          <w:rStyle w:val="27"/>
          <w:rFonts w:hint="eastAsia"/>
        </w:rPr>
        <w:t>5</w:t>
      </w:r>
      <w:r>
        <w:rPr>
          <w:rStyle w:val="27"/>
        </w:rPr>
        <w:t>.2 验收方式</w:t>
      </w:r>
      <w:bookmarkEnd w:id="30"/>
      <w:r>
        <w:rPr>
          <w:b/>
          <w:bCs/>
        </w:rPr>
        <w:t>：</w:t>
      </w:r>
    </w:p>
    <w:p>
      <w:pPr>
        <w:numPr>
          <w:ilvl w:val="1"/>
          <w:numId w:val="17"/>
        </w:numPr>
        <w:rPr>
          <w:rFonts w:hint="eastAsia"/>
        </w:rPr>
      </w:pPr>
      <w:r>
        <w:rPr>
          <w:b/>
          <w:bCs/>
        </w:rPr>
        <w:t>(1) 验收启动：</w:t>
      </w:r>
      <w:r>
        <w:t> 项目成果经双方共同确认满足验收条件后，由招标方组织专家评审所有项目材料及成果，开展合同验收。</w:t>
      </w:r>
    </w:p>
    <w:p>
      <w:pPr>
        <w:numPr>
          <w:ilvl w:val="1"/>
          <w:numId w:val="17"/>
        </w:numPr>
        <w:rPr>
          <w:rFonts w:hint="eastAsia"/>
        </w:rPr>
      </w:pPr>
      <w:r>
        <w:rPr>
          <w:b/>
          <w:bCs/>
        </w:rPr>
        <w:t>(2) 验收实施与整改：</w:t>
      </w:r>
    </w:p>
    <w:p>
      <w:pPr>
        <w:numPr>
          <w:ilvl w:val="2"/>
          <w:numId w:val="17"/>
        </w:numPr>
        <w:rPr>
          <w:rFonts w:hint="eastAsia"/>
        </w:rPr>
      </w:pPr>
      <w:r>
        <w:t>验收按招标方制定的方案执行，方案包含验收内容、标准及人员。</w:t>
      </w:r>
    </w:p>
    <w:p>
      <w:pPr>
        <w:numPr>
          <w:ilvl w:val="2"/>
          <w:numId w:val="17"/>
        </w:numPr>
        <w:rPr>
          <w:rFonts w:hint="eastAsia"/>
        </w:rPr>
      </w:pPr>
      <w:r>
        <w:t>验收后出具验收报告。如需整改，中标方须按要求完成整改，整改结果须招标方书面确认。</w:t>
      </w:r>
    </w:p>
    <w:p>
      <w:pPr>
        <w:numPr>
          <w:ilvl w:val="0"/>
          <w:numId w:val="0"/>
        </w:numPr>
        <w:ind w:left="360" w:leftChars="0"/>
        <w:rPr>
          <w:rFonts w:hint="eastAsia"/>
        </w:rPr>
      </w:pPr>
      <w:bookmarkStart w:id="31" w:name="_Toc31488"/>
      <w:r>
        <w:rPr>
          <w:rStyle w:val="27"/>
          <w:rFonts w:hint="eastAsia"/>
        </w:rPr>
        <w:t>5</w:t>
      </w:r>
      <w:r>
        <w:rPr>
          <w:rStyle w:val="27"/>
        </w:rPr>
        <w:t>.3 质量保证与违约处理</w:t>
      </w:r>
      <w:bookmarkEnd w:id="31"/>
      <w:r>
        <w:rPr>
          <w:b/>
          <w:bCs/>
        </w:rPr>
        <w:t>：</w:t>
      </w:r>
    </w:p>
    <w:p>
      <w:pPr>
        <w:numPr>
          <w:ilvl w:val="1"/>
          <w:numId w:val="17"/>
        </w:numPr>
        <w:rPr>
          <w:rFonts w:hint="eastAsia"/>
        </w:rPr>
      </w:pPr>
      <w:r>
        <w:t>最终验收文件签署后</w:t>
      </w:r>
      <w:r>
        <w:rPr>
          <w:b/>
          <w:bCs/>
        </w:rPr>
        <w:t>12周内</w:t>
      </w:r>
      <w:r>
        <w:t>，如因中标方原因导致项目一项或多项技术指标不达标：</w:t>
      </w:r>
    </w:p>
    <w:p>
      <w:pPr>
        <w:numPr>
          <w:ilvl w:val="2"/>
          <w:numId w:val="17"/>
        </w:numPr>
        <w:rPr>
          <w:rFonts w:hint="eastAsia"/>
        </w:rPr>
      </w:pPr>
      <w:r>
        <w:t>中标方须在</w:t>
      </w:r>
      <w:r>
        <w:rPr>
          <w:b/>
          <w:bCs/>
        </w:rPr>
        <w:t>额外4周内</w:t>
      </w:r>
      <w:r>
        <w:t>自担费用采取有效措施，确保项目完全达标。</w:t>
      </w:r>
    </w:p>
    <w:p>
      <w:pPr>
        <w:numPr>
          <w:ilvl w:val="1"/>
          <w:numId w:val="17"/>
        </w:numPr>
        <w:rPr>
          <w:rFonts w:hint="eastAsia"/>
        </w:rPr>
      </w:pPr>
      <w:r>
        <w:t>若</w:t>
      </w:r>
      <w:r>
        <w:rPr>
          <w:b/>
          <w:bCs/>
        </w:rPr>
        <w:t>额外4周后</w:t>
      </w:r>
      <w:r>
        <w:t>仍未能达标，则按合同相关违约条款处理。</w:t>
      </w:r>
    </w:p>
    <w:p>
      <w:pPr>
        <w:pStyle w:val="3"/>
        <w:rPr>
          <w:rFonts w:hint="eastAsia"/>
        </w:rPr>
      </w:pPr>
      <w:bookmarkStart w:id="32" w:name="_Toc17025"/>
      <w:r>
        <w:rPr>
          <w:rFonts w:hint="eastAsia"/>
        </w:rPr>
        <w:t>六</w:t>
      </w:r>
      <w:r>
        <w:t>、售后服务</w:t>
      </w:r>
      <w:bookmarkEnd w:id="32"/>
    </w:p>
    <w:p>
      <w:pPr>
        <w:pStyle w:val="4"/>
        <w:rPr>
          <w:rFonts w:hint="eastAsia"/>
        </w:rPr>
      </w:pPr>
      <w:bookmarkStart w:id="33" w:name="_Toc23569"/>
      <w:r>
        <w:rPr>
          <w:rFonts w:hint="eastAsia"/>
        </w:rPr>
        <w:t>6</w:t>
      </w:r>
      <w:r>
        <w:t>.1 服务期限</w:t>
      </w:r>
      <w:bookmarkEnd w:id="33"/>
    </w:p>
    <w:p>
      <w:pPr>
        <w:rPr>
          <w:rFonts w:hint="eastAsia"/>
        </w:rPr>
      </w:pPr>
      <w:r>
        <w:t>所有工作产品均由投标方提供</w:t>
      </w:r>
      <w:r>
        <w:rPr>
          <w:b/>
          <w:bCs/>
        </w:rPr>
        <w:t>不少于 1 年的免费维护与保修服务</w:t>
      </w:r>
      <w:r>
        <w:t>，服务期限自项目验收签字之日起正式计算。</w:t>
      </w:r>
    </w:p>
    <w:p>
      <w:pPr>
        <w:pStyle w:val="4"/>
        <w:rPr>
          <w:rFonts w:hint="eastAsia"/>
        </w:rPr>
      </w:pPr>
      <w:bookmarkStart w:id="34" w:name="_Toc27930"/>
      <w:r>
        <w:rPr>
          <w:rFonts w:hint="eastAsia"/>
        </w:rPr>
        <w:t>6</w:t>
      </w:r>
      <w:r>
        <w:t>.2 保修范围</w:t>
      </w:r>
      <w:bookmarkEnd w:id="34"/>
    </w:p>
    <w:p>
      <w:pPr>
        <w:rPr>
          <w:rFonts w:hint="eastAsia"/>
        </w:rPr>
      </w:pPr>
      <w:r>
        <w:t>投标方需明确列出保修期内提供维护、保修服务的具体内容及覆盖范围，包括但不限于相关</w:t>
      </w:r>
      <w:r>
        <w:rPr>
          <w:b/>
          <w:bCs/>
        </w:rPr>
        <w:t>产品型号、技术模块、核心部件及易损件</w:t>
      </w:r>
      <w:r>
        <w:t>等详细信息。</w:t>
      </w:r>
      <w:r>
        <w:rPr>
          <w:rFonts w:ascii="Times New Roman" w:hAnsi="Times New Roman" w:cs="Times New Roman"/>
        </w:rPr>
        <w:t>​</w:t>
      </w:r>
    </w:p>
    <w:p>
      <w:pPr>
        <w:pStyle w:val="4"/>
        <w:rPr>
          <w:rFonts w:hint="eastAsia"/>
        </w:rPr>
      </w:pPr>
      <w:bookmarkStart w:id="35" w:name="_Toc22279"/>
      <w:r>
        <w:rPr>
          <w:rFonts w:hint="eastAsia"/>
        </w:rPr>
        <w:t>6</w:t>
      </w:r>
      <w:r>
        <w:t>.3 响应时效</w:t>
      </w:r>
      <w:bookmarkEnd w:id="35"/>
    </w:p>
    <w:p>
      <w:pPr>
        <w:rPr>
          <w:rFonts w:hint="eastAsia"/>
        </w:rPr>
      </w:pPr>
      <w:r>
        <w:t>中标方对售后服务需求须在</w:t>
      </w:r>
      <w:r>
        <w:rPr>
          <w:b/>
          <w:bCs/>
        </w:rPr>
        <w:t>24 小时内给出书面答复</w:t>
      </w:r>
      <w:r>
        <w:t>，并在 48 小时内派遣技术人员抵达现场提供服务；针对有争议的检测结果，应免费出具专业的检测分析报告。</w:t>
      </w:r>
      <w:r>
        <w:rPr>
          <w:rFonts w:ascii="Times New Roman" w:hAnsi="Times New Roman" w:cs="Times New Roman"/>
        </w:rPr>
        <w:t>​</w:t>
      </w:r>
    </w:p>
    <w:p>
      <w:pPr>
        <w:pStyle w:val="4"/>
        <w:rPr>
          <w:rFonts w:hint="eastAsia"/>
        </w:rPr>
      </w:pPr>
      <w:bookmarkStart w:id="36" w:name="_Toc24469"/>
      <w:r>
        <w:rPr>
          <w:rFonts w:hint="eastAsia"/>
        </w:rPr>
        <w:t>6</w:t>
      </w:r>
      <w:r>
        <w:t>.4 故障处理机制</w:t>
      </w:r>
      <w:bookmarkEnd w:id="36"/>
    </w:p>
    <w:p>
      <w:pPr>
        <w:rPr>
          <w:rFonts w:hint="eastAsia"/>
        </w:rPr>
      </w:pPr>
      <w:r>
        <w:t>若故障在现场检修 8 小时后仍无法排除，投标方需在</w:t>
      </w:r>
      <w:r>
        <w:rPr>
          <w:b/>
          <w:bCs/>
        </w:rPr>
        <w:t>2 个工作日内提交书面解决方案</w:t>
      </w:r>
      <w:r>
        <w:t>，经招标方审核批准后，负责全程实施直至故障完全修复。</w:t>
      </w:r>
      <w:r>
        <w:rPr>
          <w:rFonts w:ascii="Times New Roman" w:hAnsi="Times New Roman" w:cs="Times New Roman"/>
        </w:rPr>
        <w:t>​</w:t>
      </w:r>
    </w:p>
    <w:p>
      <w:pPr>
        <w:pStyle w:val="4"/>
        <w:rPr>
          <w:rFonts w:hint="eastAsia"/>
        </w:rPr>
      </w:pPr>
      <w:bookmarkStart w:id="37" w:name="_Toc23193"/>
      <w:r>
        <w:rPr>
          <w:rFonts w:hint="eastAsia"/>
        </w:rPr>
        <w:t>6</w:t>
      </w:r>
      <w:r>
        <w:t>.5 服务实施方式</w:t>
      </w:r>
      <w:bookmarkEnd w:id="37"/>
    </w:p>
    <w:p>
      <w:pPr>
        <w:rPr>
          <w:rFonts w:hint="eastAsia"/>
        </w:rPr>
      </w:pPr>
      <w:r>
        <w:t>所有售后服务均采用投标方上门服务模式，即由投标方或原厂商指派专业人员到用户使用现场开展工作，期间产生的</w:t>
      </w:r>
      <w:r>
        <w:rPr>
          <w:b/>
          <w:bCs/>
        </w:rPr>
        <w:t>交通、食宿、耗材等一切费用均由投标方承担</w:t>
      </w:r>
      <w:r>
        <w:t>。</w:t>
      </w:r>
      <w:r>
        <w:rPr>
          <w:rFonts w:ascii="Times New Roman" w:hAnsi="Times New Roman" w:cs="Times New Roman"/>
        </w:rPr>
        <w:t>​</w:t>
      </w:r>
    </w:p>
    <w:p>
      <w:pPr>
        <w:pStyle w:val="4"/>
        <w:rPr>
          <w:rFonts w:hint="eastAsia"/>
        </w:rPr>
      </w:pPr>
      <w:bookmarkStart w:id="38" w:name="_Toc13429"/>
      <w:r>
        <w:rPr>
          <w:rFonts w:hint="eastAsia"/>
        </w:rPr>
        <w:t>6</w:t>
      </w:r>
      <w:r>
        <w:t>.6 协作配合要求</w:t>
      </w:r>
      <w:bookmarkEnd w:id="38"/>
    </w:p>
    <w:p>
      <w:pPr>
        <w:rPr>
          <w:rFonts w:hint="eastAsia"/>
        </w:rPr>
      </w:pPr>
      <w:r>
        <w:t>当故障原因无法明确是否属于投标方工作产品时，投标方应积极配合招标方及其他供应商进行联合排查，并在上述规定的响应时间内到达现场协助解决问题。</w:t>
      </w:r>
      <w:r>
        <w:rPr>
          <w:rFonts w:ascii="Times New Roman" w:hAnsi="Times New Roman" w:cs="Times New Roman"/>
        </w:rPr>
        <w:t>​</w:t>
      </w:r>
    </w:p>
    <w:p>
      <w:pPr>
        <w:pStyle w:val="4"/>
        <w:rPr>
          <w:rFonts w:hint="eastAsia"/>
        </w:rPr>
      </w:pPr>
      <w:bookmarkStart w:id="39" w:name="_Toc27481"/>
      <w:r>
        <w:rPr>
          <w:rFonts w:hint="eastAsia"/>
        </w:rPr>
        <w:t>6</w:t>
      </w:r>
      <w:r>
        <w:t>.7 服务团队保障</w:t>
      </w:r>
      <w:bookmarkEnd w:id="39"/>
    </w:p>
    <w:p>
      <w:pPr>
        <w:rPr>
          <w:rFonts w:hint="eastAsia"/>
        </w:rPr>
      </w:pPr>
      <w:r>
        <w:t>投标方必须设立专门的维护部门，建立规范的维护服务管理体系，且需在招标方所在地配备</w:t>
      </w:r>
      <w:r>
        <w:rPr>
          <w:b/>
          <w:bCs/>
        </w:rPr>
        <w:t>常驻专业维护人员</w:t>
      </w:r>
      <w:r>
        <w:t>，确保能够按要求及时响应服务需求。</w:t>
      </w:r>
      <w:r>
        <w:rPr>
          <w:rFonts w:ascii="Times New Roman" w:hAnsi="Times New Roman" w:cs="Times New Roman"/>
        </w:rPr>
        <w:t>​</w:t>
      </w:r>
    </w:p>
    <w:p>
      <w:pPr>
        <w:pStyle w:val="4"/>
        <w:rPr>
          <w:rFonts w:hint="eastAsia"/>
        </w:rPr>
      </w:pPr>
      <w:bookmarkStart w:id="40" w:name="_Toc18867"/>
      <w:r>
        <w:rPr>
          <w:rFonts w:hint="eastAsia"/>
        </w:rPr>
        <w:t>6</w:t>
      </w:r>
      <w:r>
        <w:t>.8 保修期后服务方案</w:t>
      </w:r>
      <w:bookmarkEnd w:id="40"/>
    </w:p>
    <w:p>
      <w:pPr>
        <w:rPr>
          <w:rFonts w:hint="eastAsia"/>
        </w:rPr>
      </w:pPr>
      <w:r>
        <w:t>投标方需另行提供保修期结束后的年度收费维修、维护方案，明确服务内容、收费标准、服务方式及覆盖范围（包括具体产品、技术模块、相关部件等），供招标方自主选择。</w:t>
      </w:r>
    </w:p>
    <w:p>
      <w:pPr>
        <w:pStyle w:val="3"/>
        <w:rPr>
          <w:rFonts w:hint="eastAsia"/>
        </w:rPr>
      </w:pPr>
      <w:bookmarkStart w:id="41" w:name="_Toc29768"/>
      <w:r>
        <w:rPr>
          <w:rFonts w:hint="eastAsia"/>
        </w:rPr>
        <w:t>七</w:t>
      </w:r>
      <w:r>
        <w:t>、其他相关要求</w:t>
      </w:r>
      <w:bookmarkEnd w:id="41"/>
    </w:p>
    <w:p>
      <w:pPr>
        <w:pStyle w:val="4"/>
        <w:rPr>
          <w:rFonts w:hint="eastAsia"/>
        </w:rPr>
      </w:pPr>
      <w:bookmarkStart w:id="42" w:name="_Toc30603"/>
      <w:r>
        <w:rPr>
          <w:rFonts w:hint="eastAsia"/>
        </w:rPr>
        <w:t>7</w:t>
      </w:r>
      <w:r>
        <w:t>.1技术配合</w:t>
      </w:r>
      <w:bookmarkEnd w:id="42"/>
    </w:p>
    <w:p>
      <w:pPr>
        <w:rPr>
          <w:rFonts w:hint="eastAsia"/>
        </w:rPr>
      </w:pPr>
      <w:r>
        <w:t>（1）合同签订后，中标方应指定负责本项目的项目经理，全面负责中标方在项目全过程的各项工作。</w:t>
      </w:r>
    </w:p>
    <w:p>
      <w:pPr>
        <w:rPr>
          <w:rFonts w:hint="eastAsia"/>
        </w:rPr>
      </w:pPr>
      <w:r>
        <w:t>（2）中标方须结合当次目标、指标和任务要求，编制系统需求分析报告并提交给招标方；招标方将对中标方提交的需求分析报告组织会议评审，评审通过后，中标方方可开展系统设计工作。</w:t>
      </w:r>
    </w:p>
    <w:p>
      <w:pPr>
        <w:rPr>
          <w:rFonts w:hint="eastAsia"/>
        </w:rPr>
      </w:pPr>
      <w:r>
        <w:t>（</w:t>
      </w:r>
      <w:r>
        <w:rPr>
          <w:rFonts w:hint="eastAsia"/>
        </w:rPr>
        <w:t>3</w:t>
      </w:r>
      <w:r>
        <w:t>）针对招标方在</w:t>
      </w:r>
      <w:r>
        <w:rPr>
          <w:rFonts w:hint="eastAsia"/>
        </w:rPr>
        <w:t>本次</w:t>
      </w:r>
      <w:r>
        <w:t>提出的功能澄清、细化、完善、纠偏等要求，中标方有义务予以响应并即时实施。</w:t>
      </w:r>
    </w:p>
    <w:p>
      <w:pPr>
        <w:pStyle w:val="4"/>
        <w:rPr>
          <w:rFonts w:hint="eastAsia"/>
        </w:rPr>
      </w:pPr>
      <w:bookmarkStart w:id="43" w:name="_Toc10472"/>
      <w:r>
        <w:rPr>
          <w:rFonts w:hint="eastAsia"/>
        </w:rPr>
        <w:t>7</w:t>
      </w:r>
      <w:r>
        <w:t>.2现场服务</w:t>
      </w:r>
      <w:bookmarkEnd w:id="43"/>
    </w:p>
    <w:p>
      <w:pPr>
        <w:rPr>
          <w:rFonts w:hint="eastAsia"/>
        </w:rPr>
      </w:pPr>
      <w:r>
        <w:t>（1）当招标方对监测结果存在疑问时，中标方应按照合同规定及时派遣工程技术人员到达现场提供服务。</w:t>
      </w:r>
    </w:p>
    <w:p>
      <w:pPr>
        <w:rPr>
          <w:rFonts w:hint="eastAsia"/>
        </w:rPr>
      </w:pPr>
      <w:r>
        <w:t>（2）中标方在项目实施过程中，应至少为招标方免费提供一次技术指导和培训讲座；在不涉及机密资料泄露的前提下，中标方应尽最大可能向招标方公开本单位的相关算法、其他类似项目的研究结论等内容。</w:t>
      </w:r>
    </w:p>
    <w:p>
      <w:pPr>
        <w:pStyle w:val="4"/>
        <w:rPr>
          <w:rFonts w:hint="eastAsia"/>
        </w:rPr>
      </w:pPr>
      <w:bookmarkStart w:id="44" w:name="_Toc22223"/>
      <w:r>
        <w:rPr>
          <w:rFonts w:hint="eastAsia"/>
        </w:rPr>
        <w:t>7</w:t>
      </w:r>
      <w:r>
        <w:t>.3 培训</w:t>
      </w:r>
      <w:bookmarkEnd w:id="44"/>
    </w:p>
    <w:p>
      <w:pPr>
        <w:rPr>
          <w:rFonts w:hint="eastAsia"/>
        </w:rPr>
      </w:pPr>
      <w:r>
        <w:t>（1）中标方负责对招标方技术人员进行模块使用方面的技术培训，确保他们能够掌握或熟悉模块原理、设备使用流程以及故障判断等知识。</w:t>
      </w:r>
    </w:p>
    <w:p>
      <w:pPr>
        <w:rPr>
          <w:rFonts w:hint="eastAsia"/>
        </w:rPr>
      </w:pPr>
      <w:r>
        <w:t>（2）培训内容包括中标方提供的模块结构、模块使用方法、模块故障判断以及各种模块间的联系等。</w:t>
      </w:r>
    </w:p>
    <w:p>
      <w:pPr>
        <w:rPr>
          <w:rFonts w:hint="eastAsia"/>
        </w:rPr>
      </w:pPr>
      <w:r>
        <w:t>（3）中标方应提出培训的建议日期、地点、培训时间表和课程表，经招标方同意后，方可开展培训工作。</w:t>
      </w:r>
    </w:p>
    <w:p>
      <w:pPr>
        <w:rPr>
          <w:rFonts w:hint="eastAsia"/>
        </w:rPr>
      </w:pPr>
      <w:r>
        <w:t>（4）培训时间和参加人数</w:t>
      </w:r>
    </w:p>
    <w:p>
      <w:pPr>
        <w:numPr>
          <w:ilvl w:val="0"/>
          <w:numId w:val="18"/>
        </w:numPr>
        <w:rPr>
          <w:rFonts w:hint="eastAsia"/>
        </w:rPr>
      </w:pPr>
      <w:r>
        <w:t>培训对象：招标方指定人员；</w:t>
      </w:r>
    </w:p>
    <w:p>
      <w:pPr>
        <w:numPr>
          <w:ilvl w:val="0"/>
          <w:numId w:val="19"/>
        </w:numPr>
        <w:rPr>
          <w:rFonts w:hint="eastAsia"/>
        </w:rPr>
      </w:pPr>
      <w:r>
        <w:t>培训方式：授课培训等；</w:t>
      </w:r>
    </w:p>
    <w:p>
      <w:pPr>
        <w:numPr>
          <w:ilvl w:val="0"/>
          <w:numId w:val="20"/>
        </w:numPr>
        <w:rPr>
          <w:rFonts w:hint="eastAsia"/>
        </w:rPr>
      </w:pPr>
      <w:r>
        <w:t>培训地点：招标方所在地或招标方指定地点；</w:t>
      </w:r>
    </w:p>
    <w:p>
      <w:pPr>
        <w:numPr>
          <w:ilvl w:val="0"/>
          <w:numId w:val="21"/>
        </w:numPr>
        <w:rPr>
          <w:rFonts w:hint="eastAsia"/>
        </w:rPr>
      </w:pPr>
      <w:r>
        <w:t>培训时间：根据招标方的时间安排确定；</w:t>
      </w:r>
    </w:p>
    <w:p>
      <w:pPr>
        <w:numPr>
          <w:ilvl w:val="0"/>
          <w:numId w:val="22"/>
        </w:numPr>
        <w:rPr>
          <w:rFonts w:hint="eastAsia"/>
        </w:rPr>
      </w:pPr>
      <w:r>
        <w:t>培训时长：对招标方的技术人员开展不少于2次的研发、测试、使用及维护理论等技术培训，每次培训对象不少于5人，每次培训时间不少于0.5天；并需提供相应的培训资料。实操授课根据招标方的实际需求而定。</w:t>
      </w:r>
    </w:p>
    <w:p>
      <w:pPr>
        <w:pStyle w:val="4"/>
        <w:rPr>
          <w:rFonts w:hint="eastAsia"/>
        </w:rPr>
      </w:pPr>
      <w:bookmarkStart w:id="45" w:name="_Toc27859"/>
      <w:r>
        <w:rPr>
          <w:rFonts w:hint="eastAsia"/>
        </w:rPr>
        <w:t>7</w:t>
      </w:r>
      <w:r>
        <w:t>.4知识产权约定</w:t>
      </w:r>
      <w:bookmarkEnd w:id="45"/>
    </w:p>
    <w:p>
      <w:pPr>
        <w:rPr>
          <w:rFonts w:hint="eastAsia"/>
        </w:rPr>
      </w:pPr>
      <w:r>
        <w:t>项目完成后，中标方应向招标方提供该项目的所有技术成果、项目建设文档、使用及运维说明等资料。项目实施过程中形成的专利归招标方独有。</w:t>
      </w:r>
    </w:p>
    <w:p>
      <w:pPr>
        <w:rPr>
          <w:rFonts w:hint="eastAsia"/>
        </w:rPr>
      </w:pPr>
      <w:r>
        <w:t>中标方应保证其提供的产品、工具、模型、方法、文档、知识资产及服务不存在任何权利瑕疵，未侵犯任何第三方权利。招标方在使用该产品或服务的任何一部分时，应免受第三方提出的任何侵犯其知识产权的权利主张。若任何人就招标方使用该产品及服务主张权利，由中标方负责处理一切纠纷及相关事宜，由此给招标人造成的损失，由中标人承担。</w:t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rPr>
          <w:rFonts w:hint="eastAsia"/>
        </w:rPr>
      </w:pPr>
      <w:r>
        <w:t>附件</w:t>
      </w:r>
    </w:p>
    <w:p>
      <w:pPr>
        <w:rPr>
          <w:rFonts w:hint="eastAsia"/>
        </w:rPr>
      </w:pPr>
      <w:r>
        <w:t>1、差异表</w:t>
      </w:r>
    </w:p>
    <w:tbl>
      <w:tblPr>
        <w:tblStyle w:val="2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t>序号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t>招标文件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5" w:type="dxa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t>投标文件</w:t>
            </w:r>
          </w:p>
        </w:tc>
        <w:tc>
          <w:tcPr>
            <w:tcW w:w="1705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t>条目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t>简要内容</w:t>
            </w:r>
          </w:p>
        </w:tc>
        <w:tc>
          <w:tcPr>
            <w:tcW w:w="1705" w:type="dxa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t>条目</w:t>
            </w:r>
          </w:p>
        </w:tc>
        <w:tc>
          <w:tcPr>
            <w:tcW w:w="1705" w:type="dxa"/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t>简要内容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5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5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5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5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5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5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4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5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  <w:tc>
          <w:tcPr>
            <w:tcW w:w="1705" w:type="dxa"/>
          </w:tcPr>
          <w:p>
            <w:pPr>
              <w:jc w:val="both"/>
              <w:rPr>
                <w:rFonts w:hint="eastAsia"/>
                <w:vertAlign w:val="baseline"/>
              </w:rPr>
            </w:pP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  <w:r>
        <w:t>2、投标方需要说明的其他问题</w:t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B49C3"/>
    <w:multiLevelType w:val="multilevel"/>
    <w:tmpl w:val="000B49C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007D6068"/>
    <w:multiLevelType w:val="multilevel"/>
    <w:tmpl w:val="007D606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0B2F2D10"/>
    <w:multiLevelType w:val="multilevel"/>
    <w:tmpl w:val="0B2F2D1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0BAE4036"/>
    <w:multiLevelType w:val="multilevel"/>
    <w:tmpl w:val="0BAE403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1DE35674"/>
    <w:multiLevelType w:val="multilevel"/>
    <w:tmpl w:val="1DE3567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1F165857"/>
    <w:multiLevelType w:val="multilevel"/>
    <w:tmpl w:val="1F16585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25602009"/>
    <w:multiLevelType w:val="multilevel"/>
    <w:tmpl w:val="2560200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284352E4"/>
    <w:multiLevelType w:val="multilevel"/>
    <w:tmpl w:val="284352E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30735709"/>
    <w:multiLevelType w:val="multilevel"/>
    <w:tmpl w:val="3073570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>
    <w:nsid w:val="32C32CC8"/>
    <w:multiLevelType w:val="multilevel"/>
    <w:tmpl w:val="32C32CC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40140E40"/>
    <w:multiLevelType w:val="multilevel"/>
    <w:tmpl w:val="40140E40"/>
    <w:lvl w:ilvl="0" w:tentative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49B27ABD"/>
    <w:multiLevelType w:val="multilevel"/>
    <w:tmpl w:val="49B27AB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>
    <w:nsid w:val="50756E2B"/>
    <w:multiLevelType w:val="multilevel"/>
    <w:tmpl w:val="50756E2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>
    <w:nsid w:val="51C23CC0"/>
    <w:multiLevelType w:val="multilevel"/>
    <w:tmpl w:val="51C23CC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>
    <w:nsid w:val="55463213"/>
    <w:multiLevelType w:val="multilevel"/>
    <w:tmpl w:val="5546321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>
    <w:nsid w:val="5AD02A28"/>
    <w:multiLevelType w:val="multilevel"/>
    <w:tmpl w:val="5AD02A2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>
    <w:nsid w:val="5F97734E"/>
    <w:multiLevelType w:val="multilevel"/>
    <w:tmpl w:val="5F97734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>
    <w:nsid w:val="68303E71"/>
    <w:multiLevelType w:val="multilevel"/>
    <w:tmpl w:val="68303E7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>
    <w:nsid w:val="70105EB8"/>
    <w:multiLevelType w:val="multilevel"/>
    <w:tmpl w:val="70105EB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>
    <w:nsid w:val="73AD049B"/>
    <w:multiLevelType w:val="multilevel"/>
    <w:tmpl w:val="73AD049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>
    <w:nsid w:val="75603518"/>
    <w:multiLevelType w:val="multilevel"/>
    <w:tmpl w:val="7560351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>
    <w:nsid w:val="7F6171ED"/>
    <w:multiLevelType w:val="multilevel"/>
    <w:tmpl w:val="7F6171E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1"/>
  </w:num>
  <w:num w:numId="2">
    <w:abstractNumId w:val="15"/>
  </w:num>
  <w:num w:numId="3">
    <w:abstractNumId w:val="5"/>
  </w:num>
  <w:num w:numId="4">
    <w:abstractNumId w:val="0"/>
  </w:num>
  <w:num w:numId="5">
    <w:abstractNumId w:val="18"/>
  </w:num>
  <w:num w:numId="6">
    <w:abstractNumId w:val="9"/>
  </w:num>
  <w:num w:numId="7">
    <w:abstractNumId w:val="17"/>
  </w:num>
  <w:num w:numId="8">
    <w:abstractNumId w:val="19"/>
  </w:num>
  <w:num w:numId="9">
    <w:abstractNumId w:val="2"/>
  </w:num>
  <w:num w:numId="10">
    <w:abstractNumId w:val="14"/>
  </w:num>
  <w:num w:numId="11">
    <w:abstractNumId w:val="10"/>
  </w:num>
  <w:num w:numId="12">
    <w:abstractNumId w:val="12"/>
  </w:num>
  <w:num w:numId="13">
    <w:abstractNumId w:val="6"/>
  </w:num>
  <w:num w:numId="14">
    <w:abstractNumId w:val="21"/>
  </w:num>
  <w:num w:numId="15">
    <w:abstractNumId w:val="13"/>
  </w:num>
  <w:num w:numId="16">
    <w:abstractNumId w:val="3"/>
  </w:num>
  <w:num w:numId="17">
    <w:abstractNumId w:val="1"/>
  </w:num>
  <w:num w:numId="18">
    <w:abstractNumId w:val="20"/>
  </w:num>
  <w:num w:numId="19">
    <w:abstractNumId w:val="16"/>
  </w:num>
  <w:num w:numId="20">
    <w:abstractNumId w:val="4"/>
  </w:num>
  <w:num w:numId="21">
    <w:abstractNumId w:val="8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BB6"/>
    <w:rsid w:val="00017B35"/>
    <w:rsid w:val="000A357E"/>
    <w:rsid w:val="000F45CA"/>
    <w:rsid w:val="0013372F"/>
    <w:rsid w:val="0014395E"/>
    <w:rsid w:val="00151B62"/>
    <w:rsid w:val="00184C24"/>
    <w:rsid w:val="00185F85"/>
    <w:rsid w:val="001C05D9"/>
    <w:rsid w:val="001C0D3D"/>
    <w:rsid w:val="001C5F26"/>
    <w:rsid w:val="001F538F"/>
    <w:rsid w:val="002147DC"/>
    <w:rsid w:val="00225D89"/>
    <w:rsid w:val="00227ECA"/>
    <w:rsid w:val="0026219D"/>
    <w:rsid w:val="00291303"/>
    <w:rsid w:val="002C1B85"/>
    <w:rsid w:val="0032235E"/>
    <w:rsid w:val="00355B92"/>
    <w:rsid w:val="0038700C"/>
    <w:rsid w:val="003B2075"/>
    <w:rsid w:val="003C070D"/>
    <w:rsid w:val="00430ACD"/>
    <w:rsid w:val="00451715"/>
    <w:rsid w:val="00454D6B"/>
    <w:rsid w:val="004C1531"/>
    <w:rsid w:val="004D1BD6"/>
    <w:rsid w:val="004D7DA5"/>
    <w:rsid w:val="00520D94"/>
    <w:rsid w:val="00547F63"/>
    <w:rsid w:val="005B0530"/>
    <w:rsid w:val="005D71B5"/>
    <w:rsid w:val="00656B14"/>
    <w:rsid w:val="00687BB6"/>
    <w:rsid w:val="006C027C"/>
    <w:rsid w:val="006E58FA"/>
    <w:rsid w:val="0074731D"/>
    <w:rsid w:val="008542FA"/>
    <w:rsid w:val="008B52DF"/>
    <w:rsid w:val="008D0B16"/>
    <w:rsid w:val="009672BE"/>
    <w:rsid w:val="0097673C"/>
    <w:rsid w:val="009B4EA3"/>
    <w:rsid w:val="009C2667"/>
    <w:rsid w:val="009C6837"/>
    <w:rsid w:val="00A11897"/>
    <w:rsid w:val="00A665B9"/>
    <w:rsid w:val="00B111EE"/>
    <w:rsid w:val="00B46FBB"/>
    <w:rsid w:val="00BE6706"/>
    <w:rsid w:val="00C62017"/>
    <w:rsid w:val="00C96895"/>
    <w:rsid w:val="00CA0693"/>
    <w:rsid w:val="00CE12D9"/>
    <w:rsid w:val="00D572E0"/>
    <w:rsid w:val="00E33BEF"/>
    <w:rsid w:val="00E47905"/>
    <w:rsid w:val="00EE41FF"/>
    <w:rsid w:val="00F64D8D"/>
    <w:rsid w:val="00F961E4"/>
    <w:rsid w:val="00FD1671"/>
    <w:rsid w:val="110E3464"/>
    <w:rsid w:val="16C91A43"/>
    <w:rsid w:val="1A9447AA"/>
    <w:rsid w:val="1AA43B3A"/>
    <w:rsid w:val="2BE55328"/>
    <w:rsid w:val="3F820783"/>
    <w:rsid w:val="41711D42"/>
    <w:rsid w:val="56EA6524"/>
    <w:rsid w:val="63714235"/>
    <w:rsid w:val="6E251A10"/>
    <w:rsid w:val="707E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26"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b/>
      <w:color w:val="000000" w:themeColor="text1"/>
      <w:sz w:val="28"/>
      <w:szCs w:val="40"/>
      <w14:textFill>
        <w14:solidFill>
          <w14:schemeClr w14:val="tx1"/>
        </w14:solidFill>
      </w14:textFill>
    </w:rPr>
  </w:style>
  <w:style w:type="paragraph" w:styleId="4">
    <w:name w:val="heading 3"/>
    <w:basedOn w:val="1"/>
    <w:next w:val="1"/>
    <w:link w:val="27"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b/>
      <w:color w:val="000000" w:themeColor="text1"/>
      <w:sz w:val="24"/>
      <w:szCs w:val="32"/>
      <w14:textFill>
        <w14:solidFill>
          <w14:schemeClr w14:val="tx1"/>
        </w14:solidFill>
      </w14:textFill>
    </w:rPr>
  </w:style>
  <w:style w:type="paragraph" w:styleId="5">
    <w:name w:val="heading 4"/>
    <w:basedOn w:val="1"/>
    <w:next w:val="1"/>
    <w:link w:val="28"/>
    <w:unhideWhenUsed/>
    <w:qFormat/>
    <w:uiPriority w:val="9"/>
    <w:pPr>
      <w:keepNext/>
      <w:keepLines/>
      <w:spacing w:before="80" w:after="40"/>
      <w:outlineLvl w:val="3"/>
    </w:pPr>
    <w:rPr>
      <w:rFonts w:cstheme="majorBidi"/>
      <w:b/>
      <w:color w:val="000000" w:themeColor="text1"/>
      <w:sz w:val="28"/>
      <w:szCs w:val="28"/>
      <w14:textFill>
        <w14:solidFill>
          <w14:schemeClr w14:val="tx1"/>
        </w14:solidFill>
      </w14:textFill>
    </w:rPr>
  </w:style>
  <w:style w:type="paragraph" w:styleId="6">
    <w:name w:val="heading 5"/>
    <w:basedOn w:val="1"/>
    <w:next w:val="1"/>
    <w:link w:val="29"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3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3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3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3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22">
    <w:name w:val="Default Paragraph Font"/>
    <w:semiHidden/>
    <w:unhideWhenUsed/>
    <w:qFormat/>
    <w:uiPriority w:val="1"/>
  </w:style>
  <w:style w:type="table" w:default="1" w:styleId="2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4"/>
    <w:semiHidden/>
    <w:unhideWhenUsed/>
    <w:qFormat/>
    <w:uiPriority w:val="99"/>
  </w:style>
  <w:style w:type="paragraph" w:styleId="12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</w:pPr>
    <w:rPr>
      <w:rFonts w:cs="Times New Roman"/>
      <w:kern w:val="0"/>
      <w:szCs w:val="22"/>
      <w14:ligatures w14:val="none"/>
    </w:rPr>
  </w:style>
  <w:style w:type="paragraph" w:styleId="13">
    <w:name w:val="footer"/>
    <w:basedOn w:val="1"/>
    <w:link w:val="4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4">
    <w:name w:val="header"/>
    <w:basedOn w:val="1"/>
    <w:link w:val="4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5">
    <w:name w:val="toc 1"/>
    <w:basedOn w:val="1"/>
    <w:next w:val="1"/>
    <w:unhideWhenUsed/>
    <w:qFormat/>
    <w:uiPriority w:val="39"/>
    <w:pPr>
      <w:widowControl/>
      <w:spacing w:after="100" w:line="259" w:lineRule="auto"/>
    </w:pPr>
    <w:rPr>
      <w:rFonts w:cs="Times New Roman"/>
      <w:kern w:val="0"/>
      <w:szCs w:val="22"/>
      <w14:ligatures w14:val="none"/>
    </w:rPr>
  </w:style>
  <w:style w:type="paragraph" w:styleId="16">
    <w:name w:val="Subtitle"/>
    <w:basedOn w:val="1"/>
    <w:next w:val="1"/>
    <w:link w:val="3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7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</w:pPr>
    <w:rPr>
      <w:rFonts w:cs="Times New Roman"/>
      <w:kern w:val="0"/>
      <w:szCs w:val="22"/>
      <w14:ligatures w14:val="none"/>
    </w:rPr>
  </w:style>
  <w:style w:type="paragraph" w:styleId="18">
    <w:name w:val="Title"/>
    <w:basedOn w:val="1"/>
    <w:next w:val="1"/>
    <w:link w:val="3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9">
    <w:name w:val="annotation subject"/>
    <w:basedOn w:val="11"/>
    <w:next w:val="11"/>
    <w:link w:val="45"/>
    <w:semiHidden/>
    <w:unhideWhenUsed/>
    <w:qFormat/>
    <w:uiPriority w:val="99"/>
    <w:rPr>
      <w:b/>
      <w:bCs/>
    </w:rPr>
  </w:style>
  <w:style w:type="table" w:styleId="21">
    <w:name w:val="Table Grid"/>
    <w:basedOn w:val="20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3">
    <w:name w:val="Hyperlink"/>
    <w:basedOn w:val="2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4">
    <w:name w:val="annotation reference"/>
    <w:basedOn w:val="22"/>
    <w:semiHidden/>
    <w:unhideWhenUsed/>
    <w:qFormat/>
    <w:uiPriority w:val="99"/>
    <w:rPr>
      <w:sz w:val="21"/>
      <w:szCs w:val="21"/>
    </w:rPr>
  </w:style>
  <w:style w:type="character" w:customStyle="1" w:styleId="25">
    <w:name w:val="标题 1 字符"/>
    <w:basedOn w:val="2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6">
    <w:name w:val="标题 2 字符"/>
    <w:basedOn w:val="22"/>
    <w:link w:val="3"/>
    <w:qFormat/>
    <w:uiPriority w:val="9"/>
    <w:rPr>
      <w:rFonts w:asciiTheme="majorHAnsi" w:hAnsiTheme="majorHAnsi" w:eastAsiaTheme="majorEastAsia" w:cstheme="majorBidi"/>
      <w:b/>
      <w:color w:val="000000" w:themeColor="text1"/>
      <w:sz w:val="28"/>
      <w:szCs w:val="40"/>
      <w14:textFill>
        <w14:solidFill>
          <w14:schemeClr w14:val="tx1"/>
        </w14:solidFill>
      </w14:textFill>
    </w:rPr>
  </w:style>
  <w:style w:type="character" w:customStyle="1" w:styleId="27">
    <w:name w:val="标题 3 字符"/>
    <w:basedOn w:val="22"/>
    <w:link w:val="4"/>
    <w:qFormat/>
    <w:uiPriority w:val="9"/>
    <w:rPr>
      <w:rFonts w:asciiTheme="majorHAnsi" w:hAnsiTheme="majorHAnsi" w:eastAsiaTheme="majorEastAsia" w:cstheme="majorBidi"/>
      <w:b/>
      <w:color w:val="000000" w:themeColor="text1"/>
      <w:sz w:val="24"/>
      <w:szCs w:val="32"/>
      <w14:textFill>
        <w14:solidFill>
          <w14:schemeClr w14:val="tx1"/>
        </w14:solidFill>
      </w14:textFill>
    </w:rPr>
  </w:style>
  <w:style w:type="character" w:customStyle="1" w:styleId="28">
    <w:name w:val="标题 4 字符"/>
    <w:basedOn w:val="22"/>
    <w:link w:val="5"/>
    <w:qFormat/>
    <w:uiPriority w:val="9"/>
    <w:rPr>
      <w:rFonts w:cstheme="majorBidi"/>
      <w:b/>
      <w:color w:val="000000" w:themeColor="text1"/>
      <w:sz w:val="28"/>
      <w:szCs w:val="28"/>
      <w14:textFill>
        <w14:solidFill>
          <w14:schemeClr w14:val="tx1"/>
        </w14:solidFill>
      </w14:textFill>
    </w:rPr>
  </w:style>
  <w:style w:type="character" w:customStyle="1" w:styleId="29">
    <w:name w:val="标题 5 字符"/>
    <w:basedOn w:val="22"/>
    <w:link w:val="6"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30">
    <w:name w:val="标题 6 字符"/>
    <w:basedOn w:val="22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31">
    <w:name w:val="标题 7 字符"/>
    <w:basedOn w:val="22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2">
    <w:name w:val="标题 8 字符"/>
    <w:basedOn w:val="22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3">
    <w:name w:val="标题 9 字符"/>
    <w:basedOn w:val="22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4">
    <w:name w:val="标题 字符"/>
    <w:basedOn w:val="22"/>
    <w:link w:val="18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5">
    <w:name w:val="副标题 字符"/>
    <w:basedOn w:val="22"/>
    <w:link w:val="16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6">
    <w:name w:val="Quote"/>
    <w:basedOn w:val="1"/>
    <w:next w:val="1"/>
    <w:link w:val="3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7">
    <w:name w:val="引用 字符"/>
    <w:basedOn w:val="22"/>
    <w:link w:val="3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8">
    <w:name w:val="List Paragraph"/>
    <w:basedOn w:val="1"/>
    <w:qFormat/>
    <w:uiPriority w:val="34"/>
    <w:pPr>
      <w:ind w:left="720"/>
      <w:contextualSpacing/>
    </w:pPr>
  </w:style>
  <w:style w:type="character" w:customStyle="1" w:styleId="39">
    <w:name w:val="Intense Emphasis"/>
    <w:basedOn w:val="22"/>
    <w:qFormat/>
    <w:uiPriority w:val="21"/>
    <w:rPr>
      <w:i/>
      <w:iCs/>
      <w:color w:val="2F5597" w:themeColor="accent1" w:themeShade="BF"/>
    </w:rPr>
  </w:style>
  <w:style w:type="paragraph" w:styleId="40">
    <w:name w:val="Intense Quote"/>
    <w:basedOn w:val="1"/>
    <w:next w:val="1"/>
    <w:link w:val="4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41">
    <w:name w:val="明显引用 字符"/>
    <w:basedOn w:val="22"/>
    <w:link w:val="40"/>
    <w:qFormat/>
    <w:uiPriority w:val="30"/>
    <w:rPr>
      <w:i/>
      <w:iCs/>
      <w:color w:val="2F5597" w:themeColor="accent1" w:themeShade="BF"/>
    </w:rPr>
  </w:style>
  <w:style w:type="character" w:customStyle="1" w:styleId="42">
    <w:name w:val="Intense Reference"/>
    <w:basedOn w:val="22"/>
    <w:qFormat/>
    <w:uiPriority w:val="32"/>
    <w:rPr>
      <w:b/>
      <w:bCs/>
      <w:smallCaps/>
      <w:color w:val="2F5597" w:themeColor="accent1" w:themeShade="BF"/>
      <w:spacing w:val="5"/>
    </w:rPr>
  </w:style>
  <w:style w:type="paragraph" w:customStyle="1" w:styleId="43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character" w:customStyle="1" w:styleId="44">
    <w:name w:val="批注文字 字符"/>
    <w:basedOn w:val="22"/>
    <w:link w:val="11"/>
    <w:semiHidden/>
    <w:qFormat/>
    <w:uiPriority w:val="99"/>
  </w:style>
  <w:style w:type="character" w:customStyle="1" w:styleId="45">
    <w:name w:val="批注主题 字符"/>
    <w:basedOn w:val="44"/>
    <w:link w:val="19"/>
    <w:semiHidden/>
    <w:qFormat/>
    <w:uiPriority w:val="99"/>
    <w:rPr>
      <w:b/>
      <w:bCs/>
    </w:rPr>
  </w:style>
  <w:style w:type="character" w:customStyle="1" w:styleId="46">
    <w:name w:val="页眉 字符"/>
    <w:basedOn w:val="22"/>
    <w:link w:val="14"/>
    <w:qFormat/>
    <w:uiPriority w:val="99"/>
    <w:rPr>
      <w:sz w:val="18"/>
      <w:szCs w:val="18"/>
    </w:rPr>
  </w:style>
  <w:style w:type="character" w:customStyle="1" w:styleId="47">
    <w:name w:val="页脚 字符"/>
    <w:basedOn w:val="22"/>
    <w:link w:val="1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23DFAC4-2E2B-4ABA-93EA-7F972A972DB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1510</Words>
  <Characters>8611</Characters>
  <Lines>71</Lines>
  <Paragraphs>20</Paragraphs>
  <TotalTime>0</TotalTime>
  <ScaleCrop>false</ScaleCrop>
  <LinksUpToDate>false</LinksUpToDate>
  <CharactersWithSpaces>10101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2025-08-06T03:05:00Z</dcterms:created>
  <dc:creator>wangborun@huaceiot.net</dc:creator>
  <cp:lastModifiedBy>张荣锦</cp:lastModifiedBy>
  <dcterms:modified xsi:type="dcterms:W3CDTF">2025-08-06T06:52:19Z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820C8307279242219F30E22CBC6A9472</vt:lpwstr>
  </property>
</Properties>
</file>