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宋体"/>
          <w:b/>
          <w:color w:val="auto"/>
          <w:sz w:val="52"/>
          <w:szCs w:val="52"/>
          <w:highlight w:val="none"/>
          <w:lang w:val="en-US" w:eastAsia="zh-CN"/>
        </w:rPr>
      </w:pPr>
      <w:r>
        <w:rPr>
          <w:rFonts w:hint="default" w:ascii="Times New Roman" w:hAnsi="Times New Roman" w:eastAsia="宋体" w:cs="宋体"/>
          <w:b/>
          <w:color w:val="auto"/>
          <w:sz w:val="52"/>
          <w:szCs w:val="52"/>
          <w:highlight w:val="none"/>
          <w:lang w:val="en-US" w:eastAsia="zh-CN"/>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-938530</wp:posOffset>
            </wp:positionV>
            <wp:extent cx="7680960" cy="2733040"/>
            <wp:effectExtent l="0" t="0" r="0" b="0"/>
            <wp:wrapTight wrapText="bothSides">
              <wp:wrapPolygon>
                <wp:start x="0" y="0"/>
                <wp:lineTo x="0" y="21379"/>
                <wp:lineTo x="21536" y="21379"/>
                <wp:lineTo x="21536" y="0"/>
                <wp:lineTo x="0" y="0"/>
              </wp:wrapPolygon>
            </wp:wrapTight>
            <wp:docPr id="14" name="图片 1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模板-3"/>
                    <pic:cNvPicPr>
                      <a:picLocks noChangeAspect="1" noChangeArrowheads="1"/>
                    </pic:cNvPicPr>
                  </pic:nvPicPr>
                  <pic:blipFill>
                    <a:blip r:embed="rId11" cstate="print"/>
                    <a:srcRect/>
                    <a:stretch>
                      <a:fillRect/>
                    </a:stretch>
                  </pic:blipFill>
                  <pic:spPr>
                    <a:xfrm>
                      <a:off x="0" y="0"/>
                      <a:ext cx="7680960" cy="2733040"/>
                    </a:xfrm>
                    <a:prstGeom prst="rect">
                      <a:avLst/>
                    </a:prstGeom>
                    <a:noFill/>
                    <a:ln w="9525">
                      <a:noFill/>
                      <a:miter lim="800000"/>
                      <a:headEnd/>
                      <a:tailEnd/>
                    </a:ln>
                  </pic:spPr>
                </pic:pic>
              </a:graphicData>
            </a:graphic>
          </wp:anchor>
        </w:drawing>
      </w:r>
      <w:r>
        <w:rPr>
          <w:rFonts w:hint="eastAsia" w:ascii="Times New Roman" w:hAnsi="Times New Roman" w:eastAsia="宋体" w:cs="宋体"/>
          <w:b/>
          <w:color w:val="auto"/>
          <w:sz w:val="52"/>
          <w:szCs w:val="52"/>
          <w:highlight w:val="none"/>
          <w:lang w:val="en-US" w:eastAsia="zh-CN"/>
        </w:rPr>
        <w:t>10kV馈线自动调压器</w:t>
      </w:r>
    </w:p>
    <w:p>
      <w:pPr>
        <w:spacing w:before="624" w:beforeLines="200"/>
        <w:jc w:val="center"/>
        <w:rPr>
          <w:rFonts w:hint="eastAsia" w:ascii="Times New Roman" w:hAnsi="Times New Roman" w:eastAsia="宋体" w:cs="宋体"/>
          <w:b/>
          <w:color w:val="auto"/>
          <w:sz w:val="52"/>
          <w:szCs w:val="52"/>
          <w:highlight w:val="none"/>
        </w:rPr>
      </w:pPr>
      <w:r>
        <w:rPr>
          <w:rFonts w:hint="eastAsia" w:ascii="Times New Roman" w:hAnsi="Times New Roman" w:eastAsia="宋体" w:cs="宋体"/>
          <w:b/>
          <w:color w:val="auto"/>
          <w:sz w:val="52"/>
          <w:szCs w:val="52"/>
          <w:highlight w:val="none"/>
        </w:rPr>
        <w:t>技术</w:t>
      </w:r>
      <w:r>
        <w:rPr>
          <w:rFonts w:hint="eastAsia" w:ascii="Times New Roman" w:hAnsi="Times New Roman" w:eastAsia="宋体" w:cs="宋体"/>
          <w:b/>
          <w:color w:val="auto"/>
          <w:sz w:val="52"/>
          <w:szCs w:val="52"/>
          <w:highlight w:val="none"/>
          <w:lang w:val="en-US" w:eastAsia="zh-CN"/>
        </w:rPr>
        <w:t>规范</w:t>
      </w:r>
      <w:r>
        <w:rPr>
          <w:rFonts w:hint="eastAsia" w:ascii="Times New Roman" w:hAnsi="Times New Roman" w:eastAsia="宋体" w:cs="宋体"/>
          <w:b/>
          <w:color w:val="auto"/>
          <w:sz w:val="52"/>
          <w:szCs w:val="52"/>
          <w:highlight w:val="none"/>
        </w:rPr>
        <w:t>书</w:t>
      </w:r>
    </w:p>
    <w:p>
      <w:pPr>
        <w:pStyle w:val="2"/>
        <w:rPr>
          <w:rFonts w:hint="eastAsia" w:ascii="Times New Roman" w:hAnsi="Times New Roman" w:eastAsia="宋体"/>
          <w:color w:val="auto"/>
          <w:highlight w:val="none"/>
          <w:lang w:val="en-US" w:eastAsia="zh-CN"/>
        </w:rPr>
      </w:pPr>
    </w:p>
    <w:p>
      <w:pPr>
        <w:spacing w:before="624" w:beforeLines="200"/>
        <w:ind w:firstLine="1970" w:firstLineChars="545"/>
        <w:jc w:val="left"/>
        <w:rPr>
          <w:rFonts w:ascii="Times New Roman" w:hAnsi="Times New Roman" w:eastAsia="宋体"/>
          <w:b/>
          <w:color w:val="auto"/>
          <w:sz w:val="36"/>
          <w:highlight w:val="none"/>
        </w:rPr>
      </w:pPr>
    </w:p>
    <w:p>
      <w:pPr>
        <w:spacing w:before="624" w:beforeLines="200"/>
        <w:ind w:firstLine="1970" w:firstLineChars="545"/>
        <w:jc w:val="left"/>
        <w:rPr>
          <w:rFonts w:ascii="Times New Roman" w:hAnsi="Times New Roman" w:eastAsia="宋体"/>
          <w:b/>
          <w:color w:val="auto"/>
          <w:sz w:val="36"/>
          <w:highlight w:val="none"/>
        </w:rPr>
      </w:pPr>
    </w:p>
    <w:p>
      <w:pPr>
        <w:spacing w:before="624" w:beforeLines="200"/>
        <w:jc w:val="left"/>
        <w:rPr>
          <w:rFonts w:ascii="Times New Roman" w:hAnsi="Times New Roman" w:eastAsia="宋体"/>
          <w:b/>
          <w:color w:val="auto"/>
          <w:sz w:val="36"/>
          <w:highlight w:val="none"/>
        </w:rPr>
      </w:pPr>
    </w:p>
    <w:p>
      <w:pPr>
        <w:spacing w:before="624" w:beforeLines="200"/>
        <w:jc w:val="center"/>
        <w:rPr>
          <w:rFonts w:hint="eastAsia" w:ascii="Times New Roman" w:hAnsi="Times New Roman" w:eastAsia="宋体" w:cs="宋体"/>
          <w:b/>
          <w:color w:val="auto"/>
          <w:sz w:val="30"/>
          <w:szCs w:val="30"/>
          <w:highlight w:val="none"/>
        </w:rPr>
      </w:pPr>
      <w:r>
        <w:rPr>
          <w:rFonts w:hint="eastAsia" w:ascii="Times New Roman" w:hAnsi="Times New Roman" w:eastAsia="宋体" w:cs="宋体"/>
          <w:b/>
          <w:color w:val="auto"/>
          <w:spacing w:val="20"/>
          <w:w w:val="135"/>
          <w:sz w:val="30"/>
          <w:szCs w:val="30"/>
          <w:highlight w:val="none"/>
          <w:lang w:eastAsia="zh-CN"/>
        </w:rPr>
        <w:t>云南电网</w:t>
      </w:r>
      <w:r>
        <w:rPr>
          <w:rFonts w:hint="eastAsia" w:ascii="Times New Roman" w:hAnsi="Times New Roman" w:eastAsia="宋体" w:cs="宋体"/>
          <w:b/>
          <w:color w:val="auto"/>
          <w:spacing w:val="20"/>
          <w:w w:val="135"/>
          <w:sz w:val="30"/>
          <w:szCs w:val="30"/>
          <w:highlight w:val="none"/>
        </w:rPr>
        <w:t>有限责任公司</w:t>
      </w:r>
    </w:p>
    <w:p>
      <w:pPr>
        <w:spacing w:before="624" w:beforeLines="200"/>
        <w:jc w:val="center"/>
        <w:rPr>
          <w:rFonts w:hint="default" w:ascii="Times New Roman" w:hAnsi="Times New Roman" w:eastAsia="宋体" w:cs="宋体"/>
          <w:color w:val="auto"/>
          <w:sz w:val="21"/>
          <w:szCs w:val="21"/>
          <w:highlight w:val="none"/>
          <w:lang w:val="en-US"/>
        </w:rPr>
        <w:sectPr>
          <w:footerReference r:id="rId6" w:type="first"/>
          <w:headerReference r:id="rId3" w:type="default"/>
          <w:footerReference r:id="rId5" w:type="default"/>
          <w:headerReference r:id="rId4" w:type="even"/>
          <w:pgSz w:w="11906" w:h="16838"/>
          <w:pgMar w:top="1440" w:right="1291" w:bottom="1440" w:left="1575" w:header="851" w:footer="992" w:gutter="0"/>
          <w:pgBorders>
            <w:top w:val="none" w:sz="0" w:space="0"/>
            <w:left w:val="none" w:sz="0" w:space="0"/>
            <w:bottom w:val="none" w:sz="0" w:space="0"/>
            <w:right w:val="none" w:sz="0" w:space="0"/>
          </w:pgBorders>
          <w:pgNumType w:start="0"/>
          <w:cols w:space="720" w:num="1"/>
          <w:titlePg/>
          <w:docGrid w:type="lines" w:linePitch="312" w:charSpace="0"/>
        </w:sectPr>
      </w:pPr>
      <w:bookmarkStart w:id="0" w:name="_Toc387821167"/>
      <w:bookmarkStart w:id="1" w:name="_Toc387770113"/>
      <w:bookmarkStart w:id="2" w:name="_Toc387770650"/>
      <w:r>
        <w:rPr>
          <w:rFonts w:hint="eastAsia" w:ascii="Times New Roman" w:hAnsi="Times New Roman" w:eastAsia="宋体" w:cs="宋体"/>
          <w:b/>
          <w:color w:val="auto"/>
          <w:spacing w:val="20"/>
          <w:w w:val="135"/>
          <w:sz w:val="30"/>
          <w:szCs w:val="30"/>
          <w:highlight w:val="none"/>
        </w:rPr>
        <w:t>202</w:t>
      </w:r>
      <w:r>
        <w:rPr>
          <w:rFonts w:hint="eastAsia" w:ascii="Times New Roman" w:hAnsi="Times New Roman" w:cs="宋体"/>
          <w:b/>
          <w:color w:val="auto"/>
          <w:spacing w:val="20"/>
          <w:w w:val="135"/>
          <w:sz w:val="30"/>
          <w:szCs w:val="30"/>
          <w:highlight w:val="none"/>
          <w:lang w:val="en-US" w:eastAsia="zh-CN"/>
        </w:rPr>
        <w:t>5</w:t>
      </w:r>
      <w:r>
        <w:rPr>
          <w:rFonts w:hint="eastAsia" w:ascii="Times New Roman" w:hAnsi="Times New Roman" w:eastAsia="宋体" w:cs="宋体"/>
          <w:b/>
          <w:color w:val="auto"/>
          <w:spacing w:val="20"/>
          <w:w w:val="135"/>
          <w:sz w:val="30"/>
          <w:szCs w:val="30"/>
          <w:highlight w:val="none"/>
        </w:rPr>
        <w:t>年0</w:t>
      </w:r>
      <w:bookmarkEnd w:id="0"/>
      <w:bookmarkEnd w:id="1"/>
      <w:bookmarkEnd w:id="2"/>
      <w:r>
        <w:rPr>
          <w:rFonts w:hint="eastAsia" w:ascii="Times New Roman" w:hAnsi="Times New Roman" w:cs="宋体"/>
          <w:b/>
          <w:color w:val="auto"/>
          <w:spacing w:val="20"/>
          <w:w w:val="135"/>
          <w:sz w:val="30"/>
          <w:szCs w:val="30"/>
          <w:highlight w:val="none"/>
          <w:lang w:val="en-US" w:eastAsia="zh-CN"/>
        </w:rPr>
        <w:t>7</w:t>
      </w:r>
      <w:r>
        <w:rPr>
          <w:rFonts w:hint="eastAsia" w:ascii="Times New Roman" w:hAnsi="Times New Roman" w:eastAsia="宋体" w:cs="宋体"/>
          <w:b/>
          <w:color w:val="auto"/>
          <w:spacing w:val="20"/>
          <w:w w:val="135"/>
          <w:sz w:val="30"/>
          <w:szCs w:val="30"/>
          <w:highlight w:val="none"/>
          <w:lang w:val="en-US" w:eastAsia="zh-CN"/>
        </w:rPr>
        <w:t>月</w:t>
      </w:r>
    </w:p>
    <w:p>
      <w:pPr>
        <w:pStyle w:val="70"/>
        <w:spacing w:before="0" w:line="240" w:lineRule="auto"/>
        <w:jc w:val="center"/>
        <w:rPr>
          <w:rFonts w:ascii="Times New Roman" w:hAnsi="Times New Roman" w:eastAsia="宋体"/>
          <w:color w:val="auto"/>
          <w:sz w:val="36"/>
          <w:szCs w:val="36"/>
          <w:highlight w:val="none"/>
          <w:lang w:val="zh-CN"/>
        </w:rPr>
      </w:pPr>
      <w:r>
        <w:rPr>
          <w:rFonts w:hint="eastAsia" w:ascii="Times New Roman" w:hAnsi="Times New Roman" w:eastAsia="宋体"/>
          <w:color w:val="auto"/>
          <w:sz w:val="36"/>
          <w:szCs w:val="36"/>
          <w:highlight w:val="none"/>
          <w:lang w:val="zh-CN"/>
        </w:rPr>
        <w:t>目</w:t>
      </w:r>
      <w:r>
        <w:rPr>
          <w:rFonts w:hint="eastAsia" w:ascii="Times New Roman" w:hAnsi="Times New Roman" w:eastAsia="宋体"/>
          <w:color w:val="auto"/>
          <w:sz w:val="36"/>
          <w:szCs w:val="36"/>
          <w:highlight w:val="none"/>
        </w:rPr>
        <w:t>录</w:t>
      </w:r>
    </w:p>
    <w:p>
      <w:pPr>
        <w:spacing w:line="276" w:lineRule="auto"/>
        <w:rPr>
          <w:rFonts w:ascii="Times New Roman" w:hAnsi="Times New Roman" w:eastAsia="宋体"/>
          <w:color w:val="auto"/>
          <w:highlight w:val="none"/>
          <w:lang w:val="zh-CN"/>
        </w:rPr>
      </w:pP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
          <w:bCs/>
          <w:color w:val="auto"/>
          <w:sz w:val="24"/>
          <w:szCs w:val="24"/>
          <w:highlight w:val="none"/>
        </w:rPr>
        <w:fldChar w:fldCharType="begin"/>
      </w:r>
      <w:r>
        <w:rPr>
          <w:rFonts w:hint="eastAsia" w:ascii="Times New Roman" w:hAnsi="Times New Roman" w:eastAsia="宋体" w:cs="黑体"/>
          <w:b/>
          <w:bCs/>
          <w:color w:val="auto"/>
          <w:sz w:val="24"/>
          <w:szCs w:val="24"/>
          <w:highlight w:val="none"/>
        </w:rPr>
        <w:instrText xml:space="preserve"> TOC \o "1-3" \h \z \u </w:instrText>
      </w:r>
      <w:r>
        <w:rPr>
          <w:rFonts w:hint="eastAsia" w:ascii="Times New Roman" w:hAnsi="Times New Roman" w:eastAsia="宋体" w:cs="黑体"/>
          <w:b/>
          <w:bCs/>
          <w:color w:val="auto"/>
          <w:sz w:val="24"/>
          <w:szCs w:val="24"/>
          <w:highlight w:val="none"/>
        </w:rPr>
        <w:fldChar w:fldCharType="separate"/>
      </w:r>
      <w:r>
        <w:rPr>
          <w:rFonts w:hint="eastAsia" w:ascii="Times New Roman" w:hAnsi="Times New Roman" w:eastAsia="宋体" w:cs="黑体"/>
          <w:bCs/>
          <w:color w:val="auto"/>
          <w:szCs w:val="24"/>
          <w:highlight w:val="none"/>
        </w:rPr>
        <w:fldChar w:fldCharType="begin"/>
      </w:r>
      <w:r>
        <w:rPr>
          <w:rFonts w:hint="eastAsia" w:ascii="Times New Roman" w:hAnsi="Times New Roman" w:eastAsia="宋体" w:cs="黑体"/>
          <w:bCs/>
          <w:szCs w:val="24"/>
          <w:highlight w:val="none"/>
        </w:rPr>
        <w:instrText xml:space="preserve"> HYPERLINK \l _Toc26348 </w:instrText>
      </w:r>
      <w:r>
        <w:rPr>
          <w:rFonts w:hint="eastAsia" w:ascii="Times New Roman" w:hAnsi="Times New Roman" w:eastAsia="宋体" w:cs="黑体"/>
          <w:bCs/>
          <w:szCs w:val="24"/>
          <w:highlight w:val="none"/>
        </w:rPr>
        <w:fldChar w:fldCharType="separate"/>
      </w:r>
      <w:r>
        <w:rPr>
          <w:rFonts w:hint="eastAsia" w:ascii="Times New Roman" w:hAnsi="Times New Roman" w:eastAsia="宋体" w:cs="宋体"/>
          <w:bCs/>
          <w:snapToGrid w:val="0"/>
          <w:kern w:val="0"/>
          <w:szCs w:val="21"/>
          <w:highlight w:val="none"/>
        </w:rPr>
        <w:t>1　总则</w:t>
      </w:r>
      <w:r>
        <w:tab/>
      </w:r>
      <w:r>
        <w:fldChar w:fldCharType="begin"/>
      </w:r>
      <w:r>
        <w:instrText xml:space="preserve"> PAGEREF _Toc26348 \h </w:instrText>
      </w:r>
      <w:r>
        <w:fldChar w:fldCharType="separate"/>
      </w:r>
      <w:r>
        <w:t>1</w:t>
      </w:r>
      <w:r>
        <w:fldChar w:fldCharType="end"/>
      </w:r>
      <w:r>
        <w:rPr>
          <w:rFonts w:hint="eastAsia" w:ascii="Times New Roman" w:hAnsi="Times New Roman" w:eastAsia="宋体" w:cs="黑体"/>
          <w:bCs/>
          <w:color w:val="auto"/>
          <w:szCs w:val="24"/>
          <w:highlight w:val="none"/>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_Toc12150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宋体"/>
          <w:bCs/>
          <w:snapToGrid w:val="0"/>
          <w:kern w:val="0"/>
          <w:szCs w:val="21"/>
          <w:lang w:val="en-US" w:eastAsia="zh-CN"/>
        </w:rPr>
        <w:t xml:space="preserve">2 </w:t>
      </w:r>
      <w:r>
        <w:rPr>
          <w:rFonts w:hint="eastAsia" w:ascii="Times New Roman" w:hAnsi="Times New Roman" w:eastAsia="宋体" w:cs="宋体"/>
          <w:bCs/>
          <w:snapToGrid w:val="0"/>
          <w:kern w:val="0"/>
          <w:szCs w:val="21"/>
          <w:highlight w:val="none"/>
          <w:lang w:val="en-US" w:eastAsia="zh-CN"/>
        </w:rPr>
        <w:t>工作范围</w:t>
      </w:r>
      <w:r>
        <w:tab/>
      </w:r>
      <w:r>
        <w:fldChar w:fldCharType="begin"/>
      </w:r>
      <w:r>
        <w:instrText xml:space="preserve"> PAGEREF _Toc12150 \h </w:instrText>
      </w:r>
      <w:r>
        <w:fldChar w:fldCharType="separate"/>
      </w:r>
      <w:r>
        <w:t>1</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_Toc1974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宋体"/>
          <w:bCs/>
          <w:snapToGrid w:val="0"/>
          <w:kern w:val="0"/>
          <w:szCs w:val="21"/>
          <w:lang w:val="en-US" w:eastAsia="zh-CN"/>
        </w:rPr>
        <w:t xml:space="preserve">3 </w:t>
      </w:r>
      <w:r>
        <w:rPr>
          <w:rFonts w:hint="eastAsia" w:ascii="Times New Roman" w:hAnsi="Times New Roman" w:eastAsia="宋体" w:cs="宋体"/>
          <w:bCs/>
          <w:snapToGrid w:val="0"/>
          <w:kern w:val="0"/>
          <w:szCs w:val="21"/>
          <w:highlight w:val="none"/>
          <w:lang w:val="en-US" w:eastAsia="zh-CN"/>
        </w:rPr>
        <w:t>应遵循的主要标准</w:t>
      </w:r>
      <w:r>
        <w:tab/>
      </w:r>
      <w:r>
        <w:fldChar w:fldCharType="begin"/>
      </w:r>
      <w:r>
        <w:instrText xml:space="preserve"> PAGEREF _Toc1974 \h </w:instrText>
      </w:r>
      <w:r>
        <w:fldChar w:fldCharType="separate"/>
      </w:r>
      <w:r>
        <w:t>2</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_Toc17552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宋体"/>
          <w:bCs/>
          <w:snapToGrid w:val="0"/>
          <w:kern w:val="0"/>
          <w:szCs w:val="21"/>
          <w:lang w:val="en-US" w:eastAsia="zh-CN"/>
        </w:rPr>
        <w:t xml:space="preserve">4 </w:t>
      </w:r>
      <w:r>
        <w:rPr>
          <w:rFonts w:hint="eastAsia" w:ascii="Times New Roman" w:hAnsi="Times New Roman" w:eastAsia="宋体" w:cs="宋体"/>
          <w:bCs/>
          <w:snapToGrid w:val="0"/>
          <w:kern w:val="0"/>
          <w:szCs w:val="21"/>
          <w:highlight w:val="none"/>
          <w:lang w:val="en-US" w:eastAsia="zh-CN"/>
        </w:rPr>
        <w:t>使用条件</w:t>
      </w:r>
      <w:r>
        <w:tab/>
      </w:r>
      <w:r>
        <w:fldChar w:fldCharType="begin"/>
      </w:r>
      <w:r>
        <w:instrText xml:space="preserve"> PAGEREF _Toc17552 \h </w:instrText>
      </w:r>
      <w:r>
        <w:fldChar w:fldCharType="separate"/>
      </w:r>
      <w:r>
        <w:t>3</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_Toc27558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宋体"/>
          <w:bCs/>
          <w:snapToGrid w:val="0"/>
          <w:kern w:val="0"/>
          <w:szCs w:val="21"/>
          <w:lang w:val="en-US" w:eastAsia="zh-CN"/>
        </w:rPr>
        <w:t xml:space="preserve">5 </w:t>
      </w:r>
      <w:r>
        <w:rPr>
          <w:rFonts w:hint="eastAsia" w:ascii="Times New Roman" w:hAnsi="Times New Roman" w:eastAsia="宋体" w:cs="宋体"/>
          <w:bCs/>
          <w:snapToGrid w:val="0"/>
          <w:kern w:val="0"/>
          <w:szCs w:val="21"/>
          <w:highlight w:val="none"/>
          <w:lang w:val="en-US" w:eastAsia="zh-CN"/>
        </w:rPr>
        <w:t>技术要求</w:t>
      </w:r>
      <w:r>
        <w:tab/>
      </w:r>
      <w:r>
        <w:fldChar w:fldCharType="begin"/>
      </w:r>
      <w:r>
        <w:instrText xml:space="preserve"> PAGEREF _Toc27558 \h </w:instrText>
      </w:r>
      <w:r>
        <w:fldChar w:fldCharType="separate"/>
      </w:r>
      <w:r>
        <w:t>4</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_Toc4644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黑体"/>
          <w:highlight w:val="none"/>
          <w:lang w:val="en-US" w:eastAsia="zh-CN"/>
        </w:rPr>
        <w:t xml:space="preserve">5.1 </w:t>
      </w:r>
      <w:r>
        <w:rPr>
          <w:rFonts w:hint="eastAsia" w:ascii="Times New Roman" w:hAnsi="Times New Roman" w:eastAsia="宋体" w:cs="黑体"/>
          <w:highlight w:val="none"/>
        </w:rPr>
        <w:t>调压装置构成</w:t>
      </w:r>
      <w:r>
        <w:tab/>
      </w:r>
      <w:r>
        <w:fldChar w:fldCharType="begin"/>
      </w:r>
      <w:r>
        <w:instrText xml:space="preserve"> PAGEREF _Toc4644 \h </w:instrText>
      </w:r>
      <w:r>
        <w:fldChar w:fldCharType="separate"/>
      </w:r>
      <w:r>
        <w:t>4</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_Toc27996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黑体"/>
          <w:highlight w:val="none"/>
          <w:lang w:val="en-US" w:eastAsia="zh-CN"/>
        </w:rPr>
        <w:t>5.2 功能要求</w:t>
      </w:r>
      <w:r>
        <w:tab/>
      </w:r>
      <w:r>
        <w:fldChar w:fldCharType="begin"/>
      </w:r>
      <w:r>
        <w:instrText xml:space="preserve"> PAGEREF _Toc27996 \h </w:instrText>
      </w:r>
      <w:r>
        <w:fldChar w:fldCharType="separate"/>
      </w:r>
      <w:r>
        <w:t>5</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_Toc18896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5.2.1 </w:t>
      </w:r>
      <w:r>
        <w:rPr>
          <w:rFonts w:hint="eastAsia" w:ascii="Times New Roman" w:hAnsi="Times New Roman" w:eastAsia="宋体" w:cs="黑体"/>
          <w:highlight w:val="none"/>
        </w:rPr>
        <w:t>电压调节功能</w:t>
      </w:r>
      <w:r>
        <w:tab/>
      </w:r>
      <w:r>
        <w:fldChar w:fldCharType="begin"/>
      </w:r>
      <w:r>
        <w:instrText xml:space="preserve"> PAGEREF _Toc18896 \h </w:instrText>
      </w:r>
      <w:r>
        <w:fldChar w:fldCharType="separate"/>
      </w:r>
      <w:r>
        <w:t>5</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_Toc7050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5.2.2 </w:t>
      </w:r>
      <w:r>
        <w:rPr>
          <w:rFonts w:hint="eastAsia" w:ascii="Times New Roman" w:hAnsi="Times New Roman" w:eastAsia="宋体" w:cs="黑体"/>
          <w:highlight w:val="none"/>
        </w:rPr>
        <w:t>保护和告警功能</w:t>
      </w:r>
      <w:r>
        <w:tab/>
      </w:r>
      <w:r>
        <w:fldChar w:fldCharType="begin"/>
      </w:r>
      <w:r>
        <w:instrText xml:space="preserve"> PAGEREF _Toc7050 \h </w:instrText>
      </w:r>
      <w:r>
        <w:fldChar w:fldCharType="separate"/>
      </w:r>
      <w:r>
        <w:t>5</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_Toc7368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5.2.3 </w:t>
      </w:r>
      <w:r>
        <w:rPr>
          <w:rFonts w:hint="eastAsia" w:ascii="Times New Roman" w:hAnsi="Times New Roman" w:eastAsia="宋体" w:cs="黑体"/>
          <w:highlight w:val="none"/>
        </w:rPr>
        <w:t>监测功能</w:t>
      </w:r>
      <w:r>
        <w:tab/>
      </w:r>
      <w:r>
        <w:fldChar w:fldCharType="begin"/>
      </w:r>
      <w:r>
        <w:instrText xml:space="preserve"> PAGEREF _Toc7368 \h </w:instrText>
      </w:r>
      <w:r>
        <w:fldChar w:fldCharType="separate"/>
      </w:r>
      <w:r>
        <w:t>5</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_Toc29373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5.2.4 </w:t>
      </w:r>
      <w:r>
        <w:rPr>
          <w:rFonts w:hint="eastAsia" w:ascii="Times New Roman" w:hAnsi="Times New Roman" w:eastAsia="宋体" w:cs="黑体"/>
          <w:highlight w:val="none"/>
        </w:rPr>
        <w:t>事件记录</w:t>
      </w:r>
      <w:r>
        <w:rPr>
          <w:rFonts w:hint="eastAsia" w:ascii="Times New Roman" w:hAnsi="Times New Roman" w:eastAsia="宋体" w:cs="黑体"/>
          <w:highlight w:val="none"/>
          <w:lang w:val="en-US" w:eastAsia="zh-CN"/>
        </w:rPr>
        <w:t>与故障录波</w:t>
      </w:r>
      <w:r>
        <w:rPr>
          <w:rFonts w:hint="eastAsia" w:ascii="Times New Roman" w:hAnsi="Times New Roman" w:eastAsia="宋体" w:cs="黑体"/>
          <w:highlight w:val="none"/>
        </w:rPr>
        <w:t>功能</w:t>
      </w:r>
      <w:r>
        <w:tab/>
      </w:r>
      <w:r>
        <w:fldChar w:fldCharType="begin"/>
      </w:r>
      <w:r>
        <w:instrText xml:space="preserve"> PAGEREF _Toc29373 \h </w:instrText>
      </w:r>
      <w:r>
        <w:fldChar w:fldCharType="separate"/>
      </w:r>
      <w:r>
        <w:t>6</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_Toc27902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5.2.5 </w:t>
      </w:r>
      <w:r>
        <w:rPr>
          <w:rFonts w:hint="eastAsia" w:ascii="Times New Roman" w:hAnsi="Times New Roman" w:eastAsia="宋体" w:cs="黑体"/>
          <w:highlight w:val="none"/>
        </w:rPr>
        <w:t>通信功能</w:t>
      </w:r>
      <w:r>
        <w:tab/>
      </w:r>
      <w:r>
        <w:fldChar w:fldCharType="begin"/>
      </w:r>
      <w:r>
        <w:instrText xml:space="preserve"> PAGEREF _Toc27902 \h </w:instrText>
      </w:r>
      <w:r>
        <w:fldChar w:fldCharType="separate"/>
      </w:r>
      <w:r>
        <w:t>6</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_Toc11855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5.2.6 </w:t>
      </w:r>
      <w:r>
        <w:rPr>
          <w:rFonts w:hint="eastAsia" w:ascii="Times New Roman" w:hAnsi="Times New Roman" w:eastAsia="宋体" w:cs="黑体"/>
          <w:highlight w:val="none"/>
        </w:rPr>
        <w:t>对时功能要求</w:t>
      </w:r>
      <w:r>
        <w:tab/>
      </w:r>
      <w:r>
        <w:fldChar w:fldCharType="begin"/>
      </w:r>
      <w:r>
        <w:instrText xml:space="preserve"> PAGEREF _Toc11855 \h </w:instrText>
      </w:r>
      <w:r>
        <w:fldChar w:fldCharType="separate"/>
      </w:r>
      <w:r>
        <w:t>6</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_Toc11469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5.2.7 </w:t>
      </w:r>
      <w:r>
        <w:rPr>
          <w:rFonts w:hint="eastAsia" w:ascii="Times New Roman" w:hAnsi="Times New Roman" w:eastAsia="宋体" w:cs="黑体"/>
          <w:highlight w:val="none"/>
        </w:rPr>
        <w:t>人机交互功能</w:t>
      </w:r>
      <w:r>
        <w:tab/>
      </w:r>
      <w:r>
        <w:fldChar w:fldCharType="begin"/>
      </w:r>
      <w:r>
        <w:instrText xml:space="preserve"> PAGEREF _Toc11469 \h </w:instrText>
      </w:r>
      <w:r>
        <w:fldChar w:fldCharType="separate"/>
      </w:r>
      <w:r>
        <w:t>6</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_Toc12783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5.2.8 </w:t>
      </w:r>
      <w:r>
        <w:rPr>
          <w:rFonts w:hint="eastAsia" w:ascii="Times New Roman" w:hAnsi="Times New Roman" w:eastAsia="宋体" w:cs="黑体"/>
          <w:highlight w:val="none"/>
        </w:rPr>
        <w:t>自动旁路</w:t>
      </w:r>
      <w:r>
        <w:tab/>
      </w:r>
      <w:r>
        <w:fldChar w:fldCharType="begin"/>
      </w:r>
      <w:r>
        <w:instrText xml:space="preserve"> PAGEREF _Toc12783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_Toc2276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黑体"/>
          <w:highlight w:val="none"/>
          <w:lang w:val="en-US" w:eastAsia="zh-CN"/>
        </w:rPr>
        <w:t>5.3 性能要求</w:t>
      </w:r>
      <w:r>
        <w:tab/>
      </w:r>
      <w:r>
        <w:fldChar w:fldCharType="begin"/>
      </w:r>
      <w:r>
        <w:instrText xml:space="preserve"> PAGEREF _Toc2276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_Toc22630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5.3.1 </w:t>
      </w:r>
      <w:r>
        <w:rPr>
          <w:rFonts w:hint="eastAsia" w:ascii="Times New Roman" w:hAnsi="Times New Roman" w:eastAsia="宋体" w:cstheme="minorEastAsia"/>
          <w:highlight w:val="none"/>
        </w:rPr>
        <w:t>★</w:t>
      </w:r>
      <w:r>
        <w:rPr>
          <w:rFonts w:hint="eastAsia" w:ascii="Times New Roman" w:hAnsi="Times New Roman" w:eastAsia="宋体" w:cs="黑体"/>
          <w:highlight w:val="none"/>
          <w:lang w:val="en-US" w:eastAsia="zh-CN"/>
        </w:rPr>
        <w:t>输出电压偏差</w:t>
      </w:r>
      <w:r>
        <w:tab/>
      </w:r>
      <w:r>
        <w:fldChar w:fldCharType="begin"/>
      </w:r>
      <w:r>
        <w:instrText xml:space="preserve"> PAGEREF _Toc22630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_Toc5748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5.3.2 </w:t>
      </w:r>
      <w:r>
        <w:rPr>
          <w:rFonts w:hint="eastAsia" w:ascii="Times New Roman" w:hAnsi="Times New Roman" w:eastAsia="宋体" w:cstheme="minorEastAsia"/>
          <w:highlight w:val="none"/>
        </w:rPr>
        <w:t>★</w:t>
      </w:r>
      <w:r>
        <w:rPr>
          <w:rFonts w:hint="eastAsia" w:ascii="Times New Roman" w:hAnsi="Times New Roman" w:eastAsia="宋体" w:cs="黑体"/>
          <w:highlight w:val="none"/>
        </w:rPr>
        <w:t>旁路时间</w:t>
      </w:r>
      <w:r>
        <w:tab/>
      </w:r>
      <w:r>
        <w:fldChar w:fldCharType="begin"/>
      </w:r>
      <w:r>
        <w:instrText xml:space="preserve"> PAGEREF _Toc5748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_Toc6524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5.3.3 </w:t>
      </w:r>
      <w:r>
        <w:rPr>
          <w:rFonts w:hint="eastAsia" w:ascii="Times New Roman" w:hAnsi="Times New Roman" w:eastAsia="宋体" w:cs="黑体"/>
          <w:highlight w:val="none"/>
        </w:rPr>
        <w:t>输出电压不平衡度</w:t>
      </w:r>
      <w:r>
        <w:tab/>
      </w:r>
      <w:r>
        <w:fldChar w:fldCharType="begin"/>
      </w:r>
      <w:r>
        <w:instrText xml:space="preserve"> PAGEREF _Toc6524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_Toc20473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5.3.4 </w:t>
      </w:r>
      <w:r>
        <w:rPr>
          <w:rFonts w:hint="eastAsia" w:ascii="Times New Roman" w:hAnsi="Times New Roman" w:eastAsia="宋体" w:cs="黑体"/>
          <w:highlight w:val="none"/>
        </w:rPr>
        <w:t>测量精度</w:t>
      </w:r>
      <w:r>
        <w:tab/>
      </w:r>
      <w:r>
        <w:fldChar w:fldCharType="begin"/>
      </w:r>
      <w:r>
        <w:instrText xml:space="preserve"> PAGEREF _Toc20473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_Toc18487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5.3.5 </w:t>
      </w:r>
      <w:r>
        <w:rPr>
          <w:rFonts w:hint="eastAsia" w:ascii="Times New Roman" w:hAnsi="Times New Roman" w:eastAsia="宋体" w:cs="黑体"/>
          <w:highlight w:val="none"/>
        </w:rPr>
        <w:t>绝缘水平</w:t>
      </w:r>
      <w:r>
        <w:tab/>
      </w:r>
      <w:r>
        <w:fldChar w:fldCharType="begin"/>
      </w:r>
      <w:r>
        <w:instrText xml:space="preserve"> PAGEREF _Toc18487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_Toc15631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5.3.6 </w:t>
      </w:r>
      <w:r>
        <w:rPr>
          <w:rFonts w:hint="eastAsia" w:ascii="Times New Roman" w:hAnsi="Times New Roman" w:eastAsia="宋体" w:cs="黑体"/>
          <w:highlight w:val="none"/>
        </w:rPr>
        <w:t>温升</w:t>
      </w:r>
      <w:r>
        <w:tab/>
      </w:r>
      <w:r>
        <w:fldChar w:fldCharType="begin"/>
      </w:r>
      <w:r>
        <w:instrText xml:space="preserve"> PAGEREF _Toc15631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_Toc29632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5.3.7 </w:t>
      </w:r>
      <w:r>
        <w:rPr>
          <w:rFonts w:hint="eastAsia" w:ascii="Times New Roman" w:hAnsi="Times New Roman" w:eastAsia="宋体" w:cs="黑体"/>
          <w:highlight w:val="none"/>
        </w:rPr>
        <w:t>噪声</w:t>
      </w:r>
      <w:r>
        <w:tab/>
      </w:r>
      <w:r>
        <w:fldChar w:fldCharType="begin"/>
      </w:r>
      <w:r>
        <w:instrText xml:space="preserve"> PAGEREF _Toc29632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_Toc17972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5.3.8 </w:t>
      </w:r>
      <w:r>
        <w:rPr>
          <w:rFonts w:hint="eastAsia" w:ascii="Times New Roman" w:hAnsi="Times New Roman" w:eastAsia="宋体" w:cs="黑体"/>
          <w:highlight w:val="none"/>
        </w:rPr>
        <w:t>短路承受能力</w:t>
      </w:r>
      <w:r>
        <w:tab/>
      </w:r>
      <w:r>
        <w:fldChar w:fldCharType="begin"/>
      </w:r>
      <w:r>
        <w:instrText xml:space="preserve"> PAGEREF _Toc17972 \h </w:instrText>
      </w:r>
      <w:r>
        <w:fldChar w:fldCharType="separate"/>
      </w:r>
      <w:r>
        <w:t>7</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_Toc2222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5.3.9 </w:t>
      </w:r>
      <w:r>
        <w:rPr>
          <w:rFonts w:hint="eastAsia" w:ascii="Times New Roman" w:hAnsi="Times New Roman" w:eastAsia="宋体" w:cs="黑体"/>
          <w:highlight w:val="none"/>
        </w:rPr>
        <w:t>电磁兼容</w:t>
      </w:r>
      <w:r>
        <w:tab/>
      </w:r>
      <w:r>
        <w:fldChar w:fldCharType="begin"/>
      </w:r>
      <w:r>
        <w:instrText xml:space="preserve"> PAGEREF _Toc2222 \h </w:instrText>
      </w:r>
      <w:r>
        <w:fldChar w:fldCharType="separate"/>
      </w:r>
      <w:r>
        <w:t>8</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_Toc31599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5.3.10 </w:t>
      </w:r>
      <w:r>
        <w:rPr>
          <w:rFonts w:hint="eastAsia" w:ascii="Times New Roman" w:hAnsi="Times New Roman" w:eastAsia="宋体" w:cs="黑体"/>
          <w:highlight w:val="none"/>
        </w:rPr>
        <w:t>时钟精度</w:t>
      </w:r>
      <w:r>
        <w:tab/>
      </w:r>
      <w:r>
        <w:fldChar w:fldCharType="begin"/>
      </w:r>
      <w:r>
        <w:instrText xml:space="preserve"> PAGEREF _Toc31599 \h </w:instrText>
      </w:r>
      <w:r>
        <w:fldChar w:fldCharType="separate"/>
      </w:r>
      <w:r>
        <w:t>8</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_Toc32146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5.3.11 </w:t>
      </w:r>
      <w:r>
        <w:rPr>
          <w:rFonts w:hint="eastAsia" w:ascii="Times New Roman" w:hAnsi="Times New Roman" w:eastAsia="宋体" w:cs="黑体"/>
          <w:highlight w:val="none"/>
        </w:rPr>
        <w:t>防护等级</w:t>
      </w:r>
      <w:r>
        <w:tab/>
      </w:r>
      <w:r>
        <w:fldChar w:fldCharType="begin"/>
      </w:r>
      <w:r>
        <w:instrText xml:space="preserve"> PAGEREF _Toc32146 \h </w:instrText>
      </w:r>
      <w:r>
        <w:fldChar w:fldCharType="separate"/>
      </w:r>
      <w:r>
        <w:t>8</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_Toc3362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黑体"/>
          <w:highlight w:val="none"/>
          <w:lang w:val="en-US" w:eastAsia="zh-CN"/>
        </w:rPr>
        <w:t>5.4 主要组成部分技术要求</w:t>
      </w:r>
      <w:r>
        <w:tab/>
      </w:r>
      <w:r>
        <w:fldChar w:fldCharType="begin"/>
      </w:r>
      <w:r>
        <w:instrText xml:space="preserve"> PAGEREF _Toc3362 \h </w:instrText>
      </w:r>
      <w:r>
        <w:fldChar w:fldCharType="separate"/>
      </w:r>
      <w:r>
        <w:t>8</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_Toc27894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5.4.1 </w:t>
      </w:r>
      <w:r>
        <w:rPr>
          <w:rFonts w:hint="eastAsia" w:ascii="Times New Roman" w:hAnsi="Times New Roman" w:eastAsia="宋体" w:cs="黑体"/>
          <w:highlight w:val="none"/>
        </w:rPr>
        <w:t>油浸式变压器及其附件</w:t>
      </w:r>
      <w:r>
        <w:tab/>
      </w:r>
      <w:r>
        <w:fldChar w:fldCharType="begin"/>
      </w:r>
      <w:r>
        <w:instrText xml:space="preserve"> PAGEREF _Toc27894 \h </w:instrText>
      </w:r>
      <w:r>
        <w:fldChar w:fldCharType="separate"/>
      </w:r>
      <w:r>
        <w:t>8</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_Toc28831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lang w:val="en-US" w:eastAsia="zh-CN"/>
        </w:rPr>
        <w:t xml:space="preserve">5.4.2 </w:t>
      </w:r>
      <w:r>
        <w:rPr>
          <w:rFonts w:hint="eastAsia" w:ascii="Times New Roman" w:hAnsi="Times New Roman" w:eastAsia="宋体" w:cs="黑体"/>
          <w:highlight w:val="none"/>
          <w:lang w:val="en-US" w:eastAsia="zh-CN"/>
        </w:rPr>
        <w:t>无功自动补偿装置技术要求</w:t>
      </w:r>
      <w:r>
        <w:tab/>
      </w:r>
      <w:r>
        <w:fldChar w:fldCharType="begin"/>
      </w:r>
      <w:r>
        <w:instrText xml:space="preserve"> PAGEREF _Toc28831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_Toc20519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5.4.3 </w:t>
      </w:r>
      <w:r>
        <w:rPr>
          <w:rFonts w:hint="eastAsia" w:ascii="Times New Roman" w:hAnsi="Times New Roman" w:eastAsia="宋体" w:cs="黑体"/>
          <w:highlight w:val="none"/>
          <w:lang w:eastAsia="zh-CN"/>
        </w:rPr>
        <w:t>控制器</w:t>
      </w:r>
      <w:r>
        <w:rPr>
          <w:rFonts w:hint="eastAsia" w:ascii="Times New Roman" w:hAnsi="Times New Roman" w:eastAsia="宋体" w:cs="黑体"/>
          <w:highlight w:val="none"/>
        </w:rPr>
        <w:t>技术要求</w:t>
      </w:r>
      <w:r>
        <w:tab/>
      </w:r>
      <w:r>
        <w:fldChar w:fldCharType="begin"/>
      </w:r>
      <w:r>
        <w:instrText xml:space="preserve"> PAGEREF _Toc20519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_Toc13879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5.4.4 </w:t>
      </w:r>
      <w:r>
        <w:rPr>
          <w:rFonts w:hint="eastAsia" w:ascii="Times New Roman" w:hAnsi="Times New Roman" w:eastAsia="宋体" w:cs="黑体"/>
          <w:highlight w:val="none"/>
        </w:rPr>
        <w:t>真空断路器技术要求</w:t>
      </w:r>
      <w:r>
        <w:tab/>
      </w:r>
      <w:r>
        <w:fldChar w:fldCharType="begin"/>
      </w:r>
      <w:r>
        <w:instrText xml:space="preserve"> PAGEREF _Toc13879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_Toc27012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5.4.5 </w:t>
      </w:r>
      <w:r>
        <w:rPr>
          <w:rFonts w:hint="eastAsia" w:ascii="Times New Roman" w:hAnsi="Times New Roman" w:eastAsia="宋体" w:cs="黑体"/>
          <w:highlight w:val="none"/>
        </w:rPr>
        <w:t>隔离开关技术要求</w:t>
      </w:r>
      <w:r>
        <w:tab/>
      </w:r>
      <w:r>
        <w:fldChar w:fldCharType="begin"/>
      </w:r>
      <w:r>
        <w:instrText xml:space="preserve"> PAGEREF _Toc27012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_Toc1235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5.4.6 </w:t>
      </w:r>
      <w:r>
        <w:rPr>
          <w:rFonts w:hint="eastAsia" w:ascii="Times New Roman" w:hAnsi="Times New Roman" w:eastAsia="宋体" w:cs="黑体"/>
          <w:highlight w:val="none"/>
        </w:rPr>
        <w:t>避雷器技术要求</w:t>
      </w:r>
      <w:r>
        <w:tab/>
      </w:r>
      <w:r>
        <w:fldChar w:fldCharType="begin"/>
      </w:r>
      <w:r>
        <w:instrText xml:space="preserve"> PAGEREF _Toc1235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_Toc8754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5.4.7 </w:t>
      </w:r>
      <w:r>
        <w:rPr>
          <w:rFonts w:hint="eastAsia" w:ascii="Times New Roman" w:hAnsi="Times New Roman" w:eastAsia="宋体" w:cs="黑体"/>
          <w:highlight w:val="none"/>
        </w:rPr>
        <w:t>电压互感器技术要求</w:t>
      </w:r>
      <w:r>
        <w:tab/>
      </w:r>
      <w:r>
        <w:fldChar w:fldCharType="begin"/>
      </w:r>
      <w:r>
        <w:instrText xml:space="preserve"> PAGEREF _Toc8754 \h </w:instrText>
      </w:r>
      <w:r>
        <w:fldChar w:fldCharType="separate"/>
      </w:r>
      <w:r>
        <w:t>9</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_Toc3938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5.4.8 </w:t>
      </w:r>
      <w:r>
        <w:rPr>
          <w:rFonts w:hint="eastAsia" w:ascii="Times New Roman" w:hAnsi="Times New Roman" w:eastAsia="宋体" w:cs="黑体"/>
          <w:highlight w:val="none"/>
        </w:rPr>
        <w:t>电流互感器技术要求</w:t>
      </w:r>
      <w:r>
        <w:tab/>
      </w:r>
      <w:r>
        <w:fldChar w:fldCharType="begin"/>
      </w:r>
      <w:r>
        <w:instrText xml:space="preserve"> PAGEREF _Toc3938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25"/>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_Toc32344 </w:instrText>
      </w:r>
      <w:r>
        <w:rPr>
          <w:rFonts w:hint="eastAsia" w:ascii="Times New Roman" w:hAnsi="Times New Roman" w:eastAsia="宋体" w:cs="黑体"/>
          <w:bCs/>
          <w:szCs w:val="24"/>
          <w:highlight w:val="none"/>
          <w:lang w:val="zh-CN"/>
        </w:rPr>
        <w:fldChar w:fldCharType="separate"/>
      </w:r>
      <w:r>
        <w:rPr>
          <w:rFonts w:hint="default" w:ascii="宋体" w:hAnsi="宋体" w:eastAsia="宋体" w:cs="宋体"/>
        </w:rPr>
        <w:t xml:space="preserve">5.4.9 </w:t>
      </w:r>
      <w:r>
        <w:rPr>
          <w:rFonts w:hint="eastAsia" w:ascii="Times New Roman" w:hAnsi="Times New Roman" w:eastAsia="宋体" w:cs="黑体"/>
          <w:highlight w:val="none"/>
        </w:rPr>
        <w:t>工作电源技术要求</w:t>
      </w:r>
      <w:r>
        <w:tab/>
      </w:r>
      <w:r>
        <w:fldChar w:fldCharType="begin"/>
      </w:r>
      <w:r>
        <w:instrText xml:space="preserve"> PAGEREF _Toc32344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_Toc15003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6　试验</w:t>
      </w:r>
      <w:r>
        <w:tab/>
      </w:r>
      <w:r>
        <w:fldChar w:fldCharType="begin"/>
      </w:r>
      <w:r>
        <w:instrText xml:space="preserve"> PAGEREF _Toc15003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_Toc9296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6</w:t>
      </w:r>
      <w:r>
        <w:rPr>
          <w:rFonts w:hint="eastAsia" w:ascii="Times New Roman" w:hAnsi="Times New Roman" w:eastAsia="宋体"/>
          <w:bCs/>
          <w:highlight w:val="none"/>
        </w:rPr>
        <w:t>.1</w:t>
      </w:r>
      <w:r>
        <w:rPr>
          <w:rFonts w:hint="eastAsia" w:ascii="Times New Roman" w:hAnsi="Times New Roman" w:eastAsia="宋体"/>
          <w:bCs/>
          <w:highlight w:val="none"/>
          <w:lang w:val="en-US" w:eastAsia="zh-CN"/>
        </w:rPr>
        <w:t xml:space="preserve"> </w:t>
      </w:r>
      <w:r>
        <w:rPr>
          <w:rFonts w:hint="eastAsia" w:ascii="Times New Roman" w:hAnsi="Times New Roman" w:eastAsia="宋体"/>
          <w:highlight w:val="none"/>
          <w:lang w:val="en-US" w:eastAsia="zh-CN"/>
        </w:rPr>
        <w:t xml:space="preserve"> </w:t>
      </w:r>
      <w:r>
        <w:rPr>
          <w:rFonts w:hint="eastAsia" w:ascii="Times New Roman" w:hAnsi="Times New Roman" w:eastAsia="宋体"/>
          <w:highlight w:val="none"/>
        </w:rPr>
        <w:t>试验要求</w:t>
      </w:r>
      <w:r>
        <w:tab/>
      </w:r>
      <w:r>
        <w:fldChar w:fldCharType="begin"/>
      </w:r>
      <w:r>
        <w:instrText xml:space="preserve"> PAGEREF _Toc9296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_Toc7651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6</w:t>
      </w:r>
      <w:r>
        <w:rPr>
          <w:rFonts w:hint="eastAsia" w:ascii="Times New Roman" w:hAnsi="Times New Roman" w:eastAsia="宋体"/>
          <w:bCs/>
          <w:highlight w:val="none"/>
        </w:rPr>
        <w:t>.2</w:t>
      </w:r>
      <w:r>
        <w:rPr>
          <w:rFonts w:hint="eastAsia" w:ascii="Times New Roman" w:hAnsi="Times New Roman" w:eastAsia="宋体"/>
          <w:highlight w:val="none"/>
          <w:lang w:val="en-US" w:eastAsia="zh-CN"/>
        </w:rPr>
        <w:t xml:space="preserve">  </w:t>
      </w:r>
      <w:r>
        <w:rPr>
          <w:rFonts w:hint="eastAsia" w:ascii="Times New Roman" w:hAnsi="Times New Roman" w:eastAsia="宋体"/>
          <w:highlight w:val="none"/>
        </w:rPr>
        <w:t>电气性能试验</w:t>
      </w:r>
      <w:r>
        <w:tab/>
      </w:r>
      <w:r>
        <w:fldChar w:fldCharType="begin"/>
      </w:r>
      <w:r>
        <w:instrText xml:space="preserve"> PAGEREF _Toc7651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_Toc5759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6</w:t>
      </w:r>
      <w:r>
        <w:rPr>
          <w:rFonts w:hint="eastAsia" w:ascii="Times New Roman" w:hAnsi="Times New Roman" w:eastAsia="宋体"/>
          <w:bCs/>
          <w:highlight w:val="none"/>
        </w:rPr>
        <w:t>.3</w:t>
      </w:r>
      <w:r>
        <w:rPr>
          <w:rFonts w:hint="eastAsia" w:ascii="Times New Roman" w:hAnsi="Times New Roman" w:eastAsia="宋体"/>
          <w:highlight w:val="none"/>
        </w:rPr>
        <w:t>　现场试验</w:t>
      </w:r>
      <w:r>
        <w:tab/>
      </w:r>
      <w:r>
        <w:fldChar w:fldCharType="begin"/>
      </w:r>
      <w:r>
        <w:instrText xml:space="preserve"> PAGEREF _Toc5759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_Toc8284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7　技术服务、设计联络、工厂检验和监造</w:t>
      </w:r>
      <w:r>
        <w:tab/>
      </w:r>
      <w:r>
        <w:fldChar w:fldCharType="begin"/>
      </w:r>
      <w:r>
        <w:instrText xml:space="preserve"> PAGEREF _Toc8284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_Toc31908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w:t>
      </w:r>
      <w:r>
        <w:rPr>
          <w:rFonts w:hint="eastAsia" w:ascii="Times New Roman" w:hAnsi="Times New Roman" w:eastAsia="宋体"/>
          <w:bCs/>
          <w:highlight w:val="none"/>
        </w:rPr>
        <w:t>.1</w:t>
      </w:r>
      <w:r>
        <w:rPr>
          <w:rFonts w:hint="eastAsia" w:ascii="Times New Roman" w:hAnsi="Times New Roman" w:eastAsia="宋体"/>
          <w:highlight w:val="none"/>
          <w:lang w:val="en-US" w:eastAsia="zh-CN"/>
        </w:rPr>
        <w:t xml:space="preserve">  </w:t>
      </w:r>
      <w:r>
        <w:rPr>
          <w:rFonts w:hint="eastAsia" w:ascii="Times New Roman" w:hAnsi="Times New Roman" w:eastAsia="宋体"/>
          <w:highlight w:val="none"/>
          <w:lang w:eastAsia="zh-CN"/>
        </w:rPr>
        <w:t>投标方</w:t>
      </w:r>
      <w:r>
        <w:rPr>
          <w:rFonts w:hint="eastAsia" w:ascii="Times New Roman" w:hAnsi="Times New Roman" w:eastAsia="宋体"/>
          <w:highlight w:val="none"/>
        </w:rPr>
        <w:t>提供的样本资料</w:t>
      </w:r>
      <w:r>
        <w:tab/>
      </w:r>
      <w:r>
        <w:fldChar w:fldCharType="begin"/>
      </w:r>
      <w:r>
        <w:instrText xml:space="preserve"> PAGEREF _Toc31908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_Toc15201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7.2</w:t>
      </w:r>
      <w:r>
        <w:rPr>
          <w:rFonts w:hint="eastAsia" w:ascii="Times New Roman" w:hAnsi="Times New Roman" w:eastAsia="宋体"/>
          <w:highlight w:val="none"/>
          <w:lang w:val="en-US" w:eastAsia="zh-CN"/>
        </w:rPr>
        <w:t xml:space="preserve">  技术资料、图纸和说明书格式</w:t>
      </w:r>
      <w:r>
        <w:tab/>
      </w:r>
      <w:r>
        <w:fldChar w:fldCharType="begin"/>
      </w:r>
      <w:r>
        <w:instrText xml:space="preserve"> PAGEREF _Toc15201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_Toc221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7.3</w:t>
      </w:r>
      <w:r>
        <w:rPr>
          <w:rFonts w:hint="eastAsia" w:ascii="Times New Roman" w:hAnsi="Times New Roman" w:eastAsia="宋体"/>
          <w:highlight w:val="none"/>
          <w:lang w:val="en-US" w:eastAsia="zh-CN"/>
        </w:rPr>
        <w:t xml:space="preserve">  供确认的图纸</w:t>
      </w:r>
      <w:r>
        <w:tab/>
      </w:r>
      <w:r>
        <w:fldChar w:fldCharType="begin"/>
      </w:r>
      <w:r>
        <w:instrText xml:space="preserve"> PAGEREF _Toc221 \h </w:instrText>
      </w:r>
      <w:r>
        <w:fldChar w:fldCharType="separate"/>
      </w:r>
      <w:r>
        <w:t>10</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_Toc30209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7.4</w:t>
      </w:r>
      <w:r>
        <w:rPr>
          <w:rFonts w:hint="eastAsia" w:ascii="Times New Roman" w:hAnsi="Times New Roman" w:eastAsia="宋体"/>
          <w:highlight w:val="none"/>
          <w:lang w:val="en-US" w:eastAsia="zh-CN"/>
        </w:rPr>
        <w:t>　设计联络会议</w:t>
      </w:r>
      <w:r>
        <w:tab/>
      </w:r>
      <w:r>
        <w:fldChar w:fldCharType="begin"/>
      </w:r>
      <w:r>
        <w:instrText xml:space="preserve"> PAGEREF _Toc30209 \h </w:instrText>
      </w:r>
      <w:r>
        <w:fldChar w:fldCharType="separate"/>
      </w:r>
      <w:r>
        <w:t>11</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_Toc9662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7.5</w:t>
      </w:r>
      <w:r>
        <w:rPr>
          <w:rFonts w:hint="eastAsia" w:ascii="Times New Roman" w:hAnsi="Times New Roman" w:eastAsia="宋体"/>
          <w:highlight w:val="none"/>
          <w:lang w:val="en-US" w:eastAsia="zh-CN"/>
        </w:rPr>
        <w:t>　使用方、投标方双方设计的图纸</w:t>
      </w:r>
      <w:r>
        <w:tab/>
      </w:r>
      <w:r>
        <w:fldChar w:fldCharType="begin"/>
      </w:r>
      <w:r>
        <w:instrText xml:space="preserve"> PAGEREF _Toc9662 \h </w:instrText>
      </w:r>
      <w:r>
        <w:fldChar w:fldCharType="separate"/>
      </w:r>
      <w:r>
        <w:t>11</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_Toc2359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7.6</w:t>
      </w:r>
      <w:r>
        <w:rPr>
          <w:rFonts w:hint="eastAsia" w:ascii="Times New Roman" w:hAnsi="Times New Roman" w:eastAsia="宋体"/>
          <w:highlight w:val="none"/>
          <w:lang w:val="en-US" w:eastAsia="zh-CN"/>
        </w:rPr>
        <w:t>　其他资料和说明书</w:t>
      </w:r>
      <w:r>
        <w:tab/>
      </w:r>
      <w:r>
        <w:fldChar w:fldCharType="begin"/>
      </w:r>
      <w:r>
        <w:instrText xml:space="preserve"> PAGEREF _Toc2359 \h </w:instrText>
      </w:r>
      <w:r>
        <w:fldChar w:fldCharType="separate"/>
      </w:r>
      <w:r>
        <w:t>11</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_Toc26153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7.7</w:t>
      </w:r>
      <w:r>
        <w:rPr>
          <w:rFonts w:hint="eastAsia" w:ascii="Times New Roman" w:hAnsi="Times New Roman" w:eastAsia="宋体"/>
          <w:highlight w:val="none"/>
          <w:lang w:val="en-US" w:eastAsia="zh-CN"/>
        </w:rPr>
        <w:t>　投标方提供的数据</w:t>
      </w:r>
      <w:r>
        <w:tab/>
      </w:r>
      <w:r>
        <w:fldChar w:fldCharType="begin"/>
      </w:r>
      <w:r>
        <w:instrText xml:space="preserve"> PAGEREF _Toc26153 \h </w:instrText>
      </w:r>
      <w:r>
        <w:fldChar w:fldCharType="separate"/>
      </w:r>
      <w:r>
        <w:t>11</w:t>
      </w:r>
      <w:r>
        <w:fldChar w:fldCharType="end"/>
      </w:r>
      <w:r>
        <w:rPr>
          <w:rFonts w:hint="eastAsia" w:ascii="Times New Roman" w:hAnsi="Times New Roman" w:eastAsia="宋体" w:cs="黑体"/>
          <w:bCs/>
          <w:color w:val="auto"/>
          <w:szCs w:val="24"/>
          <w:highlight w:val="none"/>
          <w:lang w:val="zh-CN"/>
        </w:rPr>
        <w:fldChar w:fldCharType="end"/>
      </w:r>
    </w:p>
    <w:p>
      <w:pPr>
        <w:pStyle w:val="41"/>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_Toc23278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bCs/>
          <w:highlight w:val="none"/>
          <w:lang w:val="en-US" w:eastAsia="zh-CN"/>
        </w:rPr>
        <w:t xml:space="preserve">7.8  </w:t>
      </w:r>
      <w:r>
        <w:rPr>
          <w:rFonts w:hint="eastAsia" w:ascii="Times New Roman" w:hAnsi="Times New Roman" w:eastAsia="宋体"/>
          <w:highlight w:val="none"/>
          <w:lang w:val="en-US" w:eastAsia="zh-CN"/>
        </w:rPr>
        <w:t>监造</w:t>
      </w:r>
      <w:r>
        <w:tab/>
      </w:r>
      <w:r>
        <w:fldChar w:fldCharType="begin"/>
      </w:r>
      <w:r>
        <w:instrText xml:space="preserve"> PAGEREF _Toc23278 \h </w:instrText>
      </w:r>
      <w:r>
        <w:fldChar w:fldCharType="separate"/>
      </w:r>
      <w:r>
        <w:t>11</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_Toc13506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8 现场验收</w:t>
      </w:r>
      <w:r>
        <w:tab/>
      </w:r>
      <w:r>
        <w:fldChar w:fldCharType="begin"/>
      </w:r>
      <w:r>
        <w:instrText xml:space="preserve"> PAGEREF _Toc13506 \h </w:instrText>
      </w:r>
      <w:r>
        <w:fldChar w:fldCharType="separate"/>
      </w:r>
      <w:r>
        <w:t>12</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_Toc11792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9 安装调试</w:t>
      </w:r>
      <w:r>
        <w:tab/>
      </w:r>
      <w:r>
        <w:fldChar w:fldCharType="begin"/>
      </w:r>
      <w:r>
        <w:instrText xml:space="preserve"> PAGEREF _Toc11792 \h </w:instrText>
      </w:r>
      <w:r>
        <w:fldChar w:fldCharType="separate"/>
      </w:r>
      <w:r>
        <w:t>12</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_Toc24633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10　质量保证</w:t>
      </w:r>
      <w:r>
        <w:tab/>
      </w:r>
      <w:r>
        <w:fldChar w:fldCharType="begin"/>
      </w:r>
      <w:r>
        <w:instrText xml:space="preserve"> PAGEREF _Toc24633 \h </w:instrText>
      </w:r>
      <w:r>
        <w:fldChar w:fldCharType="separate"/>
      </w:r>
      <w:r>
        <w:t>12</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_Toc6197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11  售后服务</w:t>
      </w:r>
      <w:r>
        <w:tab/>
      </w:r>
      <w:r>
        <w:fldChar w:fldCharType="begin"/>
      </w:r>
      <w:r>
        <w:instrText xml:space="preserve"> PAGEREF _Toc6197 \h </w:instrText>
      </w:r>
      <w:r>
        <w:fldChar w:fldCharType="separate"/>
      </w:r>
      <w:r>
        <w:t>12</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_Toc19142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12  投标产品主要组部件材料</w:t>
      </w:r>
      <w:r>
        <w:tab/>
      </w:r>
      <w:r>
        <w:fldChar w:fldCharType="begin"/>
      </w:r>
      <w:r>
        <w:instrText xml:space="preserve"> PAGEREF _Toc19142 \h </w:instrText>
      </w:r>
      <w:r>
        <w:fldChar w:fldCharType="separate"/>
      </w:r>
      <w:r>
        <w:t>13</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_Toc4531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Times New Roman"/>
          <w:bCs/>
          <w:snapToGrid w:val="0"/>
          <w:kern w:val="0"/>
          <w:szCs w:val="21"/>
          <w:highlight w:val="none"/>
          <w:lang w:val="en-US" w:eastAsia="zh-CN" w:bidi="ar-SA"/>
        </w:rPr>
        <w:t>13  推荐的备品备件、专用工具和仪器仪表供货</w:t>
      </w:r>
      <w:r>
        <w:tab/>
      </w:r>
      <w:r>
        <w:fldChar w:fldCharType="begin"/>
      </w:r>
      <w:r>
        <w:instrText xml:space="preserve"> PAGEREF _Toc4531 \h </w:instrText>
      </w:r>
      <w:r>
        <w:fldChar w:fldCharType="separate"/>
      </w:r>
      <w:r>
        <w:t>13</w:t>
      </w:r>
      <w:r>
        <w:fldChar w:fldCharType="end"/>
      </w:r>
      <w:r>
        <w:rPr>
          <w:rFonts w:hint="eastAsia" w:ascii="Times New Roman" w:hAnsi="Times New Roman" w:eastAsia="宋体" w:cs="黑体"/>
          <w:bCs/>
          <w:color w:val="auto"/>
          <w:szCs w:val="24"/>
          <w:highlight w:val="none"/>
          <w:lang w:val="zh-CN"/>
        </w:rPr>
        <w:fldChar w:fldCharType="end"/>
      </w:r>
    </w:p>
    <w:p>
      <w:pPr>
        <w:pStyle w:val="35"/>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eastAsia" w:ascii="Times New Roman" w:hAnsi="Times New Roman" w:eastAsia="宋体" w:cs="黑体"/>
          <w:bCs/>
          <w:color w:val="auto"/>
          <w:szCs w:val="24"/>
          <w:highlight w:val="none"/>
          <w:lang w:val="zh-CN"/>
        </w:rPr>
        <w:fldChar w:fldCharType="begin"/>
      </w:r>
      <w:r>
        <w:rPr>
          <w:rFonts w:hint="eastAsia" w:ascii="Times New Roman" w:hAnsi="Times New Roman" w:eastAsia="宋体" w:cs="黑体"/>
          <w:bCs/>
          <w:szCs w:val="24"/>
          <w:highlight w:val="none"/>
          <w:lang w:val="zh-CN"/>
        </w:rPr>
        <w:instrText xml:space="preserve"> HYPERLINK \l _Toc5760 </w:instrText>
      </w:r>
      <w:r>
        <w:rPr>
          <w:rFonts w:hint="eastAsia" w:ascii="Times New Roman" w:hAnsi="Times New Roman" w:eastAsia="宋体" w:cs="黑体"/>
          <w:bCs/>
          <w:szCs w:val="24"/>
          <w:highlight w:val="none"/>
          <w:lang w:val="zh-CN"/>
        </w:rPr>
        <w:fldChar w:fldCharType="separate"/>
      </w:r>
      <w:r>
        <w:rPr>
          <w:rFonts w:hint="eastAsia" w:ascii="Times New Roman" w:hAnsi="Times New Roman" w:eastAsia="宋体" w:cs="宋体"/>
          <w:bCs/>
          <w:snapToGrid w:val="0"/>
          <w:kern w:val="0"/>
          <w:szCs w:val="21"/>
          <w:highlight w:val="none"/>
          <w:lang w:val="en-US" w:eastAsia="zh-CN" w:bidi="ar-SA"/>
        </w:rPr>
        <w:t xml:space="preserve">14  </w:t>
      </w:r>
      <w:r>
        <w:rPr>
          <w:rFonts w:hint="eastAsia" w:ascii="Times New Roman" w:hAnsi="Times New Roman" w:eastAsia="宋体" w:cs="宋体"/>
          <w:kern w:val="44"/>
          <w:szCs w:val="21"/>
          <w:highlight w:val="none"/>
          <w:lang w:val="en-US" w:eastAsia="zh-CN" w:bidi="ar-SA"/>
        </w:rPr>
        <w:t>投标技术偏差表格</w:t>
      </w:r>
      <w:r>
        <w:tab/>
      </w:r>
      <w:r>
        <w:fldChar w:fldCharType="begin"/>
      </w:r>
      <w:r>
        <w:instrText xml:space="preserve"> PAGEREF _Toc5760 \h </w:instrText>
      </w:r>
      <w:r>
        <w:fldChar w:fldCharType="separate"/>
      </w:r>
      <w:r>
        <w:t>13</w:t>
      </w:r>
      <w:r>
        <w:fldChar w:fldCharType="end"/>
      </w:r>
      <w:r>
        <w:rPr>
          <w:rFonts w:hint="eastAsia" w:ascii="Times New Roman" w:hAnsi="Times New Roman" w:eastAsia="宋体" w:cs="黑体"/>
          <w:bCs/>
          <w:color w:val="auto"/>
          <w:szCs w:val="24"/>
          <w:highlight w:val="none"/>
          <w:lang w:val="zh-CN"/>
        </w:rPr>
        <w:fldChar w:fldCharType="end"/>
      </w:r>
    </w:p>
    <w:p>
      <w:pPr>
        <w:spacing w:line="276" w:lineRule="auto"/>
        <w:rPr>
          <w:rFonts w:ascii="Times New Roman" w:hAnsi="Times New Roman" w:eastAsia="宋体"/>
          <w:color w:val="auto"/>
          <w:sz w:val="24"/>
          <w:szCs w:val="24"/>
          <w:highlight w:val="none"/>
        </w:rPr>
      </w:pPr>
      <w:r>
        <w:rPr>
          <w:rFonts w:hint="eastAsia" w:ascii="Times New Roman" w:hAnsi="Times New Roman" w:eastAsia="宋体" w:cs="黑体"/>
          <w:bCs/>
          <w:color w:val="auto"/>
          <w:szCs w:val="24"/>
          <w:highlight w:val="none"/>
          <w:lang w:val="zh-CN"/>
        </w:rPr>
        <w:fldChar w:fldCharType="end"/>
      </w:r>
    </w:p>
    <w:p>
      <w:pPr>
        <w:pStyle w:val="84"/>
        <w:ind w:left="0" w:firstLine="0"/>
        <w:jc w:val="both"/>
        <w:outlineLvl w:val="9"/>
        <w:rPr>
          <w:rFonts w:ascii="Times New Roman" w:hAnsi="Times New Roman" w:eastAsia="宋体"/>
          <w:color w:val="auto"/>
          <w:sz w:val="28"/>
          <w:szCs w:val="28"/>
          <w:highlight w:val="none"/>
        </w:rPr>
      </w:pPr>
    </w:p>
    <w:p>
      <w:pPr>
        <w:pStyle w:val="86"/>
        <w:spacing w:before="156" w:beforeLines="50" w:line="240" w:lineRule="auto"/>
        <w:ind w:firstLine="560"/>
        <w:rPr>
          <w:rFonts w:ascii="Times New Roman" w:hAnsi="Times New Roman" w:eastAsia="宋体"/>
          <w:color w:val="auto"/>
          <w:sz w:val="28"/>
          <w:szCs w:val="28"/>
          <w:highlight w:val="none"/>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355"/>
        <w:keepNext w:val="0"/>
        <w:keepLines w:val="0"/>
        <w:pageBreakBefore w:val="0"/>
        <w:widowControl w:val="0"/>
        <w:kinsoku/>
        <w:wordWrap/>
        <w:overflowPunct/>
        <w:topLinePunct/>
        <w:autoSpaceDE/>
        <w:autoSpaceDN/>
        <w:bidi w:val="0"/>
        <w:spacing w:line="400" w:lineRule="exact"/>
        <w:textAlignment w:val="auto"/>
        <w:outlineLvl w:val="0"/>
        <w:rPr>
          <w:rFonts w:hint="eastAsia" w:ascii="Times New Roman" w:hAnsi="Times New Roman" w:eastAsia="宋体" w:cs="宋体"/>
          <w:b/>
          <w:bCs/>
          <w:snapToGrid w:val="0"/>
          <w:color w:val="auto"/>
          <w:kern w:val="0"/>
          <w:sz w:val="21"/>
          <w:szCs w:val="21"/>
          <w:highlight w:val="none"/>
        </w:rPr>
      </w:pPr>
      <w:bookmarkStart w:id="3" w:name="_Toc112999467"/>
      <w:bookmarkStart w:id="4" w:name="_Toc21837"/>
      <w:bookmarkStart w:id="5" w:name="_Toc6818"/>
      <w:bookmarkStart w:id="6" w:name="_Toc22337"/>
      <w:bookmarkStart w:id="7" w:name="_Toc247855636"/>
      <w:bookmarkStart w:id="8" w:name="_Toc26348"/>
      <w:bookmarkStart w:id="9" w:name="_Toc252534613"/>
      <w:bookmarkStart w:id="10" w:name="_Toc256370329"/>
      <w:bookmarkStart w:id="11" w:name="_Toc21244"/>
      <w:bookmarkStart w:id="12" w:name="_Toc9389"/>
      <w:r>
        <w:rPr>
          <w:rFonts w:hint="eastAsia" w:ascii="Times New Roman" w:hAnsi="Times New Roman" w:eastAsia="宋体" w:cs="宋体"/>
          <w:b/>
          <w:bCs/>
          <w:snapToGrid w:val="0"/>
          <w:color w:val="auto"/>
          <w:kern w:val="0"/>
          <w:sz w:val="21"/>
          <w:szCs w:val="21"/>
          <w:highlight w:val="none"/>
        </w:rPr>
        <w:t>1</w:t>
      </w:r>
      <w:bookmarkEnd w:id="3"/>
      <w:r>
        <w:rPr>
          <w:rFonts w:hint="eastAsia" w:ascii="Times New Roman" w:hAnsi="Times New Roman" w:eastAsia="宋体" w:cs="宋体"/>
          <w:b/>
          <w:bCs/>
          <w:snapToGrid w:val="0"/>
          <w:color w:val="auto"/>
          <w:kern w:val="0"/>
          <w:sz w:val="21"/>
          <w:szCs w:val="21"/>
          <w:highlight w:val="none"/>
        </w:rPr>
        <w:t>　总则</w:t>
      </w:r>
      <w:bookmarkEnd w:id="4"/>
      <w:bookmarkEnd w:id="5"/>
      <w:bookmarkEnd w:id="6"/>
      <w:bookmarkEnd w:id="7"/>
      <w:bookmarkEnd w:id="8"/>
      <w:bookmarkEnd w:id="9"/>
      <w:bookmarkEnd w:id="10"/>
      <w:bookmarkEnd w:id="11"/>
      <w:bookmarkEnd w:id="12"/>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lang w:val="en-US"/>
        </w:rPr>
        <w:t>1.1</w:t>
      </w:r>
      <w:r>
        <w:rPr>
          <w:rFonts w:hint="eastAsia" w:ascii="Times New Roman" w:hAnsi="Times New Roman" w:eastAsia="宋体" w:cs="宋体"/>
          <w:color w:val="auto"/>
          <w:sz w:val="21"/>
          <w:szCs w:val="21"/>
          <w:highlight w:val="none"/>
        </w:rPr>
        <w:t xml:space="preserve"> 本</w:t>
      </w:r>
      <w:r>
        <w:rPr>
          <w:rFonts w:hint="eastAsia" w:ascii="Times New Roman" w:hAnsi="Times New Roman" w:eastAsia="宋体" w:cs="宋体"/>
          <w:color w:val="auto"/>
          <w:sz w:val="21"/>
          <w:szCs w:val="21"/>
          <w:highlight w:val="none"/>
          <w:lang w:eastAsia="zh-CN"/>
        </w:rPr>
        <w:t>技术规范书适用于云南</w:t>
      </w:r>
      <w:r>
        <w:rPr>
          <w:rFonts w:hint="eastAsia" w:ascii="Times New Roman" w:hAnsi="Times New Roman" w:eastAsia="宋体" w:cs="宋体"/>
          <w:color w:val="auto"/>
          <w:sz w:val="21"/>
          <w:szCs w:val="21"/>
          <w:highlight w:val="none"/>
        </w:rPr>
        <w:t>电网</w:t>
      </w:r>
      <w:r>
        <w:rPr>
          <w:rFonts w:hint="eastAsia" w:ascii="Times New Roman" w:hAnsi="Times New Roman" w:eastAsia="宋体" w:cs="宋体"/>
          <w:color w:val="auto"/>
          <w:sz w:val="21"/>
          <w:szCs w:val="21"/>
          <w:highlight w:val="none"/>
          <w:lang w:eastAsia="zh-CN"/>
        </w:rPr>
        <w:t>有限责任公司</w:t>
      </w:r>
      <w:r>
        <w:rPr>
          <w:rFonts w:hint="eastAsia" w:ascii="Times New Roman" w:hAnsi="Times New Roman" w:eastAsia="宋体" w:cs="宋体"/>
          <w:color w:val="auto"/>
          <w:sz w:val="21"/>
          <w:szCs w:val="21"/>
          <w:highlight w:val="none"/>
        </w:rPr>
        <w:t>采购的</w:t>
      </w:r>
      <w:r>
        <w:rPr>
          <w:rFonts w:hint="eastAsia" w:ascii="Times New Roman" w:hAnsi="Times New Roman" w:eastAsia="宋体" w:cs="宋体"/>
          <w:color w:val="auto"/>
          <w:sz w:val="21"/>
          <w:szCs w:val="21"/>
          <w:highlight w:val="none"/>
          <w:lang w:eastAsia="zh-CN"/>
        </w:rPr>
        <w:t>10kV馈线自动调压器</w:t>
      </w:r>
      <w:r>
        <w:rPr>
          <w:rFonts w:hint="eastAsia" w:ascii="Times New Roman" w:hAnsi="Times New Roman" w:eastAsia="宋体" w:cs="宋体"/>
          <w:color w:val="auto"/>
          <w:sz w:val="21"/>
          <w:szCs w:val="21"/>
          <w:highlight w:val="none"/>
        </w:rPr>
        <w:t>，它提出了该设备的使用条件、技术要求、试验方法、检验规则、标志及包装等方面的技术要求。</w:t>
      </w:r>
    </w:p>
    <w:p>
      <w:pPr>
        <w:pStyle w:val="26"/>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rPr>
        <w:t>1.2</w:t>
      </w:r>
      <w:r>
        <w:rPr>
          <w:rFonts w:hint="eastAsia" w:ascii="Times New Roman" w:hAnsi="Times New Roman" w:eastAsia="宋体" w:cs="宋体"/>
          <w:color w:val="auto"/>
          <w:sz w:val="21"/>
          <w:szCs w:val="21"/>
          <w:highlight w:val="none"/>
        </w:rPr>
        <w:t>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提出的是最低限度的技术要求。凡本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中未规定，但在相关设备的行业标准、国家标准或IEC标准中有规定的规范条文，投标方应按相应标准的条文进行设备设计、制造、试验和安装。对国家有关安全、环保等强制性标准，必须满足其要求。</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1.3 如果投标方没有以书面形式对本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的条文提出异议，则意味着投标方提供的设备完全符合本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的要求。如有异议，不管是多么微小，都应在</w:t>
      </w:r>
      <w:r>
        <w:rPr>
          <w:rFonts w:hint="eastAsia" w:ascii="Times New Roman" w:hAnsi="Times New Roman" w:eastAsia="宋体" w:cs="宋体"/>
          <w:color w:val="auto"/>
          <w:sz w:val="21"/>
          <w:szCs w:val="21"/>
          <w:highlight w:val="none"/>
          <w:lang w:val="en-US" w:eastAsia="zh-CN"/>
        </w:rPr>
        <w:t>投标文件</w:t>
      </w:r>
      <w:r>
        <w:rPr>
          <w:rFonts w:hint="eastAsia" w:ascii="Times New Roman" w:hAnsi="Times New Roman" w:eastAsia="宋体" w:cs="宋体"/>
          <w:color w:val="auto"/>
          <w:sz w:val="21"/>
          <w:szCs w:val="21"/>
          <w:highlight w:val="none"/>
        </w:rPr>
        <w:t>中详细描述。</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lang w:val="en-US"/>
        </w:rPr>
        <w:t xml:space="preserve">1.4 </w:t>
      </w:r>
      <w:r>
        <w:rPr>
          <w:rFonts w:hint="eastAsia" w:ascii="Times New Roman" w:hAnsi="Times New Roman" w:eastAsia="宋体" w:cs="宋体"/>
          <w:color w:val="auto"/>
          <w:sz w:val="21"/>
          <w:szCs w:val="21"/>
          <w:highlight w:val="none"/>
        </w:rPr>
        <w:t>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所使用的标准如遇与投标方所执行的标准不一致时，按较高标准执行。</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lang w:val="en-US"/>
        </w:rPr>
        <w:t xml:space="preserve">1.5 </w:t>
      </w:r>
      <w:r>
        <w:rPr>
          <w:rFonts w:hint="eastAsia" w:ascii="Times New Roman" w:hAnsi="Times New Roman" w:eastAsia="宋体" w:cs="宋体"/>
          <w:color w:val="auto"/>
          <w:sz w:val="21"/>
          <w:szCs w:val="21"/>
          <w:highlight w:val="none"/>
        </w:rPr>
        <w:t>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经招、投标双方确认后作为订货合同的技术附件，与合同正文具有同等的法律效力。</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lang w:val="en-US"/>
        </w:rPr>
        <w:t xml:space="preserve">1.6 </w:t>
      </w:r>
      <w:r>
        <w:rPr>
          <w:rFonts w:hint="eastAsia" w:ascii="Times New Roman" w:hAnsi="Times New Roman" w:eastAsia="宋体" w:cs="宋体"/>
          <w:color w:val="auto"/>
          <w:sz w:val="21"/>
          <w:szCs w:val="21"/>
          <w:highlight w:val="none"/>
        </w:rPr>
        <w:t>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未尽事宜，由招、投方双方协商确定。</w:t>
      </w:r>
    </w:p>
    <w:p>
      <w:pPr>
        <w:pStyle w:val="26"/>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rPr>
        <w:t xml:space="preserve">1.7 </w:t>
      </w:r>
      <w:r>
        <w:rPr>
          <w:rFonts w:hint="eastAsia" w:ascii="Times New Roman" w:hAnsi="Times New Roman" w:eastAsia="宋体" w:cs="宋体"/>
          <w:color w:val="auto"/>
          <w:sz w:val="21"/>
          <w:szCs w:val="21"/>
          <w:highlight w:val="none"/>
        </w:rPr>
        <w:t>投标方在应标</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中应如实反映应标产品与本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的技术差异。如果投标方没有提出技术差异，而在执行合同的过程中，招标方发现投标方提供的产品与其应标</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的条文存在差异，招标方有权利要求退货，并将对下一年度的评标工作有不同程度的影响。</w:t>
      </w:r>
    </w:p>
    <w:p>
      <w:pPr>
        <w:pStyle w:val="26"/>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rPr>
        <w:t>1.8</w:t>
      </w:r>
      <w:r>
        <w:rPr>
          <w:rFonts w:hint="eastAsia" w:ascii="Times New Roman" w:hAnsi="Times New Roman" w:eastAsia="宋体" w:cs="宋体"/>
          <w:color w:val="auto"/>
          <w:sz w:val="21"/>
          <w:szCs w:val="21"/>
          <w:highlight w:val="none"/>
        </w:rPr>
        <w:t xml:space="preserve"> 投标方应在应标技术部分按本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的要求如实详细填写应标设备的标准配置表，并在应标商务部分按此标准配置进行报价，如发现二者有矛盾之处，将对评标工作有不同程度的影响。</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Style w:val="356"/>
          <w:rFonts w:hint="eastAsia" w:ascii="Times New Roman" w:hAnsi="Times New Roman" w:eastAsia="宋体" w:cs="宋体"/>
          <w:color w:val="auto"/>
          <w:sz w:val="21"/>
          <w:szCs w:val="21"/>
          <w:highlight w:val="none"/>
          <w:lang w:val="en-US"/>
        </w:rPr>
        <w:t>1.9</w:t>
      </w:r>
      <w:r>
        <w:rPr>
          <w:rFonts w:hint="eastAsia" w:ascii="Times New Roman" w:hAnsi="Times New Roman" w:eastAsia="宋体" w:cs="宋体"/>
          <w:color w:val="auto"/>
          <w:sz w:val="21"/>
          <w:szCs w:val="21"/>
          <w:highlight w:val="none"/>
        </w:rPr>
        <w:t xml:space="preserve"> 投标方应充分理解本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并按本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的具体条款、格式要求填写应标的技术文件，如发现应标的技术文件条款、格式不符合本</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的要求，则认为应标不严肃，在评标时将有不同程度的扣分。</w:t>
      </w:r>
    </w:p>
    <w:p>
      <w:pPr>
        <w:keepNext w:val="0"/>
        <w:keepLines w:val="0"/>
        <w:pageBreakBefore w:val="0"/>
        <w:widowControl w:val="0"/>
        <w:kinsoku/>
        <w:wordWrap/>
        <w:overflowPunct/>
        <w:autoSpaceDE/>
        <w:autoSpaceDN/>
        <w:bidi w:val="0"/>
        <w:snapToGrid w:val="0"/>
        <w:spacing w:line="400" w:lineRule="exact"/>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1.10</w:t>
      </w:r>
      <w:r>
        <w:rPr>
          <w:rFonts w:hint="eastAsia" w:ascii="Times New Roman" w:hAnsi="Times New Roman" w:eastAsia="宋体" w:cs="宋体"/>
          <w:color w:val="auto"/>
          <w:sz w:val="21"/>
          <w:szCs w:val="21"/>
          <w:highlight w:val="none"/>
          <w:lang w:val="en-US" w:eastAsia="zh-CN"/>
        </w:rPr>
        <w:t xml:space="preserve"> </w:t>
      </w:r>
      <w:r>
        <w:rPr>
          <w:rFonts w:hint="eastAsia" w:ascii="Times New Roman" w:hAnsi="Times New Roman" w:eastAsia="宋体" w:cs="宋体"/>
          <w:color w:val="auto"/>
          <w:sz w:val="21"/>
          <w:szCs w:val="21"/>
          <w:highlight w:val="none"/>
        </w:rPr>
        <w:t>本技术规范书中带有“★”符号的为关键技术参数指标。</w:t>
      </w:r>
    </w:p>
    <w:p>
      <w:pPr>
        <w:pStyle w:val="355"/>
        <w:keepNext w:val="0"/>
        <w:keepLines w:val="0"/>
        <w:pageBreakBefore w:val="0"/>
        <w:widowControl w:val="0"/>
        <w:numPr>
          <w:ilvl w:val="0"/>
          <w:numId w:val="9"/>
        </w:numPr>
        <w:kinsoku/>
        <w:wordWrap/>
        <w:overflowPunct/>
        <w:topLinePunct/>
        <w:autoSpaceDE/>
        <w:autoSpaceDN/>
        <w:bidi w:val="0"/>
        <w:spacing w:line="400" w:lineRule="exact"/>
        <w:textAlignment w:val="auto"/>
        <w:outlineLvl w:val="0"/>
        <w:rPr>
          <w:rFonts w:hint="eastAsia" w:ascii="Times New Roman" w:hAnsi="Times New Roman" w:eastAsia="宋体" w:cs="宋体"/>
          <w:b/>
          <w:bCs/>
          <w:snapToGrid w:val="0"/>
          <w:color w:val="auto"/>
          <w:kern w:val="0"/>
          <w:sz w:val="21"/>
          <w:szCs w:val="21"/>
          <w:highlight w:val="none"/>
          <w:lang w:val="en-US" w:eastAsia="zh-CN"/>
        </w:rPr>
      </w:pPr>
      <w:bookmarkStart w:id="13" w:name="_Toc13619"/>
      <w:bookmarkStart w:id="14" w:name="_Toc7576"/>
      <w:bookmarkStart w:id="15" w:name="_Toc3246"/>
      <w:bookmarkStart w:id="16" w:name="_Toc12150"/>
      <w:r>
        <w:rPr>
          <w:rFonts w:hint="eastAsia" w:ascii="Times New Roman" w:hAnsi="Times New Roman" w:eastAsia="宋体" w:cs="宋体"/>
          <w:b/>
          <w:bCs/>
          <w:snapToGrid w:val="0"/>
          <w:color w:val="auto"/>
          <w:kern w:val="0"/>
          <w:sz w:val="21"/>
          <w:szCs w:val="21"/>
          <w:highlight w:val="none"/>
          <w:lang w:val="en-US" w:eastAsia="zh-CN"/>
        </w:rPr>
        <w:t>工作范围</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val="0"/>
        <w:spacing w:line="400" w:lineRule="exact"/>
        <w:ind w:right="0" w:rightChars="0" w:firstLine="420" w:firstLineChars="200"/>
        <w:jc w:val="both"/>
        <w:textAlignment w:val="auto"/>
        <w:outlineLvl w:val="9"/>
        <w:rPr>
          <w:rStyle w:val="356"/>
          <w:rFonts w:hint="eastAsia" w:ascii="Times New Roman" w:hAnsi="Times New Roman" w:eastAsia="宋体" w:cs="宋体"/>
          <w:color w:val="auto"/>
          <w:sz w:val="21"/>
          <w:szCs w:val="21"/>
          <w:highlight w:val="none"/>
          <w:lang w:val="en-US" w:eastAsia="zh-CN"/>
        </w:rPr>
      </w:pPr>
      <w:r>
        <w:rPr>
          <w:rStyle w:val="356"/>
          <w:rFonts w:hint="eastAsia" w:ascii="Times New Roman" w:hAnsi="Times New Roman" w:eastAsia="宋体" w:cs="宋体"/>
          <w:color w:val="auto"/>
          <w:sz w:val="21"/>
          <w:szCs w:val="21"/>
          <w:highlight w:val="none"/>
          <w:lang w:val="en-US" w:eastAsia="zh-CN"/>
        </w:rPr>
        <w:t>本技术规范书适应于云南电网有限责任公司所属10kV馈线自动调压器及其附属设备的设计、制造、装配、工厂试验、交付、现场安装和试验，以及试运行与运维的指导、监督工作。</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2.1 投标方的工作范围将包括下列内容，但不仅仅限于此内容：</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 提供技术规范内所有设备及设计说明书及制造方面的说明。</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2） 提供国家认可试验室出具的产品型式试验报告，或国家认可试验室出具的含有产品型式试验内容的检验/检测报告，以便确认供货设备能否满足所有的性能要求。</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3） 提供设备安装、使用的说明书。</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4） 提供试验和检验的标准，包括试验报告和试验数据。</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5） 提供图纸、制造和质量保证过程的一览表以及</w:t>
      </w:r>
      <w:r>
        <w:rPr>
          <w:rFonts w:hint="eastAsia" w:ascii="Times New Roman" w:hAnsi="Times New Roman" w:eastAsia="宋体" w:cs="宋体"/>
          <w:color w:val="auto"/>
          <w:sz w:val="21"/>
          <w:szCs w:val="21"/>
          <w:highlight w:val="none"/>
          <w:lang w:eastAsia="zh-CN"/>
        </w:rPr>
        <w:t>技术规范书</w:t>
      </w:r>
      <w:r>
        <w:rPr>
          <w:rFonts w:hint="eastAsia" w:ascii="Times New Roman" w:hAnsi="Times New Roman" w:eastAsia="宋体" w:cs="宋体"/>
          <w:color w:val="auto"/>
          <w:sz w:val="21"/>
          <w:szCs w:val="21"/>
          <w:highlight w:val="none"/>
        </w:rPr>
        <w:t>规定的其他资料。</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6） 提供设备管理和运行所需有关资料。</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7） 所提供设备应发运到规定的目的地。</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8） 如</w:t>
      </w:r>
      <w:r>
        <w:rPr>
          <w:rFonts w:hint="eastAsia" w:ascii="Times New Roman" w:hAnsi="Times New Roman" w:eastAsia="宋体" w:cs="宋体"/>
          <w:color w:val="auto"/>
          <w:sz w:val="21"/>
          <w:szCs w:val="21"/>
          <w:highlight w:val="none"/>
          <w:lang w:eastAsia="zh-CN"/>
        </w:rPr>
        <w:t>投标方</w:t>
      </w:r>
      <w:r>
        <w:rPr>
          <w:rFonts w:hint="eastAsia" w:ascii="Times New Roman" w:hAnsi="Times New Roman" w:eastAsia="宋体" w:cs="宋体"/>
          <w:color w:val="auto"/>
          <w:sz w:val="21"/>
          <w:szCs w:val="21"/>
          <w:highlight w:val="none"/>
        </w:rPr>
        <w:t>标准、规范与本技术规范有明显的冲突，则</w:t>
      </w:r>
      <w:r>
        <w:rPr>
          <w:rFonts w:hint="eastAsia" w:ascii="Times New Roman" w:hAnsi="Times New Roman" w:eastAsia="宋体" w:cs="宋体"/>
          <w:color w:val="auto"/>
          <w:sz w:val="21"/>
          <w:szCs w:val="21"/>
          <w:highlight w:val="none"/>
          <w:lang w:eastAsia="zh-CN"/>
        </w:rPr>
        <w:t>投标方</w:t>
      </w:r>
      <w:r>
        <w:rPr>
          <w:rFonts w:hint="eastAsia" w:ascii="Times New Roman" w:hAnsi="Times New Roman" w:eastAsia="宋体" w:cs="宋体"/>
          <w:color w:val="auto"/>
          <w:sz w:val="21"/>
          <w:szCs w:val="21"/>
          <w:highlight w:val="none"/>
        </w:rPr>
        <w:t>应在制造设备前，用书面形式将冲突和解决办法告知</w:t>
      </w:r>
      <w:r>
        <w:rPr>
          <w:rFonts w:hint="eastAsia" w:ascii="Times New Roman" w:hAnsi="Times New Roman" w:eastAsia="宋体" w:cs="宋体"/>
          <w:color w:val="auto"/>
          <w:sz w:val="21"/>
          <w:szCs w:val="21"/>
          <w:highlight w:val="none"/>
          <w:lang w:eastAsia="zh-CN"/>
        </w:rPr>
        <w:t>招标方</w:t>
      </w:r>
      <w:r>
        <w:rPr>
          <w:rFonts w:hint="eastAsia" w:ascii="Times New Roman" w:hAnsi="Times New Roman" w:eastAsia="宋体" w:cs="宋体"/>
          <w:color w:val="auto"/>
          <w:sz w:val="21"/>
          <w:szCs w:val="21"/>
          <w:highlight w:val="none"/>
        </w:rPr>
        <w:t>，并经</w:t>
      </w:r>
      <w:r>
        <w:rPr>
          <w:rFonts w:hint="eastAsia" w:ascii="Times New Roman" w:hAnsi="Times New Roman" w:eastAsia="宋体" w:cs="宋体"/>
          <w:color w:val="auto"/>
          <w:sz w:val="21"/>
          <w:szCs w:val="21"/>
          <w:highlight w:val="none"/>
          <w:lang w:eastAsia="zh-CN"/>
        </w:rPr>
        <w:t>招标方</w:t>
      </w:r>
      <w:r>
        <w:rPr>
          <w:rFonts w:hint="eastAsia" w:ascii="Times New Roman" w:hAnsi="Times New Roman" w:eastAsia="宋体" w:cs="宋体"/>
          <w:color w:val="auto"/>
          <w:sz w:val="21"/>
          <w:szCs w:val="21"/>
          <w:highlight w:val="none"/>
        </w:rPr>
        <w:t>确认后，才能进行设备制造。</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9） 在更换所用的准则、标准、规程或修改设备技术数据时，</w:t>
      </w:r>
      <w:r>
        <w:rPr>
          <w:rFonts w:hint="eastAsia" w:ascii="Times New Roman" w:hAnsi="Times New Roman" w:eastAsia="宋体" w:cs="宋体"/>
          <w:color w:val="auto"/>
          <w:sz w:val="21"/>
          <w:szCs w:val="21"/>
          <w:highlight w:val="none"/>
          <w:lang w:eastAsia="zh-CN"/>
        </w:rPr>
        <w:t>投标方</w:t>
      </w:r>
      <w:r>
        <w:rPr>
          <w:rFonts w:hint="eastAsia" w:ascii="Times New Roman" w:hAnsi="Times New Roman" w:eastAsia="宋体" w:cs="宋体"/>
          <w:color w:val="auto"/>
          <w:sz w:val="21"/>
          <w:szCs w:val="21"/>
          <w:highlight w:val="none"/>
        </w:rPr>
        <w:t>有责任接受</w:t>
      </w:r>
      <w:r>
        <w:rPr>
          <w:rFonts w:hint="eastAsia" w:ascii="Times New Roman" w:hAnsi="Times New Roman" w:eastAsia="宋体" w:cs="宋体"/>
          <w:color w:val="auto"/>
          <w:sz w:val="21"/>
          <w:szCs w:val="21"/>
          <w:highlight w:val="none"/>
          <w:lang w:eastAsia="zh-CN"/>
        </w:rPr>
        <w:t>招标方</w:t>
      </w:r>
      <w:r>
        <w:rPr>
          <w:rFonts w:hint="eastAsia" w:ascii="Times New Roman" w:hAnsi="Times New Roman" w:eastAsia="宋体" w:cs="宋体"/>
          <w:color w:val="auto"/>
          <w:sz w:val="21"/>
          <w:szCs w:val="21"/>
          <w:highlight w:val="none"/>
        </w:rPr>
        <w:t>的选择。</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10）现场服务。</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2.2 供货范围</w:t>
      </w:r>
      <w:bookmarkStart w:id="17" w:name="_Toc282433715"/>
      <w:bookmarkStart w:id="18" w:name="_Toc283142589"/>
      <w:bookmarkStart w:id="19" w:name="_Toc283011667"/>
      <w:r>
        <w:rPr>
          <w:rStyle w:val="356"/>
          <w:rFonts w:hint="eastAsia" w:ascii="Times New Roman" w:hAnsi="Times New Roman" w:eastAsia="宋体" w:cs="宋体"/>
          <w:b w:val="0"/>
          <w:bCs/>
          <w:color w:val="auto"/>
          <w:highlight w:val="none"/>
          <w:lang w:val="en-US" w:eastAsia="zh-CN"/>
        </w:rPr>
        <w:t>一览表</w:t>
      </w:r>
      <w:bookmarkEnd w:id="17"/>
      <w:bookmarkEnd w:id="18"/>
      <w:bookmarkEnd w:id="19"/>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lang w:val="en-US" w:eastAsia="zh-CN"/>
        </w:rPr>
        <w:t>1）</w:t>
      </w:r>
      <w:r>
        <w:rPr>
          <w:rFonts w:hint="eastAsia" w:ascii="Times New Roman" w:hAnsi="Times New Roman" w:eastAsia="宋体" w:cs="宋体"/>
          <w:color w:val="auto"/>
          <w:sz w:val="21"/>
          <w:szCs w:val="21"/>
          <w:highlight w:val="none"/>
        </w:rPr>
        <w:t>投标方应按本标书的要求提供全新的、合格的10kV馈线自动调压器及其附属设备、备品备件、专用工具和仪器。</w:t>
      </w:r>
    </w:p>
    <w:p>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eastAsia" w:ascii="Times New Roman" w:hAnsi="Times New Roman" w:eastAsia="宋体" w:cs="宋体"/>
          <w:color w:val="auto"/>
          <w:sz w:val="21"/>
          <w:szCs w:val="21"/>
          <w:highlight w:val="none"/>
          <w:lang w:val="en-US" w:eastAsia="zh-CN"/>
        </w:rPr>
      </w:pPr>
      <w:r>
        <w:rPr>
          <w:rFonts w:hint="eastAsia" w:ascii="Times New Roman" w:hAnsi="Times New Roman" w:eastAsia="宋体" w:cs="宋体"/>
          <w:color w:val="auto"/>
          <w:sz w:val="21"/>
          <w:szCs w:val="21"/>
          <w:highlight w:val="none"/>
          <w:lang w:val="en-US" w:eastAsia="zh-CN"/>
        </w:rPr>
        <w:t>2）投标方提供的10kV中压线路自动调压器的具体规格见表1供货范围及设备需求一览表。投标方应如实填写“投标方保证”栏。投标方应向招标方提供必备的备品备件，要求提供的专用工具和仪器仪表应是新品，与设备同型号、同工艺。</w:t>
      </w:r>
    </w:p>
    <w:p>
      <w:pPr>
        <w:pStyle w:val="351"/>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eastAsia="宋体" w:cs="Times New Roman"/>
          <w:b/>
          <w:color w:val="auto"/>
          <w:szCs w:val="21"/>
          <w:highlight w:val="none"/>
        </w:rPr>
      </w:pPr>
      <w:r>
        <w:rPr>
          <w:rFonts w:ascii="Times New Roman" w:hAnsi="Times New Roman" w:eastAsia="宋体" w:cs="Times New Roman"/>
          <w:b/>
          <w:color w:val="auto"/>
          <w:szCs w:val="21"/>
          <w:highlight w:val="none"/>
        </w:rPr>
        <w:t>表1供货范围及设备需求一览表</w:t>
      </w:r>
    </w:p>
    <w:tbl>
      <w:tblPr>
        <w:tblStyle w:val="46"/>
        <w:tblW w:w="93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37"/>
        <w:gridCol w:w="1579"/>
        <w:gridCol w:w="4792"/>
        <w:gridCol w:w="2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trPr>
        <w:tc>
          <w:tcPr>
            <w:tcW w:w="737"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序号</w:t>
            </w:r>
          </w:p>
        </w:tc>
        <w:tc>
          <w:tcPr>
            <w:tcW w:w="1579"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名称</w:t>
            </w:r>
          </w:p>
        </w:tc>
        <w:tc>
          <w:tcPr>
            <w:tcW w:w="4792"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招标方要求</w:t>
            </w:r>
          </w:p>
        </w:tc>
        <w:tc>
          <w:tcPr>
            <w:tcW w:w="2276"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5" w:hRule="atLeast"/>
          <w:tblHeader/>
        </w:trPr>
        <w:tc>
          <w:tcPr>
            <w:tcW w:w="737"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p>
        </w:tc>
        <w:tc>
          <w:tcPr>
            <w:tcW w:w="1579"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p>
        </w:tc>
        <w:tc>
          <w:tcPr>
            <w:tcW w:w="4792"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型式、规格</w:t>
            </w:r>
          </w:p>
        </w:tc>
        <w:tc>
          <w:tcPr>
            <w:tcW w:w="2276"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型式、规格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trPr>
        <w:tc>
          <w:tcPr>
            <w:tcW w:w="737"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t>1</w:t>
            </w:r>
          </w:p>
        </w:tc>
        <w:tc>
          <w:tcPr>
            <w:tcW w:w="1579" w:type="dxa"/>
            <w:tcBorders>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ascii="Times New Roman" w:hAnsi="Times New Roman" w:eastAsia="宋体" w:cs="Times New Roman"/>
                <w:color w:val="auto"/>
                <w:highlight w:val="none"/>
              </w:rPr>
            </w:pPr>
            <w:r>
              <w:rPr>
                <w:rFonts w:hint="eastAsia" w:ascii="Times New Roman" w:hAnsi="Times New Roman" w:eastAsia="宋体" w:cstheme="minorEastAsia"/>
                <w:color w:val="auto"/>
                <w:sz w:val="21"/>
                <w:szCs w:val="21"/>
                <w:highlight w:val="none"/>
                <w:lang w:eastAsia="zh-CN"/>
              </w:rPr>
              <w:t>10kV馈线自动调压器</w:t>
            </w:r>
          </w:p>
        </w:tc>
        <w:tc>
          <w:tcPr>
            <w:tcW w:w="4792" w:type="dxa"/>
            <w:tcBorders>
              <w:tl2br w:val="nil"/>
              <w:tr2bl w:val="nil"/>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ascii="Times New Roman" w:hAnsi="Times New Roman" w:eastAsia="宋体" w:cs="Times New Roman"/>
                <w:color w:val="auto"/>
                <w:highlight w:val="none"/>
              </w:rPr>
            </w:pPr>
            <w:r>
              <w:rPr>
                <w:rFonts w:hint="eastAsia" w:ascii="Times New Roman" w:hAnsi="Times New Roman" w:eastAsia="宋体" w:cstheme="minorEastAsia"/>
                <w:color w:val="auto"/>
                <w:sz w:val="21"/>
                <w:szCs w:val="21"/>
                <w:highlight w:val="none"/>
                <w:lang w:val="en-US" w:eastAsia="zh-CN"/>
              </w:rPr>
              <w:t>设备容量</w:t>
            </w:r>
            <w:r>
              <w:rPr>
                <w:rFonts w:hint="eastAsia" w:ascii="Times New Roman" w:hAnsi="Times New Roman" w:eastAsia="宋体" w:cstheme="minorEastAsia"/>
                <w:color w:val="auto"/>
                <w:sz w:val="21"/>
                <w:szCs w:val="21"/>
                <w:highlight w:val="none"/>
                <w:lang w:eastAsia="zh-CN"/>
              </w:rPr>
              <w:t>5000kVA，</w:t>
            </w:r>
            <w:r>
              <w:rPr>
                <w:rFonts w:hint="eastAsia" w:ascii="Times New Roman" w:hAnsi="Times New Roman" w:eastAsia="宋体" w:cstheme="minorEastAsia"/>
                <w:color w:val="auto"/>
                <w:sz w:val="21"/>
                <w:szCs w:val="21"/>
                <w:highlight w:val="none"/>
                <w:lang w:val="en-US" w:eastAsia="zh-CN"/>
              </w:rPr>
              <w:t>有触点分接调压方式</w:t>
            </w:r>
            <w:r>
              <w:rPr>
                <w:rFonts w:hint="eastAsia" w:ascii="Times New Roman" w:hAnsi="Times New Roman" w:eastAsia="宋体" w:cstheme="minorEastAsia"/>
                <w:color w:val="auto"/>
                <w:sz w:val="21"/>
                <w:szCs w:val="21"/>
                <w:highlight w:val="none"/>
                <w:lang w:eastAsia="zh-CN"/>
              </w:rPr>
              <w:t>，</w:t>
            </w:r>
            <w:r>
              <w:rPr>
                <w:rFonts w:hint="eastAsia" w:ascii="Times New Roman" w:hAnsi="Times New Roman" w:eastAsia="宋体" w:cstheme="minorEastAsia"/>
                <w:color w:val="auto"/>
                <w:sz w:val="21"/>
                <w:szCs w:val="21"/>
                <w:highlight w:val="none"/>
                <w:lang w:val="en-US" w:eastAsia="zh-CN"/>
              </w:rPr>
              <w:t>带无功补偿</w:t>
            </w:r>
            <w:r>
              <w:rPr>
                <w:rFonts w:hint="eastAsia" w:ascii="Times New Roman" w:hAnsi="Times New Roman" w:eastAsia="宋体" w:cstheme="minorEastAsia"/>
                <w:color w:val="auto"/>
                <w:sz w:val="21"/>
                <w:szCs w:val="21"/>
                <w:highlight w:val="none"/>
              </w:rPr>
              <w:t>500kvar</w:t>
            </w:r>
            <w:r>
              <w:rPr>
                <w:rFonts w:hint="eastAsia" w:ascii="Times New Roman" w:hAnsi="Times New Roman" w:eastAsia="宋体" w:cstheme="minorEastAsia"/>
                <w:color w:val="auto"/>
                <w:sz w:val="21"/>
                <w:szCs w:val="21"/>
                <w:highlight w:val="none"/>
                <w:lang w:eastAsia="zh-CN"/>
              </w:rPr>
              <w:t>（</w:t>
            </w:r>
            <w:r>
              <w:rPr>
                <w:rFonts w:hint="eastAsia" w:ascii="Times New Roman" w:hAnsi="Times New Roman" w:eastAsia="宋体" w:cstheme="minorEastAsia"/>
                <w:color w:val="auto"/>
                <w:sz w:val="21"/>
                <w:szCs w:val="21"/>
                <w:highlight w:val="none"/>
              </w:rPr>
              <w:t>分组方式：100定+200动+200动</w:t>
            </w:r>
            <w:r>
              <w:rPr>
                <w:rFonts w:hint="eastAsia" w:ascii="Times New Roman" w:hAnsi="Times New Roman" w:eastAsia="宋体" w:cstheme="minorEastAsia"/>
                <w:color w:val="auto"/>
                <w:sz w:val="21"/>
                <w:szCs w:val="21"/>
                <w:highlight w:val="none"/>
                <w:lang w:eastAsia="zh-CN"/>
              </w:rPr>
              <w:t>）</w:t>
            </w:r>
          </w:p>
        </w:tc>
        <w:tc>
          <w:tcPr>
            <w:tcW w:w="2276" w:type="dxa"/>
            <w:tcBorders>
              <w:tl2br w:val="nil"/>
              <w:tr2bl w:val="nil"/>
            </w:tcBorders>
          </w:tcPr>
          <w:p>
            <w:pPr>
              <w:keepNext w:val="0"/>
              <w:keepLines w:val="0"/>
              <w:pageBreakBefore w:val="0"/>
              <w:kinsoku/>
              <w:wordWrap/>
              <w:overflowPunct/>
              <w:topLinePunct w:val="0"/>
              <w:autoSpaceDE/>
              <w:autoSpaceDN/>
              <w:bidi w:val="0"/>
              <w:adjustRightInd w:val="0"/>
              <w:snapToGrid w:val="0"/>
              <w:spacing w:line="240" w:lineRule="auto"/>
              <w:rPr>
                <w:rFonts w:ascii="Times New Roman" w:hAnsi="Times New Roman" w:eastAsia="宋体" w:cs="Times New Roman"/>
                <w:color w:val="auto"/>
                <w:highlight w:val="none"/>
              </w:rPr>
            </w:pPr>
          </w:p>
        </w:tc>
      </w:tr>
    </w:tbl>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bookmarkStart w:id="20" w:name="_Toc395186722"/>
      <w:bookmarkStart w:id="21" w:name="_Toc292025346"/>
      <w:bookmarkStart w:id="22" w:name="_Toc414979217"/>
      <w:r>
        <w:rPr>
          <w:rStyle w:val="356"/>
          <w:rFonts w:hint="eastAsia" w:ascii="Times New Roman" w:hAnsi="Times New Roman" w:eastAsia="宋体" w:cs="宋体"/>
          <w:b w:val="0"/>
          <w:bCs/>
          <w:color w:val="auto"/>
          <w:highlight w:val="none"/>
          <w:lang w:val="en-US" w:eastAsia="zh-CN"/>
        </w:rPr>
        <w:t>2.3 工厂试验由投标方在生产厂家内完成, 但应有招标方代表参加, 参加工厂验收的人数及天数等规定详见技术规范书商务部分。</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2.4 设备安装位置选点、现场安装和试验在投标方的技术指导下由招标方完成, 投标方协助招标方按标准检查安装质量，处理调试投运过程中出现的问题，并提供备品、备件，做好销售服务工作。投标方应选派有经验的技术人员，对安装和运行人员免费培训。</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2.5 投标方应协助招标方解决设备运行中出现的问题。</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2.6 设计联络会议的地点及招标方参加人员的人数和天数等规定详见技术规范书商务部分。</w:t>
      </w:r>
    </w:p>
    <w:p>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eastAsia" w:ascii="Times New Roman" w:hAnsi="Times New Roman" w:eastAsia="宋体" w:cs="宋体"/>
          <w:b w:val="0"/>
          <w:bCs/>
          <w:color w:val="auto"/>
          <w:highlight w:val="none"/>
          <w:lang w:val="en-US" w:eastAsia="zh-CN"/>
        </w:rPr>
      </w:pPr>
      <w:r>
        <w:rPr>
          <w:rStyle w:val="356"/>
          <w:rFonts w:hint="eastAsia" w:ascii="Times New Roman" w:hAnsi="Times New Roman" w:eastAsia="宋体" w:cs="宋体"/>
          <w:b w:val="0"/>
          <w:bCs/>
          <w:color w:val="auto"/>
          <w:highlight w:val="none"/>
          <w:lang w:val="en-US" w:eastAsia="zh-CN"/>
        </w:rPr>
        <w:t>2.7 投标方应配合招标方开展到货抽检工作，参照本技术规范书及引用的标准要求进行检测。</w:t>
      </w:r>
    </w:p>
    <w:p>
      <w:pPr>
        <w:pStyle w:val="355"/>
        <w:keepNext w:val="0"/>
        <w:keepLines w:val="0"/>
        <w:pageBreakBefore w:val="0"/>
        <w:widowControl w:val="0"/>
        <w:numPr>
          <w:ilvl w:val="0"/>
          <w:numId w:val="9"/>
        </w:numPr>
        <w:kinsoku/>
        <w:wordWrap/>
        <w:overflowPunct/>
        <w:topLinePunct/>
        <w:autoSpaceDE/>
        <w:autoSpaceDN/>
        <w:bidi w:val="0"/>
        <w:spacing w:line="400" w:lineRule="exact"/>
        <w:textAlignment w:val="auto"/>
        <w:outlineLvl w:val="0"/>
        <w:rPr>
          <w:rFonts w:hint="eastAsia" w:ascii="Times New Roman" w:hAnsi="Times New Roman" w:eastAsia="宋体" w:cs="宋体"/>
          <w:b/>
          <w:bCs/>
          <w:snapToGrid w:val="0"/>
          <w:color w:val="auto"/>
          <w:kern w:val="0"/>
          <w:sz w:val="21"/>
          <w:szCs w:val="21"/>
          <w:highlight w:val="none"/>
          <w:lang w:val="en-US" w:eastAsia="zh-CN"/>
        </w:rPr>
      </w:pPr>
      <w:bookmarkStart w:id="23" w:name="_Toc1974"/>
      <w:r>
        <w:rPr>
          <w:rFonts w:hint="eastAsia" w:ascii="Times New Roman" w:hAnsi="Times New Roman" w:eastAsia="宋体" w:cs="宋体"/>
          <w:b/>
          <w:bCs/>
          <w:snapToGrid w:val="0"/>
          <w:color w:val="auto"/>
          <w:kern w:val="0"/>
          <w:sz w:val="21"/>
          <w:szCs w:val="21"/>
          <w:highlight w:val="none"/>
          <w:lang w:val="en-US" w:eastAsia="zh-CN"/>
        </w:rPr>
        <w:t>应遵循的主要标准</w:t>
      </w:r>
      <w:bookmarkEnd w:id="20"/>
      <w:bookmarkEnd w:id="21"/>
      <w:bookmarkEnd w:id="22"/>
      <w:bookmarkEnd w:id="23"/>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除本技术规范特殊规定外，投标方所提供的设备均按规定的标准和规程的最新版本进行设计、制造、试验和安装。如果这些标准内容有矛盾时，应按技术要求最高的条款执行或按双方商定的标准执行。如果投标方选用本技术条件书规定以外的标准时，则需提交这种替换标准供审查和分析。仅在投标方已证明替换标准相当或优于技术条件书规定的标准，并从招标方处获得书面的认可才能使用。提交供审查的标准应为中文版本。</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szCs w:val="21"/>
          <w:highlight w:val="none"/>
        </w:rPr>
        <w:t>下列文件对于本</w:t>
      </w:r>
      <w:r>
        <w:rPr>
          <w:rFonts w:ascii="Times New Roman" w:hAnsi="Times New Roman" w:eastAsia="宋体"/>
          <w:color w:val="auto"/>
          <w:highlight w:val="none"/>
        </w:rPr>
        <w:t>技术条件书</w:t>
      </w:r>
      <w:r>
        <w:rPr>
          <w:rFonts w:ascii="Times New Roman" w:hAnsi="Times New Roman" w:eastAsia="宋体"/>
          <w:color w:val="auto"/>
          <w:szCs w:val="21"/>
          <w:highlight w:val="none"/>
        </w:rPr>
        <w:t>的应用是必不可少。凡是注日期的引用文件，仅注日期的版本适用于本</w:t>
      </w:r>
      <w:r>
        <w:rPr>
          <w:rFonts w:ascii="Times New Roman" w:hAnsi="Times New Roman" w:eastAsia="宋体"/>
          <w:color w:val="auto"/>
          <w:highlight w:val="none"/>
        </w:rPr>
        <w:t>技术条件书</w:t>
      </w:r>
      <w:r>
        <w:rPr>
          <w:rFonts w:ascii="Times New Roman" w:hAnsi="Times New Roman" w:eastAsia="宋体"/>
          <w:color w:val="auto"/>
          <w:szCs w:val="21"/>
          <w:highlight w:val="none"/>
        </w:rPr>
        <w:t>。凡是不注日期的引用文件，其最新版本（包括所有的修改单）适用于本</w:t>
      </w:r>
      <w:r>
        <w:rPr>
          <w:rFonts w:ascii="Times New Roman" w:hAnsi="Times New Roman" w:eastAsia="宋体"/>
          <w:color w:val="auto"/>
          <w:highlight w:val="none"/>
        </w:rPr>
        <w:t>技术条件书：</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GB/T 156 标准电压</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191</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包装储运图示标志</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1094.1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1</w:t>
      </w:r>
      <w:r>
        <w:rPr>
          <w:rFonts w:ascii="Times New Roman" w:hAnsi="Times New Roman" w:eastAsia="宋体"/>
          <w:color w:val="auto"/>
          <w:highlight w:val="none"/>
        </w:rPr>
        <w:t>部分</w:t>
      </w:r>
      <w:r>
        <w:rPr>
          <w:rFonts w:hint="eastAsia" w:ascii="Times New Roman" w:hAnsi="Times New Roman"/>
          <w:color w:val="auto"/>
          <w:highlight w:val="none"/>
          <w:lang w:eastAsia="zh-CN"/>
        </w:rPr>
        <w:t>：</w:t>
      </w:r>
      <w:r>
        <w:rPr>
          <w:rFonts w:ascii="Times New Roman" w:hAnsi="Times New Roman" w:eastAsia="宋体"/>
          <w:color w:val="auto"/>
          <w:highlight w:val="none"/>
        </w:rPr>
        <w:t>总则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1094.2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2</w:t>
      </w:r>
      <w:r>
        <w:rPr>
          <w:rFonts w:ascii="Times New Roman" w:hAnsi="Times New Roman" w:eastAsia="宋体"/>
          <w:color w:val="auto"/>
          <w:highlight w:val="none"/>
        </w:rPr>
        <w:t>部分</w:t>
      </w:r>
      <w:r>
        <w:rPr>
          <w:rFonts w:hint="eastAsia" w:ascii="Times New Roman" w:hAnsi="Times New Roman" w:eastAsia="宋体"/>
          <w:color w:val="auto"/>
          <w:highlight w:val="none"/>
        </w:rPr>
        <w:t>：</w:t>
      </w:r>
      <w:r>
        <w:rPr>
          <w:rFonts w:ascii="Times New Roman" w:hAnsi="Times New Roman" w:eastAsia="宋体"/>
          <w:color w:val="auto"/>
          <w:highlight w:val="none"/>
        </w:rPr>
        <w:t>液浸式变压器的温升</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1094.3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3</w:t>
      </w:r>
      <w:r>
        <w:rPr>
          <w:rFonts w:ascii="Times New Roman" w:hAnsi="Times New Roman" w:eastAsia="宋体"/>
          <w:color w:val="auto"/>
          <w:highlight w:val="none"/>
        </w:rPr>
        <w:t>部分</w:t>
      </w:r>
      <w:r>
        <w:rPr>
          <w:rFonts w:hint="eastAsia" w:ascii="Times New Roman" w:hAnsi="Times New Roman" w:eastAsia="宋体"/>
          <w:color w:val="auto"/>
          <w:highlight w:val="none"/>
        </w:rPr>
        <w:t>：</w:t>
      </w:r>
      <w:r>
        <w:rPr>
          <w:rFonts w:ascii="Times New Roman" w:hAnsi="Times New Roman" w:eastAsia="宋体"/>
          <w:color w:val="auto"/>
          <w:highlight w:val="none"/>
        </w:rPr>
        <w:t>绝缘水平、绝缘试验和外绝缘空气间隙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1094.4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4</w:t>
      </w:r>
      <w:r>
        <w:rPr>
          <w:rFonts w:ascii="Times New Roman" w:hAnsi="Times New Roman" w:eastAsia="宋体"/>
          <w:color w:val="auto"/>
          <w:highlight w:val="none"/>
        </w:rPr>
        <w:t>部分</w:t>
      </w:r>
      <w:r>
        <w:rPr>
          <w:rFonts w:hint="eastAsia" w:ascii="Times New Roman" w:hAnsi="Times New Roman" w:eastAsia="宋体"/>
          <w:color w:val="auto"/>
          <w:highlight w:val="none"/>
        </w:rPr>
        <w:t>：</w:t>
      </w:r>
      <w:r>
        <w:rPr>
          <w:rFonts w:ascii="Times New Roman" w:hAnsi="Times New Roman" w:eastAsia="宋体"/>
          <w:color w:val="auto"/>
          <w:highlight w:val="none"/>
        </w:rPr>
        <w:t>电力变压器和电抗器的雷电冲击和操作冲击试验导则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1094.5 电力变压器</w:t>
      </w:r>
      <w:r>
        <w:rPr>
          <w:rFonts w:hint="eastAsia" w:ascii="Times New Roman" w:hAnsi="Times New Roman" w:eastAsia="宋体"/>
          <w:color w:val="auto"/>
          <w:highlight w:val="none"/>
        </w:rPr>
        <w:t xml:space="preserve"> 第5部分：</w:t>
      </w:r>
      <w:r>
        <w:rPr>
          <w:rFonts w:ascii="Times New Roman" w:hAnsi="Times New Roman" w:eastAsia="宋体"/>
          <w:color w:val="auto"/>
          <w:highlight w:val="none"/>
        </w:rPr>
        <w:t>承受短路的能力</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1094.10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第10部分</w:t>
      </w:r>
      <w:r>
        <w:rPr>
          <w:rFonts w:hint="eastAsia" w:ascii="Times New Roman" w:hAnsi="Times New Roman" w:eastAsia="宋体"/>
          <w:color w:val="auto"/>
          <w:highlight w:val="none"/>
        </w:rPr>
        <w:t>：</w:t>
      </w:r>
      <w:r>
        <w:rPr>
          <w:rFonts w:ascii="Times New Roman" w:hAnsi="Times New Roman" w:eastAsia="宋体"/>
          <w:color w:val="auto"/>
          <w:highlight w:val="none"/>
        </w:rPr>
        <w:t>声级测定</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1094.11 电力变压器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第11部分</w:t>
      </w:r>
      <w:r>
        <w:rPr>
          <w:rFonts w:hint="eastAsia" w:ascii="Times New Roman" w:hAnsi="Times New Roman" w:eastAsia="宋体"/>
          <w:color w:val="auto"/>
          <w:highlight w:val="none"/>
        </w:rPr>
        <w:t>：</w:t>
      </w:r>
      <w:r>
        <w:rPr>
          <w:rFonts w:ascii="Times New Roman" w:hAnsi="Times New Roman" w:eastAsia="宋体"/>
          <w:color w:val="auto"/>
          <w:highlight w:val="none"/>
        </w:rPr>
        <w:t>干式变压</w:t>
      </w:r>
      <w:r>
        <w:rPr>
          <w:rFonts w:hint="eastAsia" w:ascii="Times New Roman" w:hAnsi="Times New Roman" w:eastAsia="宋体"/>
          <w:color w:val="auto"/>
          <w:highlight w:val="none"/>
        </w:rPr>
        <w:t>器</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2900.95</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电工术语</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变压器、调压器和电抗器</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4208</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外壳防护等级</w:t>
      </w:r>
      <w:r>
        <w:rPr>
          <w:rFonts w:hint="eastAsia" w:ascii="Times New Roman" w:hAnsi="Times New Roman" w:eastAsia="宋体"/>
          <w:color w:val="auto"/>
          <w:highlight w:val="none"/>
        </w:rPr>
        <w:t>（IP代码）</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olor w:val="auto"/>
          <w:highlight w:val="none"/>
          <w:lang w:val="en-US" w:eastAsia="zh-CN"/>
        </w:rPr>
      </w:pPr>
      <w:r>
        <w:rPr>
          <w:rFonts w:ascii="Times New Roman" w:hAnsi="Times New Roman" w:eastAsia="宋体"/>
          <w:color w:val="auto"/>
          <w:highlight w:val="none"/>
        </w:rPr>
        <w:t xml:space="preserve">GB/T 5273 </w:t>
      </w:r>
      <w:r>
        <w:rPr>
          <w:rFonts w:hint="eastAsia" w:ascii="Times New Roman" w:hAnsi="Times New Roman"/>
          <w:color w:val="auto"/>
          <w:highlight w:val="none"/>
          <w:lang w:val="en-US" w:eastAsia="zh-CN"/>
        </w:rPr>
        <w:t>高压电器端子寸尺标准化</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 xml:space="preserve">GB/T 6451 </w:t>
      </w:r>
      <w:r>
        <w:rPr>
          <w:rFonts w:hint="eastAsia" w:ascii="Times New Roman" w:hAnsi="Times New Roman" w:eastAsia="宋体"/>
          <w:color w:val="auto"/>
          <w:highlight w:val="none"/>
        </w:rPr>
        <w:t>油</w:t>
      </w:r>
      <w:r>
        <w:rPr>
          <w:rFonts w:ascii="Times New Roman" w:hAnsi="Times New Roman" w:eastAsia="宋体"/>
          <w:color w:val="auto"/>
          <w:highlight w:val="none"/>
        </w:rPr>
        <w:t>浸式电力变压器技术参数和要求</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pPr>
      <w:r>
        <w:rPr>
          <w:rFonts w:hint="eastAsia" w:ascii="Times New Roman" w:hAnsi="Times New Roman" w:eastAsia="宋体"/>
          <w:color w:val="auto"/>
          <w:highlight w:val="none"/>
        </w:rPr>
        <w:t>G</w:t>
      </w:r>
      <w:r>
        <w:rPr>
          <w:rFonts w:ascii="Times New Roman" w:hAnsi="Times New Roman" w:eastAsia="宋体"/>
          <w:color w:val="auto"/>
          <w:highlight w:val="none"/>
        </w:rPr>
        <w:t xml:space="preserve">B/T 7261 </w:t>
      </w:r>
      <w:r>
        <w:rPr>
          <w:rFonts w:hint="eastAsia" w:ascii="Times New Roman" w:hAnsi="Times New Roman" w:eastAsia="宋体"/>
          <w:color w:val="auto"/>
          <w:highlight w:val="none"/>
        </w:rPr>
        <w:t>继电保护和安全自动装置基本试验方法</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GB/T 10230.1 分接开关</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1</w:t>
      </w:r>
      <w:r>
        <w:rPr>
          <w:rFonts w:ascii="Times New Roman" w:hAnsi="Times New Roman" w:eastAsia="宋体"/>
          <w:color w:val="auto"/>
          <w:highlight w:val="none"/>
        </w:rPr>
        <w:t>部分 性能要求和试验方法</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/T</w:t>
      </w:r>
      <w:r>
        <w:rPr>
          <w:rFonts w:ascii="Times New Roman" w:hAnsi="Times New Roman" w:eastAsia="宋体"/>
          <w:color w:val="auto"/>
          <w:highlight w:val="none"/>
        </w:rPr>
        <w:t xml:space="preserve"> 12325</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电能质量</w:t>
      </w:r>
      <w:r>
        <w:rPr>
          <w:rFonts w:hint="eastAsia" w:ascii="Times New Roman" w:hAnsi="Times New Roman"/>
          <w:color w:val="auto"/>
          <w:highlight w:val="none"/>
          <w:lang w:val="en-US" w:eastAsia="zh-CN"/>
        </w:rPr>
        <w:t xml:space="preserve"> </w:t>
      </w:r>
      <w:r>
        <w:rPr>
          <w:rFonts w:ascii="Times New Roman" w:hAnsi="Times New Roman" w:eastAsia="宋体"/>
          <w:color w:val="auto"/>
          <w:highlight w:val="none"/>
        </w:rPr>
        <w:t>供电电压偏差</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12326 电能质量 电压波动和闪变</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GB/T 15543 电能质量 三相电压不平衡</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w:t>
      </w:r>
      <w:r>
        <w:rPr>
          <w:rFonts w:ascii="Times New Roman" w:hAnsi="Times New Roman" w:eastAsia="宋体"/>
          <w:color w:val="auto"/>
          <w:highlight w:val="none"/>
        </w:rPr>
        <w:t>T 14549</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电能质量</w:t>
      </w:r>
      <w:r>
        <w:rPr>
          <w:rFonts w:hint="eastAsia" w:ascii="Times New Roman" w:hAnsi="Times New Roman"/>
          <w:color w:val="auto"/>
          <w:highlight w:val="none"/>
          <w:lang w:val="en-US" w:eastAsia="zh-CN"/>
        </w:rPr>
        <w:t xml:space="preserve"> </w:t>
      </w:r>
      <w:r>
        <w:rPr>
          <w:rFonts w:ascii="Times New Roman" w:hAnsi="Times New Roman" w:eastAsia="宋体"/>
          <w:color w:val="auto"/>
          <w:highlight w:val="none"/>
        </w:rPr>
        <w:t>公用电网谐波</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17626.2</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电磁兼容试验和测量技术静电放电抗扰度试验</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17626.4</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电磁兼容试验和测量技术 电快速瞬变脉神群抗扰度试验</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17626.5</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电磁兼容试验和测量技术浪涌(冲击)抗扰度试验</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17626.12</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电磁兼容试验和测量技术振铃波抗扰度试验</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 xml:space="preserve">/T </w:t>
      </w:r>
      <w:r>
        <w:rPr>
          <w:rFonts w:ascii="Times New Roman" w:hAnsi="Times New Roman" w:eastAsia="宋体"/>
          <w:color w:val="auto"/>
          <w:highlight w:val="none"/>
        </w:rPr>
        <w:t>17799.4</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电磁兼容通用标准工业环境中的发射</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GB</w:t>
      </w:r>
      <w:r>
        <w:rPr>
          <w:rFonts w:hint="eastAsia" w:ascii="Times New Roman" w:hAnsi="Times New Roman" w:eastAsia="宋体"/>
          <w:color w:val="auto"/>
          <w:highlight w:val="none"/>
        </w:rPr>
        <w:t>/T</w:t>
      </w:r>
      <w:r>
        <w:rPr>
          <w:rFonts w:ascii="Times New Roman" w:hAnsi="Times New Roman" w:eastAsia="宋体"/>
          <w:color w:val="auto"/>
          <w:highlight w:val="none"/>
        </w:rPr>
        <w:t xml:space="preserve"> 2207</w:t>
      </w:r>
      <w:r>
        <w:rPr>
          <w:rFonts w:hint="eastAsia" w:ascii="Times New Roman" w:hAnsi="Times New Roman" w:eastAsia="宋体"/>
          <w:color w:val="auto"/>
          <w:highlight w:val="none"/>
        </w:rPr>
        <w:t>1.1</w:t>
      </w:r>
      <w:r>
        <w:rPr>
          <w:rFonts w:ascii="Times New Roman" w:hAnsi="Times New Roman" w:eastAsia="宋体"/>
          <w:color w:val="auto"/>
          <w:highlight w:val="none"/>
        </w:rPr>
        <w:t xml:space="preserve"> 互感器试验导则</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1</w:t>
      </w:r>
      <w:r>
        <w:rPr>
          <w:rFonts w:ascii="Times New Roman" w:hAnsi="Times New Roman" w:eastAsia="宋体"/>
          <w:color w:val="auto"/>
          <w:highlight w:val="none"/>
        </w:rPr>
        <w:t>部分</w:t>
      </w:r>
      <w:r>
        <w:rPr>
          <w:rFonts w:hint="eastAsia" w:ascii="Times New Roman" w:hAnsi="Times New Roman"/>
          <w:color w:val="auto"/>
          <w:highlight w:val="none"/>
          <w:lang w:eastAsia="zh-CN"/>
        </w:rPr>
        <w:t>：</w:t>
      </w:r>
      <w:r>
        <w:rPr>
          <w:rFonts w:ascii="Times New Roman" w:hAnsi="Times New Roman" w:eastAsia="宋体"/>
          <w:color w:val="auto"/>
          <w:highlight w:val="none"/>
        </w:rPr>
        <w:t>电流互感器</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2"/>
          <w:highlight w:val="none"/>
          <w:lang w:val="en-US" w:eastAsia="zh-CN" w:bidi="ar-SA"/>
        </w:rPr>
        <w:t>DL/T 403 高压交流真空断路器</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DL</w:t>
      </w:r>
      <w:r>
        <w:rPr>
          <w:rFonts w:hint="eastAsia" w:ascii="Times New Roman" w:hAnsi="Times New Roman" w:eastAsia="宋体"/>
          <w:color w:val="auto"/>
          <w:highlight w:val="none"/>
        </w:rPr>
        <w:t>/</w:t>
      </w:r>
      <w:r>
        <w:rPr>
          <w:rFonts w:ascii="Times New Roman" w:hAnsi="Times New Roman" w:eastAsia="宋体"/>
          <w:color w:val="auto"/>
          <w:highlight w:val="none"/>
        </w:rPr>
        <w:t>T</w:t>
      </w:r>
      <w:r>
        <w:rPr>
          <w:rFonts w:hint="eastAsia" w:ascii="Times New Roman" w:hAnsi="Times New Roman"/>
          <w:color w:val="auto"/>
          <w:highlight w:val="none"/>
          <w:lang w:val="en-US" w:eastAsia="zh-CN"/>
        </w:rPr>
        <w:t xml:space="preserve"> </w:t>
      </w:r>
      <w:r>
        <w:rPr>
          <w:rFonts w:ascii="Times New Roman" w:hAnsi="Times New Roman" w:eastAsia="宋体"/>
          <w:color w:val="auto"/>
          <w:highlight w:val="none"/>
        </w:rPr>
        <w:t>995 继电保护和电网安全自动装置检验规程</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D</w:t>
      </w:r>
      <w:r>
        <w:rPr>
          <w:rFonts w:ascii="Times New Roman" w:hAnsi="Times New Roman" w:eastAsia="宋体"/>
          <w:color w:val="auto"/>
          <w:highlight w:val="none"/>
        </w:rPr>
        <w:t xml:space="preserve">L/T 1075 </w:t>
      </w:r>
      <w:r>
        <w:rPr>
          <w:rFonts w:hint="eastAsia" w:ascii="Times New Roman" w:hAnsi="Times New Roman" w:eastAsia="宋体"/>
          <w:color w:val="auto"/>
          <w:highlight w:val="none"/>
        </w:rPr>
        <w:t>保护测控装置技术条件</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JB/T</w:t>
      </w:r>
      <w:r>
        <w:rPr>
          <w:rFonts w:ascii="Times New Roman" w:hAnsi="Times New Roman" w:eastAsia="宋体"/>
          <w:color w:val="auto"/>
          <w:highlight w:val="none"/>
        </w:rPr>
        <w:t>501 电力变压器试验导则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JB</w:t>
      </w:r>
      <w:r>
        <w:rPr>
          <w:rFonts w:hint="eastAsia" w:ascii="Times New Roman" w:hAnsi="Times New Roman" w:eastAsia="宋体"/>
          <w:color w:val="auto"/>
          <w:highlight w:val="none"/>
        </w:rPr>
        <w:t>/</w:t>
      </w:r>
      <w:r>
        <w:rPr>
          <w:rFonts w:ascii="Times New Roman" w:hAnsi="Times New Roman" w:eastAsia="宋体"/>
          <w:color w:val="auto"/>
          <w:highlight w:val="none"/>
        </w:rPr>
        <w:t>T 8749.1-20</w:t>
      </w:r>
      <w:r>
        <w:rPr>
          <w:rFonts w:hint="eastAsia" w:ascii="Times New Roman" w:hAnsi="Times New Roman" w:eastAsia="宋体"/>
          <w:color w:val="auto"/>
          <w:highlight w:val="none"/>
          <w:lang w:val="en-US" w:eastAsia="zh-CN"/>
        </w:rPr>
        <w:t>22</w:t>
      </w:r>
      <w:r>
        <w:rPr>
          <w:rFonts w:ascii="Times New Roman" w:hAnsi="Times New Roman" w:eastAsia="宋体"/>
          <w:color w:val="auto"/>
          <w:highlight w:val="none"/>
        </w:rPr>
        <w:t xml:space="preserve"> 调压器</w:t>
      </w:r>
      <w:r>
        <w:rPr>
          <w:rFonts w:hint="eastAsia" w:ascii="Times New Roman" w:hAnsi="Times New Roman" w:eastAsia="宋体"/>
          <w:color w:val="auto"/>
          <w:highlight w:val="none"/>
        </w:rPr>
        <w:t xml:space="preserve"> </w:t>
      </w:r>
      <w:r>
        <w:rPr>
          <w:rFonts w:ascii="Times New Roman" w:hAnsi="Times New Roman" w:eastAsia="宋体"/>
          <w:color w:val="auto"/>
          <w:highlight w:val="none"/>
        </w:rPr>
        <w:t>第</w:t>
      </w:r>
      <w:r>
        <w:rPr>
          <w:rFonts w:hint="eastAsia" w:ascii="Times New Roman" w:hAnsi="Times New Roman" w:eastAsia="宋体"/>
          <w:color w:val="auto"/>
          <w:highlight w:val="none"/>
        </w:rPr>
        <w:t>1</w:t>
      </w:r>
      <w:r>
        <w:rPr>
          <w:rFonts w:ascii="Times New Roman" w:hAnsi="Times New Roman" w:eastAsia="宋体"/>
          <w:color w:val="auto"/>
          <w:highlight w:val="none"/>
        </w:rPr>
        <w:t>部分</w:t>
      </w:r>
      <w:r>
        <w:rPr>
          <w:rFonts w:hint="eastAsia" w:ascii="Times New Roman" w:hAnsi="Times New Roman"/>
          <w:color w:val="auto"/>
          <w:highlight w:val="none"/>
          <w:lang w:eastAsia="zh-CN"/>
        </w:rPr>
        <w:t>：</w:t>
      </w:r>
      <w:r>
        <w:rPr>
          <w:rFonts w:ascii="Times New Roman" w:hAnsi="Times New Roman" w:eastAsia="宋体"/>
          <w:color w:val="auto"/>
          <w:highlight w:val="none"/>
        </w:rPr>
        <w:t>通用要求和试验</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 xml:space="preserve">T/CEC </w:t>
      </w:r>
      <w:r>
        <w:rPr>
          <w:rFonts w:hint="eastAsia" w:ascii="Times New Roman" w:hAnsi="Times New Roman"/>
          <w:color w:val="auto"/>
          <w:highlight w:val="none"/>
          <w:lang w:val="en-US" w:eastAsia="zh-CN"/>
        </w:rPr>
        <w:t xml:space="preserve">110 </w:t>
      </w:r>
      <w:r>
        <w:rPr>
          <w:rFonts w:hint="eastAsia" w:ascii="Times New Roman" w:hAnsi="Times New Roman" w:eastAsia="宋体"/>
          <w:color w:val="auto"/>
          <w:highlight w:val="none"/>
        </w:rPr>
        <w:t>配电线路串联调压装置技术规范</w:t>
      </w:r>
    </w:p>
    <w:p>
      <w:pPr>
        <w:pStyle w:val="355"/>
        <w:keepNext w:val="0"/>
        <w:keepLines w:val="0"/>
        <w:pageBreakBefore w:val="0"/>
        <w:widowControl w:val="0"/>
        <w:numPr>
          <w:ilvl w:val="0"/>
          <w:numId w:val="9"/>
        </w:numPr>
        <w:kinsoku/>
        <w:wordWrap/>
        <w:overflowPunct/>
        <w:topLinePunct/>
        <w:autoSpaceDE/>
        <w:autoSpaceDN/>
        <w:bidi w:val="0"/>
        <w:spacing w:line="400" w:lineRule="exact"/>
        <w:textAlignment w:val="auto"/>
        <w:outlineLvl w:val="0"/>
        <w:rPr>
          <w:rFonts w:hint="eastAsia" w:ascii="Times New Roman" w:hAnsi="Times New Roman" w:eastAsia="宋体" w:cs="宋体"/>
          <w:b/>
          <w:bCs/>
          <w:snapToGrid w:val="0"/>
          <w:color w:val="auto"/>
          <w:kern w:val="0"/>
          <w:sz w:val="21"/>
          <w:szCs w:val="21"/>
          <w:highlight w:val="none"/>
          <w:lang w:val="en-US" w:eastAsia="zh-CN"/>
        </w:rPr>
      </w:pPr>
      <w:bookmarkStart w:id="24" w:name="_Toc402276224"/>
      <w:bookmarkEnd w:id="24"/>
      <w:bookmarkStart w:id="25" w:name="_Toc292025347"/>
      <w:bookmarkStart w:id="26" w:name="_Toc17552"/>
      <w:bookmarkStart w:id="27" w:name="_Toc282993250"/>
      <w:bookmarkStart w:id="28" w:name="_Toc414979218"/>
      <w:bookmarkStart w:id="29" w:name="_Toc395186723"/>
      <w:r>
        <w:rPr>
          <w:rFonts w:hint="eastAsia" w:ascii="Times New Roman" w:hAnsi="Times New Roman" w:eastAsia="宋体" w:cs="宋体"/>
          <w:b/>
          <w:bCs/>
          <w:snapToGrid w:val="0"/>
          <w:color w:val="auto"/>
          <w:kern w:val="0"/>
          <w:sz w:val="21"/>
          <w:szCs w:val="21"/>
          <w:highlight w:val="none"/>
          <w:lang w:val="en-US" w:eastAsia="zh-CN"/>
        </w:rPr>
        <w:t>使用条件</w:t>
      </w:r>
      <w:bookmarkEnd w:id="25"/>
      <w:bookmarkEnd w:id="26"/>
      <w:bookmarkEnd w:id="27"/>
      <w:bookmarkEnd w:id="28"/>
      <w:bookmarkEnd w:id="29"/>
    </w:p>
    <w:p>
      <w:pPr>
        <w:keepNext w:val="0"/>
        <w:keepLines w:val="0"/>
        <w:pageBreakBefore w:val="0"/>
        <w:widowControl w:val="0"/>
        <w:numPr>
          <w:ilvl w:val="1"/>
          <w:numId w:val="10"/>
        </w:numPr>
        <w:kinsoku/>
        <w:wordWrap/>
        <w:overflowPunct/>
        <w:topLinePunct w:val="0"/>
        <w:autoSpaceDE/>
        <w:autoSpaceDN/>
        <w:bidi w:val="0"/>
        <w:adjustRightInd w:val="0"/>
        <w:snapToGrid w:val="0"/>
        <w:spacing w:line="400" w:lineRule="exact"/>
        <w:ind w:left="0" w:leftChars="0" w:firstLine="0" w:firstLineChars="0"/>
        <w:textAlignment w:val="auto"/>
        <w:rPr>
          <w:rFonts w:ascii="Times New Roman" w:hAnsi="Times New Roman" w:eastAsia="宋体"/>
          <w:color w:val="auto"/>
          <w:highlight w:val="none"/>
        </w:rPr>
      </w:pPr>
      <w:r>
        <w:rPr>
          <w:rFonts w:ascii="Times New Roman" w:hAnsi="Times New Roman" w:eastAsia="宋体"/>
          <w:color w:val="auto"/>
          <w:highlight w:val="none"/>
        </w:rPr>
        <w:t>正常使用条件：</w:t>
      </w:r>
    </w:p>
    <w:p>
      <w:pPr>
        <w:keepNext w:val="0"/>
        <w:keepLines w:val="0"/>
        <w:pageBreakBefore w:val="0"/>
        <w:widowControl w:val="0"/>
        <w:numPr>
          <w:ilvl w:val="2"/>
          <w:numId w:val="10"/>
        </w:numPr>
        <w:kinsoku/>
        <w:wordWrap/>
        <w:overflowPunct/>
        <w:topLinePunct w:val="0"/>
        <w:autoSpaceDE/>
        <w:autoSpaceDN/>
        <w:bidi w:val="0"/>
        <w:adjustRightInd w:val="0"/>
        <w:snapToGrid w:val="0"/>
        <w:spacing w:line="400" w:lineRule="exact"/>
        <w:ind w:left="0" w:leftChars="0" w:firstLine="0" w:firstLineChars="0"/>
        <w:textAlignment w:val="auto"/>
        <w:rPr>
          <w:rFonts w:ascii="Times New Roman" w:hAnsi="Times New Roman" w:eastAsia="宋体"/>
          <w:color w:val="auto"/>
          <w:highlight w:val="none"/>
        </w:rPr>
      </w:pPr>
      <w:r>
        <w:rPr>
          <w:rFonts w:hint="eastAsia" w:ascii="Times New Roman" w:hAnsi="Times New Roman" w:eastAsia="宋体"/>
          <w:color w:val="auto"/>
          <w:highlight w:val="none"/>
        </w:rPr>
        <w:t>环境条件</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环境温度范围：-25℃～+40℃；</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环境温度最大变化率：0.5℃/min；</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最大日温差：30K；</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环境相对湿度（在25℃时）：</w:t>
      </w:r>
    </w:p>
    <w:p>
      <w:pPr>
        <w:keepNext w:val="0"/>
        <w:keepLines w:val="0"/>
        <w:pageBreakBefore w:val="0"/>
        <w:widowControl w:val="0"/>
        <w:kinsoku/>
        <w:wordWrap/>
        <w:overflowPunct/>
        <w:topLinePunct w:val="0"/>
        <w:autoSpaceDE/>
        <w:autoSpaceDN/>
        <w:bidi w:val="0"/>
        <w:adjustRightInd w:val="0"/>
        <w:snapToGrid w:val="0"/>
        <w:spacing w:line="400" w:lineRule="exact"/>
        <w:ind w:left="840"/>
        <w:textAlignment w:val="auto"/>
        <w:rPr>
          <w:rFonts w:ascii="Times New Roman" w:hAnsi="Times New Roman" w:eastAsia="宋体"/>
          <w:color w:val="auto"/>
          <w:highlight w:val="none"/>
        </w:rPr>
      </w:pPr>
      <w:r>
        <w:rPr>
          <w:rFonts w:ascii="Times New Roman" w:hAnsi="Times New Roman" w:eastAsia="宋体"/>
          <w:color w:val="auto"/>
          <w:highlight w:val="none"/>
        </w:rPr>
        <w:t>湿度：5%～100%</w:t>
      </w:r>
    </w:p>
    <w:p>
      <w:pPr>
        <w:keepNext w:val="0"/>
        <w:keepLines w:val="0"/>
        <w:pageBreakBefore w:val="0"/>
        <w:widowControl w:val="0"/>
        <w:kinsoku/>
        <w:wordWrap/>
        <w:overflowPunct/>
        <w:topLinePunct w:val="0"/>
        <w:autoSpaceDE/>
        <w:autoSpaceDN/>
        <w:bidi w:val="0"/>
        <w:adjustRightInd w:val="0"/>
        <w:snapToGrid w:val="0"/>
        <w:spacing w:line="400" w:lineRule="exact"/>
        <w:ind w:left="840"/>
        <w:textAlignment w:val="auto"/>
        <w:rPr>
          <w:rFonts w:ascii="Times New Roman" w:hAnsi="Times New Roman" w:eastAsia="宋体"/>
          <w:color w:val="auto"/>
          <w:highlight w:val="none"/>
        </w:rPr>
      </w:pPr>
      <w:r>
        <w:rPr>
          <w:rFonts w:ascii="Times New Roman" w:hAnsi="Times New Roman" w:eastAsia="宋体"/>
          <w:color w:val="auto"/>
          <w:highlight w:val="none"/>
        </w:rPr>
        <w:t>日平均值：95%</w:t>
      </w:r>
    </w:p>
    <w:p>
      <w:pPr>
        <w:keepNext w:val="0"/>
        <w:keepLines w:val="0"/>
        <w:pageBreakBefore w:val="0"/>
        <w:widowControl w:val="0"/>
        <w:kinsoku/>
        <w:wordWrap/>
        <w:overflowPunct/>
        <w:topLinePunct w:val="0"/>
        <w:autoSpaceDE/>
        <w:autoSpaceDN/>
        <w:bidi w:val="0"/>
        <w:adjustRightInd w:val="0"/>
        <w:snapToGrid w:val="0"/>
        <w:spacing w:line="400" w:lineRule="exact"/>
        <w:ind w:left="840"/>
        <w:textAlignment w:val="auto"/>
        <w:rPr>
          <w:rFonts w:ascii="Times New Roman" w:hAnsi="Times New Roman" w:eastAsia="宋体"/>
          <w:color w:val="auto"/>
          <w:highlight w:val="none"/>
        </w:rPr>
      </w:pPr>
      <w:r>
        <w:rPr>
          <w:rFonts w:ascii="Times New Roman" w:hAnsi="Times New Roman" w:eastAsia="宋体"/>
          <w:color w:val="auto"/>
          <w:highlight w:val="none"/>
        </w:rPr>
        <w:t>月平均值：90%</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最大绝对湿度：35g/m</w:t>
      </w:r>
      <w:r>
        <w:rPr>
          <w:rFonts w:ascii="Times New Roman" w:hAnsi="Times New Roman" w:eastAsia="宋体"/>
          <w:color w:val="auto"/>
          <w:highlight w:val="none"/>
          <w:vertAlign w:val="superscript"/>
        </w:rPr>
        <w:t>3</w:t>
      </w:r>
      <w:r>
        <w:rPr>
          <w:rFonts w:ascii="Times New Roman" w:hAnsi="Times New Roman" w:eastAsia="宋体"/>
          <w:color w:val="auto"/>
          <w:highlight w:val="none"/>
        </w:rPr>
        <w:t>；</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hint="eastAsia" w:ascii="Times New Roman" w:hAnsi="Times New Roman" w:eastAsia="宋体"/>
          <w:color w:val="auto"/>
          <w:highlight w:val="none"/>
        </w:rPr>
        <w:t>日照强度：0.1W/cm</w:t>
      </w:r>
      <w:r>
        <w:rPr>
          <w:rFonts w:hint="eastAsia" w:ascii="Times New Roman" w:hAnsi="Times New Roman" w:eastAsia="宋体"/>
          <w:color w:val="auto"/>
          <w:highlight w:val="none"/>
          <w:vertAlign w:val="superscript"/>
        </w:rPr>
        <w:t>2</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hint="eastAsia" w:ascii="Times New Roman" w:hAnsi="Times New Roman" w:eastAsia="宋体"/>
          <w:color w:val="auto"/>
          <w:highlight w:val="none"/>
          <w:lang w:val="en-US" w:eastAsia="zh-CN"/>
        </w:rPr>
      </w:pPr>
      <w:r>
        <w:rPr>
          <w:rFonts w:ascii="Times New Roman" w:hAnsi="Times New Roman" w:eastAsia="宋体"/>
          <w:color w:val="auto"/>
          <w:highlight w:val="none"/>
        </w:rPr>
        <w:t>污秽等级：不低于d级；</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海拔高度：2000m及以下，对于高海拔地区根据GB/T 16935.1 给出的海拔修正系数进行修正；</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大气压力：70～106</w:t>
      </w:r>
      <w:r>
        <w:rPr>
          <w:rFonts w:hint="eastAsia" w:ascii="Times New Roman" w:hAnsi="Times New Roman" w:eastAsia="宋体"/>
          <w:color w:val="auto"/>
          <w:highlight w:val="none"/>
        </w:rPr>
        <w:t>k</w:t>
      </w:r>
      <w:r>
        <w:rPr>
          <w:rFonts w:ascii="Times New Roman" w:hAnsi="Times New Roman" w:eastAsia="宋体"/>
          <w:color w:val="auto"/>
          <w:highlight w:val="none"/>
        </w:rPr>
        <w:t>Pa；</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地震烈度：Ⅷ度；</w:t>
      </w:r>
    </w:p>
    <w:p>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textAlignment w:val="auto"/>
        <w:rPr>
          <w:rFonts w:ascii="Times New Roman" w:hAnsi="Times New Roman" w:eastAsia="宋体"/>
          <w:color w:val="auto"/>
          <w:highlight w:val="none"/>
        </w:rPr>
      </w:pPr>
      <w:r>
        <w:rPr>
          <w:rFonts w:ascii="Times New Roman" w:hAnsi="Times New Roman" w:eastAsia="宋体"/>
          <w:color w:val="auto"/>
          <w:highlight w:val="none"/>
        </w:rPr>
        <w:t>安装地点：</w:t>
      </w:r>
      <w:r>
        <w:rPr>
          <w:rFonts w:hint="eastAsia" w:ascii="Times New Roman" w:hAnsi="Times New Roman" w:eastAsia="宋体"/>
          <w:color w:val="auto"/>
          <w:highlight w:val="none"/>
        </w:rPr>
        <w:t>户外</w:t>
      </w:r>
      <w:r>
        <w:rPr>
          <w:rFonts w:ascii="Times New Roman" w:hAnsi="Times New Roman" w:eastAsia="宋体"/>
          <w:color w:val="auto"/>
          <w:highlight w:val="none"/>
        </w:rPr>
        <w:t>。</w:t>
      </w:r>
    </w:p>
    <w:p>
      <w:pPr>
        <w:keepNext w:val="0"/>
        <w:keepLines w:val="0"/>
        <w:pageBreakBefore w:val="0"/>
        <w:widowControl w:val="0"/>
        <w:numPr>
          <w:ilvl w:val="2"/>
          <w:numId w:val="10"/>
        </w:numPr>
        <w:kinsoku/>
        <w:wordWrap/>
        <w:overflowPunct/>
        <w:topLinePunct w:val="0"/>
        <w:autoSpaceDE/>
        <w:autoSpaceDN/>
        <w:bidi w:val="0"/>
        <w:adjustRightInd w:val="0"/>
        <w:snapToGrid w:val="0"/>
        <w:spacing w:line="400" w:lineRule="exact"/>
        <w:ind w:left="0" w:leftChars="0" w:firstLine="0" w:firstLineChars="0"/>
        <w:textAlignment w:val="auto"/>
        <w:rPr>
          <w:rFonts w:ascii="Times New Roman" w:hAnsi="Times New Roman" w:eastAsia="宋体"/>
          <w:color w:val="auto"/>
          <w:highlight w:val="none"/>
        </w:rPr>
      </w:pPr>
      <w:r>
        <w:rPr>
          <w:rFonts w:hint="eastAsia" w:ascii="Times New Roman" w:hAnsi="Times New Roman" w:eastAsia="宋体"/>
          <w:color w:val="auto"/>
          <w:highlight w:val="none"/>
        </w:rPr>
        <w:t>系统条件</w:t>
      </w:r>
    </w:p>
    <w:p>
      <w:pPr>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额定频率：50Hz</w:t>
      </w:r>
      <w:r>
        <w:rPr>
          <w:rFonts w:hint="eastAsia" w:ascii="Times New Roman" w:hAnsi="Times New Roman" w:eastAsia="宋体"/>
          <w:color w:val="auto"/>
          <w:highlight w:val="none"/>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标称电压：10kV</w:t>
      </w:r>
      <w:r>
        <w:rPr>
          <w:rFonts w:hint="eastAsia" w:ascii="Times New Roman" w:hAnsi="Times New Roman" w:eastAsia="宋体"/>
          <w:color w:val="auto"/>
          <w:highlight w:val="none"/>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最高运行电压：12kV</w:t>
      </w:r>
      <w:r>
        <w:rPr>
          <w:rFonts w:hint="eastAsia" w:ascii="Times New Roman" w:hAnsi="Times New Roman" w:eastAsia="宋体"/>
          <w:color w:val="auto"/>
          <w:highlight w:val="none"/>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三相电压不平衡度：正常运行时≤2%，短时≤4%；</w:t>
      </w:r>
    </w:p>
    <w:p>
      <w:pPr>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系统中性点接地方式：小电阻接地、消弧线圈接地</w:t>
      </w:r>
      <w:r>
        <w:rPr>
          <w:rFonts w:hint="eastAsia" w:ascii="Times New Roman" w:hAnsi="Times New Roman" w:eastAsia="宋体"/>
          <w:color w:val="auto"/>
          <w:highlight w:val="none"/>
        </w:rPr>
        <w:t>、</w:t>
      </w:r>
      <w:r>
        <w:rPr>
          <w:rFonts w:ascii="Times New Roman" w:hAnsi="Times New Roman" w:eastAsia="宋体"/>
          <w:color w:val="auto"/>
          <w:highlight w:val="none"/>
        </w:rPr>
        <w:t>不接地</w:t>
      </w:r>
    </w:p>
    <w:p>
      <w:pPr>
        <w:keepNext w:val="0"/>
        <w:keepLines w:val="0"/>
        <w:pageBreakBefore w:val="0"/>
        <w:widowControl w:val="0"/>
        <w:numPr>
          <w:ilvl w:val="1"/>
          <w:numId w:val="10"/>
        </w:numPr>
        <w:kinsoku/>
        <w:wordWrap/>
        <w:overflowPunct/>
        <w:autoSpaceDE/>
        <w:autoSpaceDN/>
        <w:bidi w:val="0"/>
        <w:spacing w:line="400" w:lineRule="exact"/>
        <w:ind w:left="0" w:leftChars="0" w:firstLine="0" w:firstLineChars="0"/>
        <w:textAlignment w:val="auto"/>
        <w:rPr>
          <w:rFonts w:ascii="Times New Roman" w:hAnsi="Times New Roman" w:eastAsia="宋体"/>
          <w:color w:val="auto"/>
          <w:highlight w:val="none"/>
        </w:rPr>
      </w:pPr>
      <w:bookmarkStart w:id="30" w:name="_Toc297040766"/>
      <w:r>
        <w:rPr>
          <w:rFonts w:hint="eastAsia" w:ascii="Times New Roman" w:hAnsi="Times New Roman" w:eastAsia="宋体"/>
          <w:color w:val="auto"/>
          <w:highlight w:val="none"/>
        </w:rPr>
        <w:t>特殊使用条件</w:t>
      </w:r>
      <w:bookmarkEnd w:id="30"/>
    </w:p>
    <w:p>
      <w:pPr>
        <w:keepNext w:val="0"/>
        <w:keepLines w:val="0"/>
        <w:pageBreakBefore w:val="0"/>
        <w:widowControl w:val="0"/>
        <w:kinsoku/>
        <w:wordWrap/>
        <w:overflowPunct/>
        <w:autoSpaceDE/>
        <w:autoSpaceDN/>
        <w:bidi w:val="0"/>
        <w:spacing w:line="400" w:lineRule="exact"/>
        <w:jc w:val="center"/>
        <w:textAlignment w:val="auto"/>
        <w:rPr>
          <w:rFonts w:ascii="Times New Roman" w:hAnsi="Times New Roman" w:eastAsia="宋体" w:cs="宋体"/>
          <w:color w:val="auto"/>
          <w:szCs w:val="21"/>
          <w:highlight w:val="none"/>
        </w:rPr>
      </w:pPr>
      <w:r>
        <w:rPr>
          <w:rFonts w:ascii="Times New Roman" w:hAnsi="Times New Roman" w:eastAsia="宋体"/>
          <w:color w:val="auto"/>
          <w:highlight w:val="none"/>
        </w:rPr>
        <w:t>投标方应对正常使用条件之外的特殊使用条件涉及的相关事项，在询价和订货时特别说明。</w:t>
      </w:r>
    </w:p>
    <w:p>
      <w:pPr>
        <w:pStyle w:val="355"/>
        <w:keepNext w:val="0"/>
        <w:keepLines w:val="0"/>
        <w:pageBreakBefore w:val="0"/>
        <w:widowControl w:val="0"/>
        <w:numPr>
          <w:ilvl w:val="0"/>
          <w:numId w:val="9"/>
        </w:numPr>
        <w:kinsoku/>
        <w:wordWrap/>
        <w:overflowPunct/>
        <w:topLinePunct/>
        <w:autoSpaceDE/>
        <w:autoSpaceDN/>
        <w:bidi w:val="0"/>
        <w:spacing w:line="400" w:lineRule="exact"/>
        <w:textAlignment w:val="auto"/>
        <w:outlineLvl w:val="0"/>
        <w:rPr>
          <w:rFonts w:hint="eastAsia" w:ascii="Times New Roman" w:hAnsi="Times New Roman" w:eastAsia="宋体" w:cs="宋体"/>
          <w:b/>
          <w:bCs/>
          <w:snapToGrid w:val="0"/>
          <w:color w:val="auto"/>
          <w:kern w:val="0"/>
          <w:sz w:val="21"/>
          <w:szCs w:val="21"/>
          <w:highlight w:val="none"/>
          <w:lang w:val="en-US" w:eastAsia="zh-CN"/>
        </w:rPr>
      </w:pPr>
      <w:bookmarkStart w:id="31" w:name="_Toc414979219"/>
      <w:bookmarkStart w:id="32" w:name="_Toc27558"/>
      <w:r>
        <w:rPr>
          <w:rFonts w:hint="eastAsia" w:ascii="Times New Roman" w:hAnsi="Times New Roman" w:eastAsia="宋体" w:cs="宋体"/>
          <w:b/>
          <w:bCs/>
          <w:snapToGrid w:val="0"/>
          <w:color w:val="auto"/>
          <w:kern w:val="0"/>
          <w:sz w:val="21"/>
          <w:szCs w:val="21"/>
          <w:highlight w:val="none"/>
          <w:lang w:val="en-US" w:eastAsia="zh-CN"/>
        </w:rPr>
        <w:t>技术要求</w:t>
      </w:r>
      <w:bookmarkEnd w:id="31"/>
      <w:bookmarkEnd w:id="32"/>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outlineLvl w:val="1"/>
        <w:rPr>
          <w:rFonts w:ascii="Times New Roman" w:hAnsi="Times New Roman" w:eastAsia="宋体" w:cs="黑体"/>
          <w:color w:val="auto"/>
          <w:highlight w:val="none"/>
        </w:rPr>
      </w:pPr>
      <w:bookmarkStart w:id="33" w:name="_Toc4644"/>
      <w:bookmarkStart w:id="34" w:name="_Toc251422135"/>
      <w:bookmarkStart w:id="35" w:name="_Toc276492376"/>
      <w:bookmarkStart w:id="36" w:name="_Toc297040768"/>
      <w:r>
        <w:rPr>
          <w:rFonts w:hint="eastAsia" w:ascii="Times New Roman" w:hAnsi="Times New Roman" w:eastAsia="宋体" w:cs="黑体"/>
          <w:color w:val="auto"/>
          <w:highlight w:val="none"/>
          <w:lang w:val="en-US" w:eastAsia="zh-CN"/>
        </w:rPr>
        <w:t xml:space="preserve">5.1 </w:t>
      </w:r>
      <w:r>
        <w:rPr>
          <w:rFonts w:hint="eastAsia" w:ascii="Times New Roman" w:hAnsi="Times New Roman" w:eastAsia="宋体" w:cs="黑体"/>
          <w:color w:val="auto"/>
          <w:highlight w:val="none"/>
        </w:rPr>
        <w:t>调压装置构成</w:t>
      </w:r>
      <w:bookmarkEnd w:id="33"/>
    </w:p>
    <w:bookmarkEnd w:id="34"/>
    <w:bookmarkEnd w:id="35"/>
    <w:bookmarkEnd w:id="36"/>
    <w:p>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调压装置的输入端应设置隔离开关、断路器、避雷器、</w:t>
      </w:r>
      <w:r>
        <w:rPr>
          <w:rFonts w:hint="eastAsia" w:ascii="Times New Roman" w:hAnsi="Times New Roman" w:eastAsia="宋体"/>
          <w:color w:val="auto"/>
          <w:highlight w:val="none"/>
        </w:rPr>
        <w:t>电压互感器、电流互感器</w:t>
      </w:r>
      <w:r>
        <w:rPr>
          <w:rFonts w:ascii="Times New Roman" w:hAnsi="Times New Roman" w:eastAsia="宋体"/>
          <w:color w:val="auto"/>
          <w:highlight w:val="none"/>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调压装置的</w:t>
      </w:r>
      <w:r>
        <w:rPr>
          <w:rFonts w:ascii="Times New Roman" w:hAnsi="Times New Roman" w:eastAsia="宋体"/>
          <w:color w:val="auto"/>
          <w:szCs w:val="21"/>
          <w:highlight w:val="none"/>
        </w:rPr>
        <w:t>输出端应设置避雷器、隔离开关，断路器</w:t>
      </w:r>
      <w:r>
        <w:rPr>
          <w:rFonts w:hint="eastAsia" w:ascii="Times New Roman" w:hAnsi="Times New Roman" w:eastAsia="宋体"/>
          <w:color w:val="auto"/>
          <w:szCs w:val="21"/>
          <w:highlight w:val="none"/>
        </w:rPr>
        <w:t>（</w:t>
      </w:r>
      <w:r>
        <w:rPr>
          <w:rFonts w:ascii="Times New Roman" w:hAnsi="Times New Roman" w:eastAsia="宋体"/>
          <w:color w:val="auto"/>
          <w:szCs w:val="21"/>
          <w:highlight w:val="none"/>
        </w:rPr>
        <w:t>输出侧有电源时选配</w:t>
      </w:r>
      <w:r>
        <w:rPr>
          <w:rFonts w:hint="eastAsia" w:ascii="Times New Roman" w:hAnsi="Times New Roman" w:eastAsia="宋体"/>
          <w:color w:val="auto"/>
          <w:szCs w:val="21"/>
          <w:highlight w:val="none"/>
        </w:rPr>
        <w:t>），</w:t>
      </w:r>
      <w:r>
        <w:rPr>
          <w:rFonts w:ascii="Times New Roman" w:hAnsi="Times New Roman" w:eastAsia="宋体"/>
          <w:color w:val="auto"/>
          <w:szCs w:val="21"/>
          <w:highlight w:val="none"/>
        </w:rPr>
        <w:t>电压互感器；</w:t>
      </w:r>
    </w:p>
    <w:p>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调压装置的</w:t>
      </w:r>
      <w:r>
        <w:rPr>
          <w:rFonts w:hint="eastAsia" w:ascii="Times New Roman" w:hAnsi="Times New Roman" w:eastAsia="宋体"/>
          <w:color w:val="auto"/>
          <w:szCs w:val="21"/>
          <w:highlight w:val="none"/>
        </w:rPr>
        <w:t>输入</w:t>
      </w:r>
      <w:r>
        <w:rPr>
          <w:rFonts w:ascii="Times New Roman" w:hAnsi="Times New Roman" w:eastAsia="宋体"/>
          <w:color w:val="auto"/>
          <w:szCs w:val="21"/>
          <w:highlight w:val="none"/>
        </w:rPr>
        <w:t>端与输出端之间应设置带隔离开关、断路器的旁路</w:t>
      </w:r>
      <w:r>
        <w:rPr>
          <w:rFonts w:hint="eastAsia" w:ascii="Times New Roman" w:hAnsi="Times New Roman" w:eastAsia="宋体"/>
          <w:color w:val="auto"/>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调压装置的</w:t>
      </w:r>
      <w:r>
        <w:rPr>
          <w:rFonts w:hint="eastAsia" w:ascii="Times New Roman" w:hAnsi="Times New Roman" w:eastAsia="宋体"/>
          <w:color w:val="auto"/>
          <w:szCs w:val="21"/>
          <w:highlight w:val="none"/>
        </w:rPr>
        <w:t>调压装置的升降档、保护用断路器及旁路用断路器由调压控制器根据</w:t>
      </w:r>
      <w:r>
        <w:rPr>
          <w:rFonts w:ascii="Times New Roman" w:hAnsi="Times New Roman" w:eastAsia="宋体"/>
          <w:color w:val="auto"/>
          <w:szCs w:val="21"/>
          <w:highlight w:val="none"/>
        </w:rPr>
        <w:t>要求</w:t>
      </w:r>
      <w:r>
        <w:rPr>
          <w:rFonts w:hint="eastAsia" w:ascii="Times New Roman" w:hAnsi="Times New Roman" w:eastAsia="宋体"/>
          <w:color w:val="auto"/>
          <w:szCs w:val="21"/>
          <w:highlight w:val="none"/>
        </w:rPr>
        <w:t>进行</w:t>
      </w:r>
      <w:r>
        <w:rPr>
          <w:rFonts w:ascii="Times New Roman" w:hAnsi="Times New Roman" w:eastAsia="宋体"/>
          <w:color w:val="auto"/>
          <w:szCs w:val="21"/>
          <w:highlight w:val="none"/>
        </w:rPr>
        <w:t>自动</w:t>
      </w:r>
      <w:r>
        <w:rPr>
          <w:rFonts w:hint="eastAsia" w:ascii="Times New Roman" w:hAnsi="Times New Roman" w:eastAsia="宋体"/>
          <w:color w:val="auto"/>
          <w:szCs w:val="21"/>
          <w:highlight w:val="none"/>
        </w:rPr>
        <w:t>控制；</w:t>
      </w:r>
    </w:p>
    <w:p>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szCs w:val="21"/>
          <w:highlight w:val="none"/>
        </w:rPr>
        <w:t>调压装置的</w:t>
      </w:r>
      <w:r>
        <w:rPr>
          <w:rFonts w:hint="eastAsia" w:ascii="Times New Roman" w:hAnsi="Times New Roman" w:eastAsia="宋体"/>
          <w:color w:val="auto"/>
          <w:szCs w:val="21"/>
          <w:highlight w:val="none"/>
          <w:lang w:val="en-US" w:eastAsia="zh-CN"/>
        </w:rPr>
        <w:t>典型</w:t>
      </w:r>
      <w:r>
        <w:rPr>
          <w:rFonts w:ascii="Times New Roman" w:hAnsi="Times New Roman" w:eastAsia="宋体"/>
          <w:color w:val="auto"/>
          <w:highlight w:val="none"/>
        </w:rPr>
        <w:t>一次接线参考图</w:t>
      </w:r>
      <w:r>
        <w:rPr>
          <w:rFonts w:hint="eastAsia" w:ascii="Times New Roman" w:hAnsi="Times New Roman"/>
          <w:color w:val="auto"/>
          <w:highlight w:val="none"/>
          <w:lang w:val="en-US" w:eastAsia="zh-CN"/>
        </w:rPr>
        <w:t>1</w:t>
      </w:r>
      <w:r>
        <w:rPr>
          <w:rFonts w:ascii="Times New Roman" w:hAnsi="Times New Roman" w:eastAsia="宋体"/>
          <w:color w:val="auto"/>
          <w:szCs w:val="21"/>
          <w:highlight w:val="none"/>
        </w:rPr>
        <w:t>，</w:t>
      </w:r>
      <w:r>
        <w:rPr>
          <w:rFonts w:ascii="Times New Roman" w:hAnsi="Times New Roman" w:eastAsia="宋体"/>
          <w:color w:val="auto"/>
          <w:highlight w:val="none"/>
        </w:rPr>
        <w:t>调压装置基本配置见表</w:t>
      </w:r>
      <w:r>
        <w:rPr>
          <w:rFonts w:hint="eastAsia" w:ascii="Times New Roman" w:hAnsi="Times New Roman"/>
          <w:color w:val="auto"/>
          <w:highlight w:val="none"/>
          <w:lang w:val="en-US" w:eastAsia="zh-CN"/>
        </w:rPr>
        <w:t>2</w:t>
      </w:r>
      <w:r>
        <w:rPr>
          <w:rFonts w:ascii="Times New Roman" w:hAnsi="Times New Roman" w:eastAsia="宋体"/>
          <w:color w:val="auto"/>
          <w:highlight w:val="none"/>
        </w:rPr>
        <w:t>。</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lang w:val="en-US" w:eastAsia="zh-CN"/>
        </w:rPr>
        <w:t>无功补偿设备另配，未画在图上</w:t>
      </w:r>
      <w:r>
        <w:rPr>
          <w:rFonts w:hint="eastAsia" w:ascii="Times New Roman" w:hAnsi="Times New Roman" w:eastAsia="宋体"/>
          <w:color w:val="auto"/>
          <w:highlight w:val="none"/>
          <w:lang w:eastAsia="zh-CN"/>
        </w:rPr>
        <w:t>）</w:t>
      </w:r>
    </w:p>
    <w:p>
      <w:pPr>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olor w:val="auto"/>
          <w:highlight w:val="none"/>
        </w:rPr>
        <w:object>
          <v:shape id="_x0000_i1025" o:spt="75" type="#_x0000_t75" style="height:132pt;width:367.8pt;" o:ole="t" filled="f" o:preferrelative="t" stroked="f" coordsize="21600,21600">
            <v:path/>
            <v:fill on="f" focussize="0,0"/>
            <v:stroke on="f" joinstyle="miter"/>
            <v:imagedata r:id="rId13" o:title=""/>
            <o:lock v:ext="edit" aspectratio="t"/>
            <w10:wrap type="none"/>
            <w10:anchorlock/>
          </v:shape>
          <o:OLEObject Type="Embed" ProgID="Visio.DrawingConvertable.15" ShapeID="_x0000_i1025" DrawAspect="Content" ObjectID="_1468075725" r:id="rId12">
            <o:LockedField>false</o:LockedField>
          </o:OLEObject>
        </w:object>
      </w:r>
    </w:p>
    <w:p>
      <w:pPr>
        <w:pStyle w:val="351"/>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eastAsia="宋体" w:cs="Times New Roman"/>
          <w:b/>
          <w:color w:val="auto"/>
          <w:szCs w:val="21"/>
          <w:highlight w:val="none"/>
        </w:rPr>
      </w:pPr>
      <w:r>
        <w:rPr>
          <w:rFonts w:ascii="Times New Roman" w:hAnsi="Times New Roman" w:eastAsia="宋体" w:cs="Times New Roman"/>
          <w:b/>
          <w:color w:val="auto"/>
          <w:szCs w:val="21"/>
          <w:highlight w:val="none"/>
        </w:rPr>
        <w:t>图 1 调压</w:t>
      </w:r>
      <w:r>
        <w:rPr>
          <w:rFonts w:hint="eastAsia" w:ascii="Times New Roman" w:hAnsi="Times New Roman" w:eastAsia="宋体" w:cs="Times New Roman"/>
          <w:b/>
          <w:color w:val="auto"/>
          <w:szCs w:val="21"/>
          <w:highlight w:val="none"/>
        </w:rPr>
        <w:t>装置构成</w:t>
      </w:r>
      <w:r>
        <w:rPr>
          <w:rFonts w:ascii="Times New Roman" w:hAnsi="Times New Roman" w:eastAsia="宋体" w:cs="Times New Roman"/>
          <w:b/>
          <w:color w:val="auto"/>
          <w:szCs w:val="21"/>
          <w:highlight w:val="none"/>
        </w:rPr>
        <w:t>示意图</w:t>
      </w:r>
    </w:p>
    <w:p>
      <w:pPr>
        <w:pStyle w:val="351"/>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eastAsia="宋体"/>
          <w:b/>
          <w:color w:val="auto"/>
          <w:szCs w:val="21"/>
          <w:highlight w:val="none"/>
        </w:rPr>
      </w:pPr>
      <w:r>
        <w:rPr>
          <w:rFonts w:ascii="Times New Roman" w:hAnsi="Times New Roman" w:eastAsia="宋体"/>
          <w:b/>
          <w:color w:val="auto"/>
          <w:szCs w:val="21"/>
          <w:highlight w:val="none"/>
        </w:rPr>
        <w:t>表</w:t>
      </w:r>
      <w:r>
        <w:rPr>
          <w:rFonts w:hint="eastAsia" w:ascii="Times New Roman" w:hAnsi="Times New Roman"/>
          <w:b/>
          <w:color w:val="auto"/>
          <w:szCs w:val="21"/>
          <w:highlight w:val="none"/>
          <w:lang w:val="en-US" w:eastAsia="zh-CN"/>
        </w:rPr>
        <w:t>2</w:t>
      </w:r>
      <w:r>
        <w:rPr>
          <w:rFonts w:ascii="Times New Roman" w:hAnsi="Times New Roman" w:eastAsia="宋体"/>
          <w:b/>
          <w:color w:val="auto"/>
          <w:szCs w:val="21"/>
          <w:highlight w:val="none"/>
        </w:rPr>
        <w:t xml:space="preserve"> 基本配置表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2"/>
        <w:gridCol w:w="669"/>
        <w:gridCol w:w="669"/>
        <w:gridCol w:w="2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设备名称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单位</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数量</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自耦变压器</w:t>
            </w:r>
            <w:r>
              <w:rPr>
                <w:rFonts w:hint="eastAsia" w:ascii="Times New Roman" w:hAnsi="Times New Roman" w:eastAsia="宋体"/>
                <w:color w:val="auto"/>
                <w:szCs w:val="21"/>
                <w:highlight w:val="none"/>
              </w:rPr>
              <w:t>及</w:t>
            </w:r>
            <w:r>
              <w:rPr>
                <w:rFonts w:ascii="Times New Roman" w:hAnsi="Times New Roman" w:eastAsia="宋体"/>
                <w:color w:val="auto"/>
                <w:szCs w:val="21"/>
                <w:highlight w:val="none"/>
              </w:rPr>
              <w:t>分接开关</w:t>
            </w:r>
            <w:r>
              <w:rPr>
                <w:rFonts w:hint="eastAsia" w:ascii="Times New Roman" w:hAnsi="Times New Roman" w:eastAsia="宋体"/>
                <w:color w:val="auto"/>
                <w:szCs w:val="21"/>
                <w:highlight w:val="none"/>
              </w:rPr>
              <w:t>（SVR）</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1</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高压真空断路器（QF1、QF2）</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2</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高压真空断路器（QF3）</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1</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bookmarkStart w:id="261" w:name="_GoBack"/>
            <w:bookmarkEnd w:id="2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避雷器（F1、F2）</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只</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宋体"/>
                <w:color w:val="auto"/>
                <w:szCs w:val="21"/>
                <w:highlight w:val="none"/>
                <w:lang w:eastAsia="zh-CN"/>
              </w:rPr>
            </w:pPr>
            <w:r>
              <w:rPr>
                <w:rFonts w:hint="eastAsia" w:ascii="Times New Roman" w:hAnsi="Times New Roman" w:eastAsia="宋体"/>
                <w:color w:val="auto"/>
                <w:szCs w:val="21"/>
                <w:highlight w:val="none"/>
                <w:lang w:val="en-US" w:eastAsia="zh-CN"/>
              </w:rPr>
              <w:t>2</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单相隔离开关（QS1、QS2、QS3）</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只</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3</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电流互感器（TA）</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1</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电压互感器（TV）</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台</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2</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62"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控制器</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套</w:t>
            </w:r>
          </w:p>
        </w:tc>
        <w:tc>
          <w:tcPr>
            <w:tcW w:w="669" w:type="dxa"/>
            <w:vAlign w:val="center"/>
          </w:tcPr>
          <w:p>
            <w:pPr>
              <w:pStyle w:val="351"/>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宋体"/>
                <w:color w:val="auto"/>
                <w:szCs w:val="21"/>
                <w:highlight w:val="none"/>
              </w:rPr>
            </w:pPr>
            <w:r>
              <w:rPr>
                <w:rFonts w:ascii="Times New Roman" w:hAnsi="Times New Roman" w:eastAsia="宋体"/>
                <w:color w:val="auto"/>
                <w:szCs w:val="21"/>
                <w:highlight w:val="none"/>
              </w:rPr>
              <w:t>1</w:t>
            </w:r>
          </w:p>
        </w:tc>
        <w:tc>
          <w:tcPr>
            <w:tcW w:w="2878" w:type="dxa"/>
            <w:vAlign w:val="center"/>
          </w:tcPr>
          <w:p>
            <w:pPr>
              <w:pStyle w:val="351"/>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宋体"/>
                <w:color w:val="auto"/>
                <w:szCs w:val="21"/>
                <w:highlight w:val="none"/>
              </w:rPr>
            </w:pPr>
          </w:p>
        </w:tc>
      </w:tr>
    </w:tbl>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ascii="Times New Roman" w:hAnsi="Times New Roman" w:eastAsia="宋体"/>
          <w:color w:val="auto"/>
          <w:highlight w:val="none"/>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outlineLvl w:val="1"/>
        <w:rPr>
          <w:rFonts w:hint="eastAsia" w:ascii="Times New Roman" w:hAnsi="Times New Roman" w:eastAsia="宋体" w:cs="黑体"/>
          <w:color w:val="auto"/>
          <w:highlight w:val="none"/>
          <w:lang w:val="en-US" w:eastAsia="zh-CN"/>
        </w:rPr>
      </w:pPr>
      <w:bookmarkStart w:id="37" w:name="_Toc27996"/>
      <w:r>
        <w:rPr>
          <w:rFonts w:hint="eastAsia" w:ascii="Times New Roman" w:hAnsi="Times New Roman" w:eastAsia="宋体" w:cs="黑体"/>
          <w:color w:val="auto"/>
          <w:highlight w:val="none"/>
          <w:lang w:val="en-US" w:eastAsia="zh-CN"/>
        </w:rPr>
        <w:t>5.2 功能要求</w:t>
      </w:r>
      <w:bookmarkEnd w:id="37"/>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38" w:name="_Toc18896"/>
      <w:r>
        <w:rPr>
          <w:rFonts w:hint="eastAsia" w:ascii="Times New Roman" w:hAnsi="Times New Roman" w:eastAsia="宋体" w:cs="黑体"/>
          <w:color w:val="auto"/>
          <w:highlight w:val="none"/>
        </w:rPr>
        <w:t>电压调节功能</w:t>
      </w:r>
      <w:bookmarkEnd w:id="38"/>
    </w:p>
    <w:p>
      <w:pPr>
        <w:keepNext w:val="0"/>
        <w:keepLines w:val="0"/>
        <w:pageBreakBefore w:val="0"/>
        <w:widowControl w:val="0"/>
        <w:numPr>
          <w:ilvl w:val="0"/>
          <w:numId w:val="1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装置应具备自动调节、手动调节等</w:t>
      </w:r>
      <w:r>
        <w:rPr>
          <w:rFonts w:hint="eastAsia" w:ascii="Times New Roman" w:hAnsi="Times New Roman" w:eastAsia="宋体"/>
          <w:color w:val="auto"/>
          <w:highlight w:val="none"/>
        </w:rPr>
        <w:t>控制</w:t>
      </w:r>
      <w:r>
        <w:rPr>
          <w:rFonts w:ascii="Times New Roman" w:hAnsi="Times New Roman" w:eastAsia="宋体"/>
          <w:color w:val="auto"/>
          <w:highlight w:val="none"/>
        </w:rPr>
        <w:t>模式</w:t>
      </w:r>
      <w:r>
        <w:rPr>
          <w:rFonts w:hint="eastAsia" w:ascii="Times New Roman" w:hAnsi="Times New Roman" w:eastAsia="宋体"/>
          <w:color w:val="auto"/>
          <w:highlight w:val="none"/>
        </w:rPr>
        <w:t>；</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s="宋体"/>
          <w:color w:val="auto"/>
          <w:highlight w:val="none"/>
        </w:rPr>
        <w:t>★</w:t>
      </w:r>
      <w:r>
        <w:rPr>
          <w:rFonts w:ascii="Times New Roman" w:hAnsi="Times New Roman" w:eastAsia="宋体"/>
          <w:color w:val="auto"/>
          <w:highlight w:val="none"/>
        </w:rPr>
        <w:t>在自动调节模式下，装置应自动跟踪输出电压变化调整分接开关档位、识别潮流方向，确保输出端电压稳定在</w:t>
      </w:r>
      <w:r>
        <w:rPr>
          <w:rFonts w:hint="eastAsia" w:ascii="Times New Roman" w:hAnsi="Times New Roman" w:eastAsia="宋体"/>
          <w:color w:val="auto"/>
          <w:highlight w:val="none"/>
        </w:rPr>
        <w:t>预设范围；</w:t>
      </w:r>
    </w:p>
    <w:p>
      <w:pPr>
        <w:keepNext w:val="0"/>
        <w:keepLines w:val="0"/>
        <w:pageBreakBefore w:val="0"/>
        <w:widowControl w:val="0"/>
        <w:numPr>
          <w:ilvl w:val="0"/>
          <w:numId w:val="1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在手动调节模式下，装置可根据就地或远方执行调整分接开关档位指令</w:t>
      </w:r>
      <w:r>
        <w:rPr>
          <w:rFonts w:hint="eastAsia" w:ascii="Times New Roman" w:hAnsi="Times New Roman" w:eastAsia="宋体"/>
          <w:color w:val="auto"/>
          <w:highlight w:val="none"/>
          <w:lang w:eastAsia="zh-CN"/>
        </w:rPr>
        <w:t>；</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39" w:name="_Toc7050"/>
      <w:r>
        <w:rPr>
          <w:rFonts w:hint="eastAsia" w:ascii="Times New Roman" w:hAnsi="Times New Roman" w:eastAsia="宋体" w:cs="黑体"/>
          <w:color w:val="auto"/>
          <w:highlight w:val="none"/>
        </w:rPr>
        <w:t>保护和告警功能</w:t>
      </w:r>
      <w:bookmarkEnd w:id="39"/>
    </w:p>
    <w:p>
      <w:pPr>
        <w:keepNext w:val="0"/>
        <w:keepLines w:val="0"/>
        <w:pageBreakBefore w:val="0"/>
        <w:widowControl w:val="0"/>
        <w:numPr>
          <w:ilvl w:val="0"/>
          <w:numId w:val="16"/>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rPr>
        <w:t>装置应具备以下保护功能：过流保护、过负荷保护、低电压保护、过电压保护、失压保护、瓦斯保护、过温保护、日动作次数限制保护。</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lang w:val="en-US" w:eastAsia="zh-CN"/>
        </w:rPr>
        <w:t>调压器应具备断电保护功能：当线路电压中断后恢复供电时，控制器应采取相应的措施，避免调压器在高档位时突然得电造成的高电压。</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rPr>
      </w:pPr>
      <w:r>
        <w:rPr>
          <w:rFonts w:hint="eastAsia" w:ascii="Times New Roman" w:hAnsi="Times New Roman" w:eastAsia="宋体"/>
          <w:color w:val="auto"/>
          <w:highlight w:val="none"/>
        </w:rPr>
        <w:t>保护可动作于旁路、告警，保护定值和延时可根据实际需求设置。</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0" w:name="_Toc7368"/>
      <w:r>
        <w:rPr>
          <w:rFonts w:hint="eastAsia" w:ascii="Times New Roman" w:hAnsi="Times New Roman" w:eastAsia="宋体" w:cs="黑体"/>
          <w:color w:val="auto"/>
          <w:highlight w:val="none"/>
        </w:rPr>
        <w:t>监测功能</w:t>
      </w:r>
      <w:bookmarkEnd w:id="40"/>
    </w:p>
    <w:p>
      <w:pPr>
        <w:keepNext w:val="0"/>
        <w:keepLines w:val="0"/>
        <w:pageBreakBefore w:val="0"/>
        <w:widowControl w:val="0"/>
        <w:numPr>
          <w:ilvl w:val="0"/>
          <w:numId w:val="17"/>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装置应具备以下监测功能：</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断路器位置、自动/手动/旁路等工作模式</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输入侧和输出侧电压、电流、有功功率、无功功率、功率因数</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输入侧和输出侧，电压、电流的正序、负序和零序分量</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分接开关当前位置</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数据采集满足GB/T 19862要求</w:t>
      </w:r>
    </w:p>
    <w:p>
      <w:pPr>
        <w:keepNext w:val="0"/>
        <w:keepLines w:val="0"/>
        <w:pageBreakBefore w:val="0"/>
        <w:widowControl w:val="0"/>
        <w:numPr>
          <w:ilvl w:val="0"/>
          <w:numId w:val="17"/>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监测数据保存时间不少于1年，数据间隔为3分钟</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1" w:name="_Toc29373"/>
      <w:r>
        <w:rPr>
          <w:rFonts w:hint="eastAsia" w:ascii="Times New Roman" w:hAnsi="Times New Roman" w:eastAsia="宋体" w:cs="黑体"/>
          <w:color w:val="auto"/>
          <w:highlight w:val="none"/>
        </w:rPr>
        <w:t>事件记录</w:t>
      </w:r>
      <w:r>
        <w:rPr>
          <w:rFonts w:hint="eastAsia" w:ascii="Times New Roman" w:hAnsi="Times New Roman" w:eastAsia="宋体" w:cs="黑体"/>
          <w:color w:val="auto"/>
          <w:highlight w:val="none"/>
          <w:lang w:val="en-US" w:eastAsia="zh-CN"/>
        </w:rPr>
        <w:t>与故障录波</w:t>
      </w:r>
      <w:r>
        <w:rPr>
          <w:rFonts w:hint="eastAsia" w:ascii="Times New Roman" w:hAnsi="Times New Roman" w:eastAsia="宋体" w:cs="黑体"/>
          <w:color w:val="auto"/>
          <w:highlight w:val="none"/>
        </w:rPr>
        <w:t>功能</w:t>
      </w:r>
      <w:bookmarkEnd w:id="41"/>
    </w:p>
    <w:p>
      <w:pPr>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装置应具备以下事件的记录</w:t>
      </w:r>
      <w:r>
        <w:rPr>
          <w:rFonts w:hint="eastAsia" w:ascii="Times New Roman" w:hAnsi="Times New Roman" w:eastAsia="宋体"/>
          <w:color w:val="auto"/>
          <w:highlight w:val="none"/>
          <w:lang w:val="en-US" w:eastAsia="zh-CN"/>
        </w:rPr>
        <w:t>与录波</w:t>
      </w:r>
      <w:r>
        <w:rPr>
          <w:rFonts w:hint="eastAsia" w:ascii="Times New Roman" w:hAnsi="Times New Roman" w:eastAsia="宋体"/>
          <w:color w:val="auto"/>
          <w:highlight w:val="none"/>
        </w:rPr>
        <w:t>功能：</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旁路、自动和手动等工作模式切换</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分接开关动作前、后的档位</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保护和告警的类型和时刻、当前档位、SOE</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自动重启时刻及结果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lang w:val="en-US" w:eastAsia="zh-CN"/>
        </w:rPr>
        <w:t>录波功能启动条件包括过流故障、线路失压、零序电压、零序电流突变等，可远方及就地设定启动条件参数；</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lang w:val="en-US" w:eastAsia="zh-CN"/>
        </w:rPr>
        <w:t>录波文件格式遵循Comtrade1999标准中定义的格式，采用CFG（配置文件，ASCII文本）和DAT（数据文件，二进制格式）两个文件；</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2" w:name="_Toc27902"/>
      <w:r>
        <w:rPr>
          <w:rFonts w:hint="eastAsia" w:ascii="Times New Roman" w:hAnsi="Times New Roman" w:eastAsia="宋体" w:cs="黑体"/>
          <w:color w:val="auto"/>
          <w:highlight w:val="none"/>
        </w:rPr>
        <w:t>通信功能</w:t>
      </w:r>
      <w:bookmarkEnd w:id="42"/>
    </w:p>
    <w:p>
      <w:pPr>
        <w:keepNext w:val="0"/>
        <w:keepLines w:val="0"/>
        <w:pageBreakBefore w:val="0"/>
        <w:widowControl w:val="0"/>
        <w:numPr>
          <w:ilvl w:val="0"/>
          <w:numId w:val="20"/>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rPr>
        <w:t>应支持4G、光纤等通信方式，实现遥信、遥测、遥控功能；</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rPr>
      </w:pPr>
      <w:r>
        <w:rPr>
          <w:rFonts w:hint="eastAsia" w:ascii="Times New Roman" w:hAnsi="Times New Roman" w:eastAsia="宋体"/>
          <w:color w:val="auto"/>
          <w:highlight w:val="none"/>
        </w:rPr>
        <w:t>应具备专用的RS232和RJ45网络维护接口；</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s="宋体"/>
          <w:color w:val="auto"/>
          <w:highlight w:val="none"/>
        </w:rPr>
        <w:t>★</w:t>
      </w:r>
      <w:r>
        <w:rPr>
          <w:rFonts w:hint="eastAsia" w:ascii="Times New Roman" w:hAnsi="Times New Roman" w:eastAsia="宋体"/>
          <w:color w:val="auto"/>
          <w:highlight w:val="none"/>
          <w:lang w:val="en-US" w:eastAsia="zh-CN"/>
        </w:rPr>
        <w:t>具备与云南电网配网自动化系统通讯功能；</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00" w:lineRule="exact"/>
        <w:ind w:left="420" w:firstLine="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通信协议可根据需要灵活配置，并可实现未来对其他通信方式的扩展、兼容。</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3" w:name="_Toc11855"/>
      <w:r>
        <w:rPr>
          <w:rFonts w:hint="eastAsia" w:ascii="Times New Roman" w:hAnsi="Times New Roman" w:eastAsia="宋体" w:cs="黑体"/>
          <w:color w:val="auto"/>
          <w:highlight w:val="none"/>
        </w:rPr>
        <w:t>对时功能要求</w:t>
      </w:r>
      <w:bookmarkEnd w:id="43"/>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具备主站时钟校时功能，支持北斗、GPS和运营商对时功能。</w:t>
      </w: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4" w:name="_Toc11469"/>
      <w:r>
        <w:rPr>
          <w:rFonts w:hint="eastAsia" w:ascii="Times New Roman" w:hAnsi="Times New Roman" w:eastAsia="宋体" w:cs="黑体"/>
          <w:color w:val="auto"/>
          <w:highlight w:val="none"/>
        </w:rPr>
        <w:t>人机交互功能</w:t>
      </w:r>
      <w:bookmarkEnd w:id="44"/>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ascii="Times New Roman" w:hAnsi="Times New Roman" w:eastAsia="宋体"/>
          <w:color w:val="auto"/>
          <w:highlight w:val="none"/>
        </w:rPr>
        <w:t>应支持通过按键和液晶显示进行装置参数设置、数据查询和显示，具体要求如下表所示。</w:t>
      </w:r>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jc w:val="center"/>
        <w:textAlignment w:val="auto"/>
        <w:rPr>
          <w:rFonts w:ascii="Times New Roman" w:hAnsi="Times New Roman" w:eastAsia="宋体"/>
          <w:b/>
          <w:bCs/>
          <w:color w:val="auto"/>
          <w:highlight w:val="none"/>
        </w:rPr>
      </w:pPr>
      <w:r>
        <w:rPr>
          <w:rFonts w:ascii="Times New Roman" w:hAnsi="Times New Roman" w:eastAsia="宋体"/>
          <w:b/>
          <w:bCs/>
          <w:color w:val="auto"/>
          <w:highlight w:val="none"/>
        </w:rPr>
        <w:t>表</w:t>
      </w:r>
      <w:r>
        <w:rPr>
          <w:rFonts w:hint="eastAsia" w:ascii="Times New Roman" w:hAnsi="Times New Roman"/>
          <w:b/>
          <w:bCs/>
          <w:color w:val="auto"/>
          <w:highlight w:val="none"/>
          <w:lang w:val="en-US" w:eastAsia="zh-CN"/>
        </w:rPr>
        <w:t>3</w:t>
      </w:r>
      <w:r>
        <w:rPr>
          <w:rFonts w:ascii="Times New Roman" w:hAnsi="Times New Roman" w:eastAsia="宋体"/>
          <w:b/>
          <w:bCs/>
          <w:color w:val="auto"/>
          <w:highlight w:val="none"/>
        </w:rPr>
        <w:t xml:space="preserve"> 查询、显示及设置参数表</w:t>
      </w:r>
    </w:p>
    <w:tbl>
      <w:tblPr>
        <w:tblStyle w:val="4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756"/>
        <w:gridCol w:w="976"/>
        <w:gridCol w:w="750"/>
        <w:gridCol w:w="3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0"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序号</w:t>
            </w: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参数</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hint="eastAsia" w:ascii="Times New Roman" w:hAnsi="Times New Roman" w:eastAsia="宋体"/>
                <w:color w:val="auto"/>
                <w:highlight w:val="none"/>
              </w:rPr>
              <w:t>查询</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hint="eastAsia" w:ascii="Times New Roman" w:hAnsi="Times New Roman" w:eastAsia="宋体"/>
                <w:color w:val="auto"/>
                <w:highlight w:val="none"/>
              </w:rPr>
              <w:t>设置</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hint="eastAsia" w:ascii="Times New Roman" w:hAnsi="Times New Roman" w:eastAsia="宋体"/>
                <w:color w:val="auto"/>
                <w:highlight w:val="none"/>
              </w:rPr>
              <w:t>显示</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hint="eastAsia" w:ascii="Times New Roman" w:hAnsi="Times New Roman" w:eastAsia="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日期与时间</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示例：2020年01月01日01:29:59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标称电压</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单位为kV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整定电压/下限</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单位为kV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旁路、自动、手动等工作模式</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液晶和指示灯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保护整定</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s="Arial"/>
                <w:color w:val="auto"/>
                <w:highlight w:val="none"/>
              </w:rPr>
              <w:t>输入侧和输出侧</w:t>
            </w:r>
            <w:r>
              <w:rPr>
                <w:rFonts w:hint="eastAsia" w:ascii="Times New Roman" w:hAnsi="Times New Roman" w:eastAsia="宋体"/>
                <w:color w:val="auto"/>
                <w:highlight w:val="none"/>
              </w:rPr>
              <w:t>电压、电流、有功功率、无功功率、功率因数</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电压单位为kV，小数点后3位；</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电流单位为A，取整数</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有功功率单位为kW，取整数</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无功功率单位为kVA，取整数</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刷新时间为</w:t>
            </w:r>
            <w:r>
              <w:rPr>
                <w:rFonts w:ascii="Times New Roman" w:hAnsi="Times New Roman" w:eastAsia="宋体" w:cs="Arial"/>
                <w:color w:val="auto"/>
                <w:highlight w:val="none"/>
              </w:rPr>
              <w:t>5</w:t>
            </w:r>
            <w:r>
              <w:rPr>
                <w:rFonts w:hint="eastAsia" w:ascii="Times New Roman" w:hAnsi="Times New Roman" w:eastAsia="宋体" w:cs="Arial"/>
                <w:color w:val="auto"/>
                <w:highlight w:val="none"/>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shd w:val="clear" w:color="auto" w:fill="auto"/>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s="Arial"/>
                <w:color w:val="auto"/>
                <w:highlight w:val="none"/>
              </w:rPr>
              <w:t>输入侧和输出侧，</w:t>
            </w:r>
            <w:r>
              <w:rPr>
                <w:rFonts w:hint="eastAsia" w:ascii="Times New Roman" w:hAnsi="Times New Roman" w:eastAsia="宋体"/>
                <w:color w:val="auto"/>
                <w:highlight w:val="none"/>
              </w:rPr>
              <w:t>电压、电流的正序、负序和零序分量</w:t>
            </w:r>
          </w:p>
        </w:tc>
        <w:tc>
          <w:tcPr>
            <w:tcW w:w="756" w:type="dxa"/>
            <w:shd w:val="clear" w:color="auto" w:fill="auto"/>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shd w:val="clear" w:color="auto" w:fill="auto"/>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shd w:val="clear" w:color="auto" w:fill="auto"/>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shd w:val="clear" w:color="auto" w:fill="auto"/>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电压各序分量单位为kV，小数点后3位</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电流各序分量单位为A，取整数</w:t>
            </w:r>
          </w:p>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hint="eastAsia" w:ascii="Times New Roman" w:hAnsi="Times New Roman" w:eastAsia="宋体" w:cs="Arial"/>
                <w:color w:val="auto"/>
                <w:highlight w:val="none"/>
                <w:lang w:val="en-US" w:eastAsia="zh-CN"/>
              </w:rPr>
            </w:pPr>
            <w:r>
              <w:rPr>
                <w:rFonts w:hint="eastAsia" w:ascii="Times New Roman" w:hAnsi="Times New Roman" w:eastAsia="宋体" w:cs="Arial"/>
                <w:color w:val="auto"/>
                <w:highlight w:val="none"/>
              </w:rPr>
              <w:t>刷新时间为</w:t>
            </w:r>
            <w:r>
              <w:rPr>
                <w:rFonts w:ascii="Times New Roman" w:hAnsi="Times New Roman" w:eastAsia="宋体" w:cs="Arial"/>
                <w:color w:val="auto"/>
                <w:highlight w:val="none"/>
              </w:rPr>
              <w:t>5</w:t>
            </w:r>
            <w:r>
              <w:rPr>
                <w:rFonts w:hint="eastAsia" w:ascii="Times New Roman" w:hAnsi="Times New Roman" w:eastAsia="宋体" w:cs="Arial"/>
                <w:color w:val="auto"/>
                <w:highlight w:val="none"/>
              </w:rPr>
              <w:t>s</w:t>
            </w:r>
            <w:r>
              <w:rPr>
                <w:rFonts w:hint="eastAsia" w:ascii="Times New Roman" w:hAnsi="Times New Roman" w:eastAsia="宋体" w:cs="Arial"/>
                <w:color w:val="auto"/>
                <w:highlight w:val="none"/>
                <w:lang w:val="en-US" w:eastAsia="zh-CN"/>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工作模式切换、分接开关动作、保护动作、自动重启等事件记录</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分接开关日/月动作次数及累计动作次数</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档位范围及当前档位</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tcPr>
          <w:p>
            <w:pPr>
              <w:keepNext w:val="0"/>
              <w:keepLines w:val="0"/>
              <w:pageBreakBefore w:val="0"/>
              <w:widowControl w:val="0"/>
              <w:numPr>
                <w:ilvl w:val="0"/>
                <w:numId w:val="21"/>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tc>
        <w:tc>
          <w:tcPr>
            <w:tcW w:w="2399" w:type="dxa"/>
          </w:tcPr>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r>
              <w:rPr>
                <w:rFonts w:hint="eastAsia" w:ascii="Times New Roman" w:hAnsi="Times New Roman" w:eastAsia="宋体"/>
                <w:color w:val="auto"/>
                <w:highlight w:val="none"/>
              </w:rPr>
              <w:t>旁路、自动、手动、故障等运行状态指示</w:t>
            </w:r>
          </w:p>
        </w:tc>
        <w:tc>
          <w:tcPr>
            <w:tcW w:w="75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976"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p>
        </w:tc>
        <w:tc>
          <w:tcPr>
            <w:tcW w:w="750"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center"/>
              <w:textAlignment w:val="auto"/>
              <w:rPr>
                <w:rFonts w:ascii="Times New Roman" w:hAnsi="Times New Roman" w:eastAsia="宋体" w:cs="Arial"/>
                <w:color w:val="auto"/>
                <w:highlight w:val="none"/>
              </w:rPr>
            </w:pPr>
            <w:r>
              <w:rPr>
                <w:rFonts w:ascii="Times New Roman" w:hAnsi="Times New Roman" w:eastAsia="宋体" w:cs="Arial"/>
                <w:color w:val="auto"/>
                <w:highlight w:val="none"/>
              </w:rPr>
              <w:t>√</w:t>
            </w:r>
          </w:p>
        </w:tc>
        <w:tc>
          <w:tcPr>
            <w:tcW w:w="3658" w:type="dxa"/>
          </w:tcPr>
          <w:p>
            <w:pPr>
              <w:keepNext w:val="0"/>
              <w:keepLines w:val="0"/>
              <w:pageBreakBefore w:val="0"/>
              <w:widowControl w:val="0"/>
              <w:numPr>
                <w:ilvl w:val="255"/>
                <w:numId w:val="0"/>
              </w:numPr>
              <w:kinsoku/>
              <w:wordWrap/>
              <w:overflowPunct/>
              <w:topLinePunct w:val="0"/>
              <w:autoSpaceDE/>
              <w:autoSpaceDN/>
              <w:bidi w:val="0"/>
              <w:adjustRightInd w:val="0"/>
              <w:snapToGrid w:val="0"/>
              <w:jc w:val="left"/>
              <w:textAlignment w:val="auto"/>
              <w:rPr>
                <w:rFonts w:ascii="Times New Roman" w:hAnsi="Times New Roman" w:eastAsia="宋体" w:cs="Arial"/>
                <w:color w:val="auto"/>
                <w:highlight w:val="none"/>
              </w:rPr>
            </w:pPr>
            <w:r>
              <w:rPr>
                <w:rFonts w:hint="eastAsia" w:ascii="Times New Roman" w:hAnsi="Times New Roman" w:eastAsia="宋体" w:cs="Arial"/>
                <w:color w:val="auto"/>
                <w:highlight w:val="none"/>
              </w:rPr>
              <w:t>采用指示灯</w:t>
            </w:r>
          </w:p>
        </w:tc>
      </w:tr>
    </w:tbl>
    <w:p>
      <w:pPr>
        <w:keepNext w:val="0"/>
        <w:keepLines w:val="0"/>
        <w:pageBreakBefore w:val="0"/>
        <w:widowControl w:val="0"/>
        <w:numPr>
          <w:ilvl w:val="255"/>
          <w:numId w:val="0"/>
        </w:numPr>
        <w:kinsoku/>
        <w:wordWrap/>
        <w:overflowPunct/>
        <w:topLinePunct w:val="0"/>
        <w:autoSpaceDE/>
        <w:autoSpaceDN/>
        <w:bidi w:val="0"/>
        <w:adjustRightInd w:val="0"/>
        <w:snapToGrid w:val="0"/>
        <w:textAlignment w:val="auto"/>
        <w:rPr>
          <w:rFonts w:ascii="Times New Roman" w:hAnsi="Times New Roman" w:eastAsia="宋体"/>
          <w:color w:val="auto"/>
          <w:highlight w:val="none"/>
        </w:rPr>
      </w:pPr>
    </w:p>
    <w:p>
      <w:pPr>
        <w:keepNext w:val="0"/>
        <w:keepLines w:val="0"/>
        <w:pageBreakBefore w:val="0"/>
        <w:widowControl w:val="0"/>
        <w:numPr>
          <w:ilvl w:val="2"/>
          <w:numId w:val="14"/>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5" w:name="_Toc12783"/>
      <w:r>
        <w:rPr>
          <w:rFonts w:hint="eastAsia" w:ascii="Times New Roman" w:hAnsi="Times New Roman" w:eastAsia="宋体" w:cs="黑体"/>
          <w:color w:val="auto"/>
          <w:highlight w:val="none"/>
        </w:rPr>
        <w:t>自动旁路</w:t>
      </w:r>
      <w:bookmarkEnd w:id="45"/>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装置过流保护、过负荷保护</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过电压保护、瓦斯保护、过温保护</w:t>
      </w:r>
      <w:r>
        <w:rPr>
          <w:rFonts w:hint="eastAsia" w:ascii="Times New Roman" w:hAnsi="Times New Roman" w:eastAsia="宋体"/>
          <w:color w:val="auto"/>
          <w:highlight w:val="none"/>
          <w:lang w:val="en-US" w:eastAsia="zh-CN"/>
        </w:rPr>
        <w:t>等保护</w:t>
      </w:r>
      <w:r>
        <w:rPr>
          <w:rFonts w:hint="eastAsia" w:ascii="Times New Roman" w:hAnsi="Times New Roman" w:eastAsia="宋体"/>
          <w:color w:val="auto"/>
          <w:highlight w:val="none"/>
        </w:rPr>
        <w:t>启动后，由调压器保护动作切换至旁路状态。</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outlineLvl w:val="1"/>
        <w:rPr>
          <w:rFonts w:hint="eastAsia" w:ascii="Times New Roman" w:hAnsi="Times New Roman" w:eastAsia="宋体" w:cs="黑体"/>
          <w:color w:val="auto"/>
          <w:highlight w:val="none"/>
          <w:lang w:val="en-US" w:eastAsia="zh-CN"/>
        </w:rPr>
      </w:pPr>
      <w:bookmarkStart w:id="46" w:name="_Toc2276"/>
      <w:r>
        <w:rPr>
          <w:rFonts w:hint="eastAsia" w:ascii="Times New Roman" w:hAnsi="Times New Roman" w:eastAsia="宋体" w:cs="黑体"/>
          <w:color w:val="auto"/>
          <w:highlight w:val="none"/>
          <w:lang w:val="en-US" w:eastAsia="zh-CN"/>
        </w:rPr>
        <w:t>5.3 性能要求</w:t>
      </w:r>
      <w:bookmarkEnd w:id="46"/>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7" w:name="_Toc22630"/>
      <w:r>
        <w:rPr>
          <w:rFonts w:hint="eastAsia" w:ascii="Times New Roman" w:hAnsi="Times New Roman" w:eastAsia="宋体" w:cstheme="minorEastAsia"/>
          <w:color w:val="auto"/>
          <w:highlight w:val="none"/>
        </w:rPr>
        <w:t>★</w:t>
      </w:r>
      <w:r>
        <w:rPr>
          <w:rFonts w:hint="eastAsia" w:ascii="Times New Roman" w:hAnsi="Times New Roman" w:eastAsia="宋体" w:cs="黑体"/>
          <w:color w:val="auto"/>
          <w:highlight w:val="none"/>
          <w:lang w:val="en-US" w:eastAsia="zh-CN"/>
        </w:rPr>
        <w:t>输出电压偏差</w:t>
      </w:r>
      <w:bookmarkEnd w:id="47"/>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left="420"/>
        <w:textAlignment w:val="auto"/>
        <w:rPr>
          <w:rFonts w:hint="eastAsia" w:ascii="Times New Roman" w:hAnsi="Times New Roman" w:eastAsia="宋体"/>
          <w:color w:val="auto"/>
          <w:highlight w:val="none"/>
          <w:lang w:eastAsia="zh-CN"/>
        </w:rPr>
      </w:pPr>
      <w:r>
        <w:rPr>
          <w:rFonts w:hint="eastAsia" w:ascii="Times New Roman" w:hAnsi="Times New Roman" w:eastAsia="宋体"/>
          <w:color w:val="auto"/>
          <w:highlight w:val="none"/>
        </w:rPr>
        <w:t>输出电压偏差≤±</w:t>
      </w:r>
      <w:r>
        <w:rPr>
          <w:rFonts w:hint="eastAsia" w:ascii="Times New Roman" w:hAnsi="Times New Roman" w:eastAsia="宋体"/>
          <w:color w:val="auto"/>
          <w:highlight w:val="none"/>
          <w:lang w:val="en-US" w:eastAsia="zh-CN"/>
        </w:rPr>
        <w:t>5</w:t>
      </w:r>
      <w:r>
        <w:rPr>
          <w:rFonts w:hint="eastAsia" w:ascii="Times New Roman" w:hAnsi="Times New Roman" w:eastAsia="宋体"/>
          <w:color w:val="auto"/>
          <w:highlight w:val="none"/>
        </w:rPr>
        <w:t>%</w:t>
      </w:r>
      <w:r>
        <w:rPr>
          <w:rFonts w:hint="eastAsia" w:ascii="Times New Roman" w:hAnsi="Times New Roman"/>
          <w:color w:val="auto"/>
          <w:highlight w:val="none"/>
          <w:lang w:eastAsia="zh-CN"/>
        </w:rPr>
        <w:t>。</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8" w:name="_Toc5748"/>
      <w:r>
        <w:rPr>
          <w:rFonts w:hint="eastAsia" w:ascii="Times New Roman" w:hAnsi="Times New Roman" w:eastAsia="宋体" w:cstheme="minorEastAsia"/>
          <w:color w:val="auto"/>
          <w:highlight w:val="none"/>
        </w:rPr>
        <w:t>★</w:t>
      </w:r>
      <w:r>
        <w:rPr>
          <w:rFonts w:hint="eastAsia" w:ascii="Times New Roman" w:hAnsi="Times New Roman" w:eastAsia="宋体" w:cs="黑体"/>
          <w:color w:val="auto"/>
          <w:highlight w:val="none"/>
        </w:rPr>
        <w:t>旁路时间</w:t>
      </w:r>
      <w:bookmarkEnd w:id="48"/>
    </w:p>
    <w:p>
      <w:pPr>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20" w:firstLine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分接调整开关采用机械开关的调压装置的旁路间断时间应小于</w:t>
      </w:r>
      <w:r>
        <w:rPr>
          <w:rFonts w:hint="eastAsia" w:ascii="Times New Roman" w:hAnsi="Times New Roman" w:eastAsia="宋体"/>
          <w:color w:val="auto"/>
          <w:highlight w:val="none"/>
          <w:lang w:val="en-US" w:eastAsia="zh-CN"/>
        </w:rPr>
        <w:t>1</w:t>
      </w:r>
      <w:r>
        <w:rPr>
          <w:rFonts w:hint="eastAsia" w:ascii="Times New Roman" w:hAnsi="Times New Roman" w:eastAsia="宋体"/>
          <w:color w:val="auto"/>
          <w:highlight w:val="none"/>
        </w:rPr>
        <w:t>s。</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49" w:name="_Toc6524"/>
      <w:r>
        <w:rPr>
          <w:rFonts w:hint="eastAsia" w:ascii="Times New Roman" w:hAnsi="Times New Roman" w:eastAsia="宋体" w:cs="黑体"/>
          <w:color w:val="auto"/>
          <w:highlight w:val="none"/>
        </w:rPr>
        <w:t>输出电压不平衡度</w:t>
      </w:r>
      <w:bookmarkEnd w:id="49"/>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eastAsia" w:ascii="Times New Roman" w:hAnsi="Times New Roman" w:eastAsia="宋体"/>
          <w:color w:val="auto"/>
          <w:highlight w:val="none"/>
          <w:lang w:eastAsia="zh-CN"/>
        </w:rPr>
      </w:pPr>
      <w:r>
        <w:rPr>
          <w:rFonts w:hint="eastAsia" w:ascii="Times New Roman" w:hAnsi="Times New Roman" w:eastAsia="宋体"/>
          <w:color w:val="auto"/>
          <w:highlight w:val="none"/>
        </w:rPr>
        <w:t>三相电压不平衡度：正常运行时≤2%，短时≤4%</w:t>
      </w:r>
      <w:r>
        <w:rPr>
          <w:rFonts w:hint="eastAsia" w:ascii="Times New Roman" w:hAnsi="Times New Roman"/>
          <w:color w:val="auto"/>
          <w:highlight w:val="none"/>
          <w:lang w:eastAsia="zh-CN"/>
        </w:rPr>
        <w:t>。</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0" w:name="_Toc20473"/>
      <w:r>
        <w:rPr>
          <w:rFonts w:hint="eastAsia" w:ascii="Times New Roman" w:hAnsi="Times New Roman" w:eastAsia="宋体" w:cs="黑体"/>
          <w:color w:val="auto"/>
          <w:highlight w:val="none"/>
        </w:rPr>
        <w:t>测量精度</w:t>
      </w:r>
      <w:bookmarkEnd w:id="50"/>
    </w:p>
    <w:p>
      <w:pPr>
        <w:keepNext w:val="0"/>
        <w:keepLines w:val="0"/>
        <w:pageBreakBefore w:val="0"/>
        <w:widowControl w:val="0"/>
        <w:numPr>
          <w:ilvl w:val="0"/>
          <w:numId w:val="2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交流采样电压、电流：0.5级</w:t>
      </w:r>
    </w:p>
    <w:p>
      <w:pPr>
        <w:keepNext w:val="0"/>
        <w:keepLines w:val="0"/>
        <w:pageBreakBefore w:val="0"/>
        <w:widowControl w:val="0"/>
        <w:numPr>
          <w:ilvl w:val="0"/>
          <w:numId w:val="23"/>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ascii="Times New Roman" w:hAnsi="Times New Roman" w:eastAsia="宋体"/>
          <w:color w:val="auto"/>
          <w:highlight w:val="none"/>
        </w:rPr>
        <w:t>有功功率、无功功率：1.0级</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1" w:name="_Toc18487"/>
      <w:r>
        <w:rPr>
          <w:rFonts w:hint="eastAsia" w:ascii="Times New Roman" w:hAnsi="Times New Roman" w:eastAsia="宋体" w:cs="黑体"/>
          <w:color w:val="auto"/>
          <w:highlight w:val="none"/>
        </w:rPr>
        <w:t>绝缘水平</w:t>
      </w:r>
      <w:bookmarkEnd w:id="51"/>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装置的输入、输出侧标准雷电全波、截波冲击耐受电压，外施耐受电压，短时感应耐受电压要求满足以下要求。</w:t>
      </w:r>
    </w:p>
    <w:p>
      <w:pPr>
        <w:keepNext w:val="0"/>
        <w:keepLines w:val="0"/>
        <w:pageBreakBefore w:val="0"/>
        <w:widowControl w:val="0"/>
        <w:numPr>
          <w:ilvl w:val="0"/>
          <w:numId w:val="24"/>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额定雷电全波冲击耐受电压：≥75kV（峰值）</w:t>
      </w:r>
    </w:p>
    <w:p>
      <w:pPr>
        <w:keepNext w:val="0"/>
        <w:keepLines w:val="0"/>
        <w:pageBreakBefore w:val="0"/>
        <w:widowControl w:val="0"/>
        <w:numPr>
          <w:ilvl w:val="0"/>
          <w:numId w:val="24"/>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额定雷电截波冲击耐受电压：≥85kV（峰值）</w:t>
      </w:r>
    </w:p>
    <w:p>
      <w:pPr>
        <w:keepNext w:val="0"/>
        <w:keepLines w:val="0"/>
        <w:pageBreakBefore w:val="0"/>
        <w:widowControl w:val="0"/>
        <w:numPr>
          <w:ilvl w:val="0"/>
          <w:numId w:val="24"/>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额定短时感应或外施耐受电压：≥35kV（方均根值）</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2" w:name="_Toc15631"/>
      <w:r>
        <w:rPr>
          <w:rFonts w:hint="eastAsia" w:ascii="Times New Roman" w:hAnsi="Times New Roman" w:eastAsia="宋体" w:cs="黑体"/>
          <w:color w:val="auto"/>
          <w:highlight w:val="none"/>
        </w:rPr>
        <w:t>温升</w:t>
      </w:r>
      <w:bookmarkEnd w:id="52"/>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采用油浸式变压器的温升限值符合GB</w:t>
      </w:r>
      <w:r>
        <w:rPr>
          <w:rFonts w:hint="eastAsia" w:ascii="Times New Roman" w:hAnsi="Times New Roman"/>
          <w:color w:val="auto"/>
          <w:highlight w:val="none"/>
          <w:lang w:val="en-US" w:eastAsia="zh-CN"/>
        </w:rPr>
        <w:t xml:space="preserve">/T </w:t>
      </w:r>
      <w:r>
        <w:rPr>
          <w:rFonts w:hint="eastAsia" w:ascii="Times New Roman" w:hAnsi="Times New Roman" w:eastAsia="宋体"/>
          <w:color w:val="auto"/>
          <w:highlight w:val="none"/>
        </w:rPr>
        <w:t>1094.2要求。</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3" w:name="_Toc29632"/>
      <w:r>
        <w:rPr>
          <w:rFonts w:hint="eastAsia" w:ascii="Times New Roman" w:hAnsi="Times New Roman" w:eastAsia="宋体" w:cs="黑体"/>
          <w:color w:val="auto"/>
          <w:highlight w:val="none"/>
        </w:rPr>
        <w:t>噪声</w:t>
      </w:r>
      <w:bookmarkEnd w:id="53"/>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装置的声功率级不应超过70dB。</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4" w:name="_Toc17972"/>
      <w:r>
        <w:rPr>
          <w:rFonts w:hint="eastAsia" w:ascii="Times New Roman" w:hAnsi="Times New Roman" w:eastAsia="宋体" w:cs="黑体"/>
          <w:color w:val="auto"/>
          <w:highlight w:val="none"/>
        </w:rPr>
        <w:t>短路承受能力</w:t>
      </w:r>
      <w:bookmarkEnd w:id="54"/>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调压装置的短路电流承受能力应满足GB</w:t>
      </w:r>
      <w:r>
        <w:rPr>
          <w:rFonts w:hint="eastAsia" w:ascii="Times New Roman" w:hAnsi="Times New Roman"/>
          <w:color w:val="auto"/>
          <w:highlight w:val="none"/>
          <w:lang w:val="en-US" w:eastAsia="zh-CN"/>
        </w:rPr>
        <w:t xml:space="preserve">/T </w:t>
      </w:r>
      <w:r>
        <w:rPr>
          <w:rFonts w:hint="eastAsia" w:ascii="Times New Roman" w:hAnsi="Times New Roman" w:eastAsia="宋体"/>
          <w:color w:val="auto"/>
          <w:highlight w:val="none"/>
        </w:rPr>
        <w:t>1094.5的技术要求。</w:t>
      </w:r>
    </w:p>
    <w:p>
      <w:pPr>
        <w:keepNext w:val="0"/>
        <w:keepLines w:val="0"/>
        <w:pageBreakBefore w:val="0"/>
        <w:widowControl w:val="0"/>
        <w:numPr>
          <w:ilvl w:val="2"/>
          <w:numId w:val="22"/>
        </w:numPr>
        <w:kinsoku/>
        <w:wordWrap/>
        <w:overflowPunct/>
        <w:topLinePunct w:val="0"/>
        <w:autoSpaceDE/>
        <w:autoSpaceDN/>
        <w:bidi w:val="0"/>
        <w:adjustRightInd w:val="0"/>
        <w:snapToGrid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5" w:name="_Toc2222"/>
      <w:r>
        <w:rPr>
          <w:rFonts w:hint="eastAsia" w:ascii="Times New Roman" w:hAnsi="Times New Roman" w:eastAsia="宋体" w:cs="黑体"/>
          <w:color w:val="auto"/>
          <w:highlight w:val="none"/>
        </w:rPr>
        <w:t>电磁兼容</w:t>
      </w:r>
      <w:bookmarkEnd w:id="55"/>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highlight w:val="none"/>
        </w:rPr>
        <w:t>调压装置控制器应满足以下电磁兼容要求：</w:t>
      </w:r>
    </w:p>
    <w:p>
      <w:pPr>
        <w:keepNext w:val="0"/>
        <w:keepLines w:val="0"/>
        <w:pageBreakBefore w:val="0"/>
        <w:widowControl w:val="0"/>
        <w:numPr>
          <w:ilvl w:val="0"/>
          <w:numId w:val="2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静电放电抗扰度：4级</w:t>
      </w:r>
    </w:p>
    <w:p>
      <w:pPr>
        <w:keepNext w:val="0"/>
        <w:keepLines w:val="0"/>
        <w:pageBreakBefore w:val="0"/>
        <w:widowControl w:val="0"/>
        <w:numPr>
          <w:ilvl w:val="0"/>
          <w:numId w:val="2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浪涌（冲击）抗扰度：4级</w:t>
      </w:r>
    </w:p>
    <w:p>
      <w:pPr>
        <w:keepNext w:val="0"/>
        <w:keepLines w:val="0"/>
        <w:pageBreakBefore w:val="0"/>
        <w:widowControl w:val="0"/>
        <w:numPr>
          <w:ilvl w:val="0"/>
          <w:numId w:val="2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电快速脉冲群抗扰度：3级</w:t>
      </w:r>
    </w:p>
    <w:p>
      <w:pPr>
        <w:keepNext w:val="0"/>
        <w:keepLines w:val="0"/>
        <w:pageBreakBefore w:val="0"/>
        <w:widowControl w:val="0"/>
        <w:numPr>
          <w:ilvl w:val="0"/>
          <w:numId w:val="25"/>
        </w:numPr>
        <w:kinsoku/>
        <w:wordWrap/>
        <w:overflowPunct/>
        <w:topLinePunct w:val="0"/>
        <w:autoSpaceDE/>
        <w:autoSpaceDN/>
        <w:bidi w:val="0"/>
        <w:adjustRightInd w:val="0"/>
        <w:snapToGrid w:val="0"/>
        <w:spacing w:line="400" w:lineRule="exact"/>
        <w:ind w:left="420" w:firstLine="0"/>
        <w:textAlignment w:val="auto"/>
        <w:rPr>
          <w:rFonts w:ascii="Times New Roman" w:hAnsi="Times New Roman" w:eastAsia="宋体"/>
          <w:color w:val="auto"/>
          <w:highlight w:val="none"/>
        </w:rPr>
      </w:pPr>
      <w:r>
        <w:rPr>
          <w:rFonts w:hint="eastAsia" w:ascii="Times New Roman" w:hAnsi="Times New Roman" w:eastAsia="宋体"/>
          <w:color w:val="auto"/>
          <w:highlight w:val="none"/>
        </w:rPr>
        <w:t>振铃波抗扰度：3级</w:t>
      </w:r>
    </w:p>
    <w:p>
      <w:pPr>
        <w:keepNext w:val="0"/>
        <w:keepLines w:val="0"/>
        <w:pageBreakBefore w:val="0"/>
        <w:widowControl w:val="0"/>
        <w:numPr>
          <w:ilvl w:val="2"/>
          <w:numId w:val="22"/>
        </w:numPr>
        <w:kinsoku/>
        <w:wordWrap/>
        <w:overflowPunct/>
        <w:topLinePunct w:val="0"/>
        <w:autoSpaceDE/>
        <w:autoSpaceDN/>
        <w:bidi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6" w:name="_Toc31599"/>
      <w:r>
        <w:rPr>
          <w:rFonts w:hint="eastAsia" w:ascii="Times New Roman" w:hAnsi="Times New Roman" w:eastAsia="宋体" w:cs="黑体"/>
          <w:color w:val="auto"/>
          <w:highlight w:val="none"/>
        </w:rPr>
        <w:t>时钟精度</w:t>
      </w:r>
      <w:bookmarkEnd w:id="56"/>
    </w:p>
    <w:p>
      <w:pPr>
        <w:keepNext w:val="0"/>
        <w:keepLines w:val="0"/>
        <w:pageBreakBefore w:val="0"/>
        <w:widowControl w:val="0"/>
        <w:kinsoku/>
        <w:wordWrap/>
        <w:overflowPunct/>
        <w:topLinePunct w:val="0"/>
        <w:autoSpaceDE/>
        <w:autoSpaceDN/>
        <w:bidi w:val="0"/>
        <w:spacing w:line="400" w:lineRule="exact"/>
        <w:ind w:firstLine="420"/>
        <w:textAlignment w:val="auto"/>
        <w:rPr>
          <w:rFonts w:hint="eastAsia" w:ascii="Times New Roman" w:hAnsi="Times New Roman" w:eastAsia="宋体"/>
          <w:color w:val="auto"/>
          <w:szCs w:val="21"/>
          <w:highlight w:val="none"/>
        </w:rPr>
      </w:pPr>
      <w:r>
        <w:rPr>
          <w:rFonts w:hint="eastAsia" w:ascii="Times New Roman" w:hAnsi="Times New Roman" w:eastAsia="宋体"/>
          <w:color w:val="auto"/>
          <w:szCs w:val="21"/>
          <w:highlight w:val="none"/>
        </w:rPr>
        <w:t>调压装置控制器24小时自走</w:t>
      </w:r>
      <w:r>
        <w:rPr>
          <w:rFonts w:ascii="Times New Roman" w:hAnsi="Times New Roman" w:eastAsia="宋体"/>
          <w:color w:val="auto"/>
          <w:szCs w:val="21"/>
          <w:highlight w:val="none"/>
        </w:rPr>
        <w:t>时钟误差</w:t>
      </w:r>
      <w:r>
        <w:rPr>
          <w:rFonts w:hint="eastAsia" w:ascii="Times New Roman" w:hAnsi="Times New Roman" w:eastAsia="宋体"/>
          <w:color w:val="auto"/>
          <w:szCs w:val="21"/>
          <w:highlight w:val="none"/>
        </w:rPr>
        <w:t>不大于</w:t>
      </w:r>
      <w:r>
        <w:rPr>
          <w:rFonts w:ascii="Times New Roman" w:hAnsi="Times New Roman" w:eastAsia="宋体"/>
          <w:color w:val="auto"/>
          <w:szCs w:val="21"/>
          <w:highlight w:val="none"/>
        </w:rPr>
        <w:t>1</w:t>
      </w:r>
      <w:r>
        <w:rPr>
          <w:rFonts w:hint="eastAsia" w:ascii="Times New Roman" w:hAnsi="Times New Roman" w:eastAsia="宋体"/>
          <w:color w:val="auto"/>
          <w:szCs w:val="21"/>
          <w:highlight w:val="none"/>
        </w:rPr>
        <w:t>秒。</w:t>
      </w:r>
    </w:p>
    <w:p>
      <w:pPr>
        <w:keepNext w:val="0"/>
        <w:keepLines w:val="0"/>
        <w:pageBreakBefore w:val="0"/>
        <w:widowControl w:val="0"/>
        <w:numPr>
          <w:ilvl w:val="2"/>
          <w:numId w:val="22"/>
        </w:numPr>
        <w:kinsoku/>
        <w:wordWrap/>
        <w:overflowPunct/>
        <w:topLinePunct w:val="0"/>
        <w:autoSpaceDE/>
        <w:autoSpaceDN/>
        <w:bidi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57" w:name="_Toc26899"/>
      <w:bookmarkStart w:id="58" w:name="_Toc28272"/>
      <w:bookmarkStart w:id="59" w:name="_Toc32146"/>
      <w:r>
        <w:rPr>
          <w:rFonts w:hint="eastAsia" w:ascii="Times New Roman" w:hAnsi="Times New Roman" w:eastAsia="宋体" w:cs="黑体"/>
          <w:color w:val="auto"/>
          <w:highlight w:val="none"/>
        </w:rPr>
        <w:t>防护等级</w:t>
      </w:r>
      <w:bookmarkEnd w:id="57"/>
      <w:bookmarkEnd w:id="58"/>
      <w:bookmarkEnd w:id="59"/>
    </w:p>
    <w:p>
      <w:pPr>
        <w:keepNext w:val="0"/>
        <w:keepLines w:val="0"/>
        <w:pageBreakBefore w:val="0"/>
        <w:widowControl w:val="0"/>
        <w:kinsoku/>
        <w:wordWrap/>
        <w:overflowPunct/>
        <w:topLinePunct w:val="0"/>
        <w:autoSpaceDE/>
        <w:autoSpaceDN/>
        <w:bidi w:val="0"/>
        <w:spacing w:line="400" w:lineRule="exact"/>
        <w:ind w:firstLine="420"/>
        <w:textAlignment w:val="auto"/>
        <w:rPr>
          <w:rFonts w:ascii="Times New Roman" w:hAnsi="Times New Roman" w:eastAsia="宋体"/>
          <w:color w:val="auto"/>
          <w:highlight w:val="none"/>
        </w:rPr>
      </w:pPr>
      <w:r>
        <w:rPr>
          <w:rFonts w:hint="eastAsia" w:ascii="Times New Roman" w:hAnsi="Times New Roman" w:eastAsia="宋体"/>
          <w:color w:val="auto"/>
          <w:szCs w:val="21"/>
          <w:highlight w:val="none"/>
        </w:rPr>
        <w:t>调压装置的防护等级应符合GB</w:t>
      </w:r>
      <w:r>
        <w:rPr>
          <w:rFonts w:hint="eastAsia" w:ascii="Times New Roman" w:hAnsi="Times New Roman"/>
          <w:color w:val="auto"/>
          <w:szCs w:val="21"/>
          <w:highlight w:val="none"/>
          <w:lang w:val="en-US" w:eastAsia="zh-CN"/>
        </w:rPr>
        <w:t>/T</w:t>
      </w:r>
      <w:r>
        <w:rPr>
          <w:rFonts w:hint="eastAsia" w:ascii="Times New Roman" w:hAnsi="Times New Roman" w:eastAsia="宋体"/>
          <w:color w:val="auto"/>
          <w:szCs w:val="21"/>
          <w:highlight w:val="none"/>
        </w:rPr>
        <w:t xml:space="preserve"> 4208的规定，不应低于</w:t>
      </w:r>
      <w:r>
        <w:rPr>
          <w:rFonts w:hint="eastAsia" w:ascii="Times New Roman" w:hAnsi="Times New Roman" w:eastAsia="宋体"/>
          <w:color w:val="auto"/>
          <w:szCs w:val="21"/>
          <w:highlight w:val="none"/>
          <w:lang w:val="en-US" w:eastAsia="zh-CN"/>
        </w:rPr>
        <w:t>IP44。</w:t>
      </w:r>
    </w:p>
    <w:p>
      <w:pPr>
        <w:keepNext w:val="0"/>
        <w:keepLines w:val="0"/>
        <w:pageBreakBefore w:val="0"/>
        <w:widowControl w:val="0"/>
        <w:numPr>
          <w:ilvl w:val="0"/>
          <w:numId w:val="0"/>
        </w:numPr>
        <w:kinsoku/>
        <w:wordWrap/>
        <w:overflowPunct/>
        <w:topLinePunct w:val="0"/>
        <w:autoSpaceDE/>
        <w:autoSpaceDN/>
        <w:bidi w:val="0"/>
        <w:spacing w:line="400" w:lineRule="exact"/>
        <w:ind w:leftChars="0"/>
        <w:textAlignment w:val="auto"/>
        <w:outlineLvl w:val="1"/>
        <w:rPr>
          <w:rFonts w:hint="eastAsia" w:ascii="Times New Roman" w:hAnsi="Times New Roman" w:eastAsia="宋体" w:cs="黑体"/>
          <w:color w:val="auto"/>
          <w:highlight w:val="none"/>
          <w:lang w:val="en-US" w:eastAsia="zh-CN"/>
        </w:rPr>
      </w:pPr>
      <w:bookmarkStart w:id="60" w:name="_Toc3362"/>
      <w:r>
        <w:rPr>
          <w:rFonts w:hint="eastAsia" w:ascii="Times New Roman" w:hAnsi="Times New Roman" w:eastAsia="宋体" w:cs="黑体"/>
          <w:color w:val="auto"/>
          <w:highlight w:val="none"/>
          <w:lang w:val="en-US" w:eastAsia="zh-CN"/>
        </w:rPr>
        <w:t>5.4 主要组成部分技术要求</w:t>
      </w:r>
      <w:bookmarkEnd w:id="60"/>
    </w:p>
    <w:p>
      <w:pPr>
        <w:keepNext w:val="0"/>
        <w:keepLines w:val="0"/>
        <w:pageBreakBefore w:val="0"/>
        <w:widowControl w:val="0"/>
        <w:numPr>
          <w:ilvl w:val="2"/>
          <w:numId w:val="26"/>
        </w:numPr>
        <w:kinsoku/>
        <w:wordWrap/>
        <w:overflowPunct/>
        <w:topLinePunct w:val="0"/>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61" w:name="_Toc27894"/>
      <w:r>
        <w:rPr>
          <w:rFonts w:hint="eastAsia" w:ascii="Times New Roman" w:hAnsi="Times New Roman" w:eastAsia="宋体" w:cs="黑体"/>
          <w:color w:val="auto"/>
          <w:highlight w:val="none"/>
        </w:rPr>
        <w:t>油浸式变压器及其附件</w:t>
      </w:r>
      <w:bookmarkEnd w:id="61"/>
    </w:p>
    <w:p>
      <w:pPr>
        <w:keepNext w:val="0"/>
        <w:keepLines w:val="0"/>
        <w:pageBreakBefore w:val="0"/>
        <w:widowControl w:val="0"/>
        <w:numPr>
          <w:ilvl w:val="3"/>
          <w:numId w:val="26"/>
        </w:numPr>
        <w:kinsoku/>
        <w:wordWrap/>
        <w:overflowPunct/>
        <w:topLinePunct w:val="0"/>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油浸式变压器</w:t>
      </w:r>
    </w:p>
    <w:p>
      <w:pPr>
        <w:keepNext w:val="0"/>
        <w:keepLines w:val="0"/>
        <w:pageBreakBefore w:val="0"/>
        <w:widowControl w:val="0"/>
        <w:kinsoku/>
        <w:wordWrap/>
        <w:overflowPunct/>
        <w:topLinePunct w:val="0"/>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调压装置所选用的油浸式变压器的主要技术要求如下表所示。</w:t>
      </w:r>
    </w:p>
    <w:tbl>
      <w:tblPr>
        <w:tblStyle w:val="46"/>
        <w:tblW w:w="8796" w:type="dxa"/>
        <w:tblInd w:w="0" w:type="dxa"/>
        <w:tblLayout w:type="fixed"/>
        <w:tblCellMar>
          <w:top w:w="0" w:type="dxa"/>
          <w:left w:w="0" w:type="dxa"/>
          <w:bottom w:w="0" w:type="dxa"/>
          <w:right w:w="0" w:type="dxa"/>
        </w:tblCellMar>
      </w:tblPr>
      <w:tblGrid>
        <w:gridCol w:w="1045"/>
        <w:gridCol w:w="700"/>
        <w:gridCol w:w="1992"/>
        <w:gridCol w:w="1430"/>
        <w:gridCol w:w="1258"/>
        <w:gridCol w:w="1283"/>
        <w:gridCol w:w="1088"/>
      </w:tblGrid>
      <w:tr>
        <w:tblPrEx>
          <w:tblCellMar>
            <w:top w:w="0" w:type="dxa"/>
            <w:left w:w="0" w:type="dxa"/>
            <w:bottom w:w="0" w:type="dxa"/>
            <w:right w:w="0" w:type="dxa"/>
          </w:tblCellMar>
        </w:tblPrEx>
        <w:trPr>
          <w:trHeight w:val="391"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额定容量</w:t>
            </w:r>
          </w:p>
          <w:p>
            <w:pPr>
              <w:widowControl/>
              <w:jc w:val="center"/>
              <w:textAlignment w:val="center"/>
              <w:rPr>
                <w:rFonts w:ascii="Times New Roman" w:hAnsi="Times New Roman" w:eastAsia="宋体"/>
                <w:color w:val="auto"/>
                <w:kern w:val="0"/>
                <w:szCs w:val="21"/>
                <w:highlight w:val="none"/>
                <w:lang w:bidi="ar"/>
              </w:rPr>
            </w:pPr>
            <w:r>
              <w:rPr>
                <w:rFonts w:hint="eastAsia" w:ascii="Times New Roman" w:hAnsi="Times New Roman" w:eastAsia="宋体"/>
                <w:color w:val="auto"/>
                <w:kern w:val="0"/>
                <w:szCs w:val="21"/>
                <w:highlight w:val="none"/>
                <w:lang w:bidi="ar"/>
              </w:rPr>
              <w:t>（kVA）</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档距（%）</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hint="eastAsia" w:ascii="Times New Roman" w:hAnsi="Times New Roman" w:eastAsia="宋体" w:cs="宋体"/>
                <w:color w:val="auto"/>
                <w:highlight w:val="none"/>
              </w:rPr>
              <w:t>★</w:t>
            </w:r>
            <w:r>
              <w:rPr>
                <w:rFonts w:ascii="Times New Roman" w:hAnsi="Times New Roman" w:eastAsia="宋体"/>
                <w:color w:val="auto"/>
                <w:kern w:val="0"/>
                <w:szCs w:val="21"/>
                <w:highlight w:val="none"/>
                <w:lang w:bidi="ar"/>
              </w:rPr>
              <w:t>调压范围（%）</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空载损耗</w:t>
            </w:r>
          </w:p>
          <w:p>
            <w:pPr>
              <w:widowControl/>
              <w:jc w:val="center"/>
              <w:textAlignment w:val="center"/>
              <w:rPr>
                <w:rFonts w:ascii="Times New Roman" w:hAnsi="Times New Roman" w:eastAsia="宋体"/>
                <w:color w:val="auto"/>
                <w:szCs w:val="21"/>
                <w:highlight w:val="none"/>
              </w:rPr>
            </w:pPr>
            <w:r>
              <w:rPr>
                <w:rFonts w:hint="eastAsia" w:ascii="Times New Roman" w:hAnsi="Times New Roman" w:eastAsia="宋体"/>
                <w:color w:val="auto"/>
                <w:kern w:val="0"/>
                <w:szCs w:val="21"/>
                <w:highlight w:val="none"/>
                <w:lang w:bidi="ar"/>
              </w:rPr>
              <w:t>（</w:t>
            </w:r>
            <w:r>
              <w:rPr>
                <w:rFonts w:ascii="Times New Roman" w:hAnsi="Times New Roman" w:eastAsia="宋体"/>
                <w:color w:val="auto"/>
                <w:kern w:val="0"/>
                <w:szCs w:val="21"/>
                <w:highlight w:val="none"/>
                <w:lang w:bidi="ar"/>
              </w:rPr>
              <w:t>kW</w:t>
            </w:r>
            <w:r>
              <w:rPr>
                <w:rFonts w:hint="eastAsia" w:ascii="Times New Roman" w:hAnsi="Times New Roman" w:eastAsia="宋体"/>
                <w:color w:val="auto"/>
                <w:kern w:val="0"/>
                <w:szCs w:val="21"/>
                <w:highlight w:val="none"/>
                <w:lang w:bidi="ar"/>
              </w:rPr>
              <w:t>）</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负载损耗</w:t>
            </w:r>
          </w:p>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（kW）</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空载电流</w:t>
            </w:r>
          </w:p>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短路阻抗（%）</w:t>
            </w:r>
          </w:p>
        </w:tc>
      </w:tr>
      <w:tr>
        <w:tblPrEx>
          <w:tblCellMar>
            <w:top w:w="0" w:type="dxa"/>
            <w:left w:w="0" w:type="dxa"/>
            <w:bottom w:w="0" w:type="dxa"/>
            <w:right w:w="0" w:type="dxa"/>
          </w:tblCellMar>
        </w:tblPrEx>
        <w:trPr>
          <w:trHeight w:val="391"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5000</w:t>
            </w:r>
          </w:p>
        </w:tc>
        <w:tc>
          <w:tcPr>
            <w:tcW w:w="700"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≤2.5</w:t>
            </w:r>
          </w:p>
        </w:tc>
        <w:tc>
          <w:tcPr>
            <w:tcW w:w="1992"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宋体"/>
                <w:color w:val="auto"/>
                <w:szCs w:val="21"/>
                <w:highlight w:val="none"/>
              </w:rPr>
            </w:pPr>
            <w:r>
              <w:rPr>
                <w:rFonts w:ascii="Times New Roman" w:hAnsi="Times New Roman" w:eastAsia="宋体"/>
                <w:color w:val="auto"/>
                <w:kern w:val="0"/>
                <w:szCs w:val="21"/>
                <w:highlight w:val="none"/>
                <w:lang w:bidi="ar"/>
              </w:rPr>
              <w:t>-20~+20</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1.85</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13.47</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0.08</w:t>
            </w:r>
          </w:p>
        </w:tc>
        <w:tc>
          <w:tcPr>
            <w:tcW w:w="1088"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olor w:val="auto"/>
                <w:kern w:val="0"/>
                <w:szCs w:val="21"/>
                <w:highlight w:val="none"/>
                <w:lang w:bidi="ar"/>
              </w:rPr>
            </w:pPr>
            <w:r>
              <w:rPr>
                <w:rFonts w:ascii="Times New Roman" w:hAnsi="Times New Roman" w:eastAsia="宋体"/>
                <w:color w:val="auto"/>
                <w:kern w:val="0"/>
                <w:szCs w:val="21"/>
                <w:highlight w:val="none"/>
                <w:lang w:bidi="ar"/>
              </w:rPr>
              <w:t>≤</w:t>
            </w:r>
            <w:r>
              <w:rPr>
                <w:rFonts w:ascii="Times New Roman" w:hAnsi="Times New Roman" w:eastAsia="宋体"/>
                <w:color w:val="auto"/>
                <w:kern w:val="0"/>
                <w:highlight w:val="none"/>
              </w:rPr>
              <w:t>0.9</w:t>
            </w:r>
          </w:p>
        </w:tc>
      </w:tr>
      <w:tr>
        <w:trPr>
          <w:trHeight w:val="403" w:hRule="atLeast"/>
        </w:trPr>
        <w:tc>
          <w:tcPr>
            <w:tcW w:w="8796"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注：空载损耗为额定分接（主分接）的损耗，负载损耗为最大电流分接下的损耗。</w:t>
            </w:r>
          </w:p>
        </w:tc>
      </w:tr>
    </w:tbl>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分接开关寿命</w:t>
      </w:r>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采用机械式分接开关的应满足GB/T</w:t>
      </w:r>
      <w:r>
        <w:rPr>
          <w:rFonts w:hint="eastAsia" w:ascii="Times New Roman" w:hAnsi="Times New Roman"/>
          <w:color w:val="auto"/>
          <w:szCs w:val="21"/>
          <w:highlight w:val="none"/>
          <w:lang w:val="en-US" w:eastAsia="zh-CN"/>
        </w:rPr>
        <w:t xml:space="preserve"> </w:t>
      </w:r>
      <w:r>
        <w:rPr>
          <w:rFonts w:hint="eastAsia" w:ascii="Times New Roman" w:hAnsi="Times New Roman" w:eastAsia="宋体"/>
          <w:color w:val="auto"/>
          <w:szCs w:val="21"/>
          <w:highlight w:val="none"/>
        </w:rPr>
        <w:t>10230.1的要求；采用电力电子器件的正常调压电气寿命应大于</w:t>
      </w:r>
      <w:r>
        <w:rPr>
          <w:rFonts w:hint="eastAsia" w:ascii="Times New Roman" w:hAnsi="Times New Roman" w:eastAsia="宋体"/>
          <w:color w:val="auto"/>
          <w:szCs w:val="21"/>
          <w:highlight w:val="none"/>
          <w:lang w:val="en-US" w:eastAsia="zh-CN"/>
        </w:rPr>
        <w:t>5</w:t>
      </w:r>
      <w:r>
        <w:rPr>
          <w:rFonts w:hint="eastAsia" w:ascii="Times New Roman" w:hAnsi="Times New Roman" w:eastAsia="宋体"/>
          <w:color w:val="auto"/>
          <w:szCs w:val="21"/>
          <w:highlight w:val="none"/>
        </w:rPr>
        <w:t>0000次。</w:t>
      </w:r>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安全保护装置</w:t>
      </w:r>
    </w:p>
    <w:p>
      <w:pPr>
        <w:keepNext w:val="0"/>
        <w:keepLines w:val="0"/>
        <w:pageBreakBefore w:val="0"/>
        <w:widowControl w:val="0"/>
        <w:numPr>
          <w:ilvl w:val="0"/>
          <w:numId w:val="27"/>
        </w:numPr>
        <w:kinsoku/>
        <w:wordWrap/>
        <w:overflowPunct/>
        <w:autoSpaceDE/>
        <w:autoSpaceDN/>
        <w:bidi w:val="0"/>
        <w:spacing w:line="400" w:lineRule="exact"/>
        <w:ind w:leftChars="200" w:hanging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调压装置应具备压力保护装置</w:t>
      </w:r>
    </w:p>
    <w:p>
      <w:pPr>
        <w:keepNext w:val="0"/>
        <w:keepLines w:val="0"/>
        <w:pageBreakBefore w:val="0"/>
        <w:widowControl w:val="0"/>
        <w:numPr>
          <w:ilvl w:val="0"/>
          <w:numId w:val="27"/>
        </w:numPr>
        <w:kinsoku/>
        <w:wordWrap/>
        <w:overflowPunct/>
        <w:autoSpaceDE/>
        <w:autoSpaceDN/>
        <w:bidi w:val="0"/>
        <w:spacing w:line="400" w:lineRule="exact"/>
        <w:ind w:leftChars="200" w:hangingChars="200"/>
        <w:textAlignment w:val="auto"/>
        <w:rPr>
          <w:rFonts w:ascii="Times New Roman" w:hAnsi="Times New Roman" w:eastAsia="宋体"/>
          <w:color w:val="auto"/>
          <w:highlight w:val="none"/>
        </w:rPr>
      </w:pPr>
      <w:r>
        <w:rPr>
          <w:rFonts w:hint="eastAsia" w:ascii="Times New Roman" w:hAnsi="Times New Roman" w:eastAsia="宋体"/>
          <w:color w:val="auto"/>
          <w:highlight w:val="none"/>
        </w:rPr>
        <w:t>调压装置应配置气体继电器，要求如下：</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气体继电器的触电容量在交流220V或110V时不小于66VA，直流有感负载时，不小于15W</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积聚在气体继电器内的气体数量达到250~300mL或油速在整定范围内时，应分别接通相应的触点</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ascii="Times New Roman" w:hAnsi="Times New Roman" w:eastAsia="宋体"/>
          <w:color w:val="auto"/>
          <w:highlight w:val="none"/>
        </w:rPr>
      </w:pPr>
      <w:r>
        <w:rPr>
          <w:rFonts w:hint="eastAsia" w:ascii="Times New Roman" w:hAnsi="Times New Roman" w:eastAsia="宋体"/>
          <w:color w:val="auto"/>
          <w:highlight w:val="none"/>
        </w:rPr>
        <w:t>气体继电器的安装位置及其结构应能观察到分接气体的数量和颜色，而且便于取气体</w:t>
      </w:r>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冷却系统</w:t>
      </w:r>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对于油浸风冷式调压装置，应配置散热装置，其电动机电源采用380V、50Hz（要求装置自供电），并具有短路保护。</w:t>
      </w:r>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油保护装置</w:t>
      </w:r>
    </w:p>
    <w:p>
      <w:pPr>
        <w:keepNext w:val="0"/>
        <w:keepLines w:val="0"/>
        <w:pageBreakBefore w:val="0"/>
        <w:widowControl w:val="0"/>
        <w:kinsoku/>
        <w:wordWrap/>
        <w:overflowPunct/>
        <w:autoSpaceDE/>
        <w:autoSpaceDN/>
        <w:bidi w:val="0"/>
        <w:spacing w:line="400" w:lineRule="exact"/>
        <w:ind w:firstLine="420"/>
        <w:textAlignment w:val="auto"/>
        <w:rPr>
          <w:rFonts w:hint="eastAsia" w:ascii="Times New Roman" w:hAnsi="Times New Roman" w:eastAsia="宋体"/>
          <w:color w:val="auto"/>
          <w:szCs w:val="21"/>
          <w:highlight w:val="none"/>
        </w:rPr>
      </w:pPr>
      <w:r>
        <w:rPr>
          <w:rFonts w:hint="eastAsia" w:ascii="Times New Roman" w:hAnsi="Times New Roman" w:eastAsia="宋体"/>
          <w:color w:val="auto"/>
          <w:szCs w:val="21"/>
          <w:highlight w:val="none"/>
        </w:rPr>
        <w:t>调压装置</w:t>
      </w:r>
      <w:r>
        <w:rPr>
          <w:rFonts w:hint="eastAsia" w:ascii="Times New Roman" w:hAnsi="Times New Roman" w:eastAsia="宋体"/>
          <w:color w:val="auto"/>
          <w:szCs w:val="21"/>
          <w:highlight w:val="none"/>
          <w:lang w:val="en-US" w:eastAsia="zh-CN"/>
        </w:rPr>
        <w:t>油</w:t>
      </w:r>
      <w:r>
        <w:rPr>
          <w:rFonts w:hint="eastAsia" w:ascii="Times New Roman" w:hAnsi="Times New Roman" w:eastAsia="宋体"/>
          <w:color w:val="auto"/>
          <w:szCs w:val="21"/>
          <w:highlight w:val="none"/>
        </w:rPr>
        <w:t>保护装置应符合GB/T 6451的</w:t>
      </w:r>
      <w:r>
        <w:rPr>
          <w:rFonts w:hint="eastAsia" w:ascii="Times New Roman" w:hAnsi="Times New Roman" w:eastAsia="宋体"/>
          <w:color w:val="auto"/>
          <w:szCs w:val="21"/>
          <w:highlight w:val="none"/>
          <w:lang w:val="en-US" w:eastAsia="zh-CN"/>
        </w:rPr>
        <w:t>要</w:t>
      </w:r>
      <w:r>
        <w:rPr>
          <w:rFonts w:hint="eastAsia" w:ascii="Times New Roman" w:hAnsi="Times New Roman" w:eastAsia="宋体"/>
          <w:color w:val="auto"/>
          <w:szCs w:val="21"/>
          <w:highlight w:val="none"/>
        </w:rPr>
        <w:t>求。</w:t>
      </w:r>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ascii="Times New Roman" w:hAnsi="Times New Roman" w:eastAsia="宋体" w:cs="黑体"/>
          <w:color w:val="auto"/>
          <w:highlight w:val="none"/>
        </w:rPr>
      </w:pPr>
      <w:r>
        <w:rPr>
          <w:rFonts w:hint="eastAsia" w:ascii="Times New Roman" w:hAnsi="Times New Roman" w:eastAsia="宋体" w:cs="黑体"/>
          <w:color w:val="auto"/>
          <w:highlight w:val="none"/>
        </w:rPr>
        <w:t>油箱及其附件</w:t>
      </w:r>
    </w:p>
    <w:p>
      <w:pPr>
        <w:keepNext w:val="0"/>
        <w:keepLines w:val="0"/>
        <w:pageBreakBefore w:val="0"/>
        <w:widowControl w:val="0"/>
        <w:kinsoku/>
        <w:wordWrap/>
        <w:overflowPunct/>
        <w:autoSpaceDE/>
        <w:autoSpaceDN/>
        <w:bidi w:val="0"/>
        <w:spacing w:line="400" w:lineRule="exact"/>
        <w:ind w:firstLine="420"/>
        <w:textAlignment w:val="auto"/>
        <w:rPr>
          <w:rFonts w:hint="eastAsia" w:ascii="Times New Roman" w:hAnsi="Times New Roman" w:eastAsia="宋体"/>
          <w:color w:val="auto"/>
          <w:szCs w:val="21"/>
          <w:highlight w:val="none"/>
        </w:rPr>
      </w:pPr>
      <w:r>
        <w:rPr>
          <w:rFonts w:hint="eastAsia" w:ascii="Times New Roman" w:hAnsi="Times New Roman" w:eastAsia="宋体"/>
          <w:color w:val="auto"/>
          <w:szCs w:val="21"/>
          <w:highlight w:val="none"/>
        </w:rPr>
        <w:t>调压装置油箱及其附件的技术要求应符合GB/T 6451</w:t>
      </w:r>
      <w:r>
        <w:rPr>
          <w:rFonts w:hint="eastAsia" w:ascii="Times New Roman" w:hAnsi="Times New Roman" w:eastAsia="宋体"/>
          <w:color w:val="auto"/>
          <w:szCs w:val="21"/>
          <w:highlight w:val="none"/>
          <w:lang w:val="en-US" w:eastAsia="zh-CN"/>
        </w:rPr>
        <w:t>的要求</w:t>
      </w:r>
      <w:r>
        <w:rPr>
          <w:rFonts w:hint="eastAsia" w:ascii="Times New Roman" w:hAnsi="Times New Roman" w:eastAsia="宋体"/>
          <w:color w:val="auto"/>
          <w:szCs w:val="21"/>
          <w:highlight w:val="none"/>
        </w:rPr>
        <w:t>。</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hint="eastAsia" w:ascii="Times New Roman" w:hAnsi="Times New Roman" w:eastAsia="宋体" w:cs="黑体"/>
          <w:color w:val="auto"/>
          <w:highlight w:val="none"/>
          <w:lang w:val="en-US" w:eastAsia="zh-CN"/>
        </w:rPr>
      </w:pPr>
      <w:bookmarkStart w:id="62" w:name="_Toc18510"/>
      <w:bookmarkStart w:id="63" w:name="_Toc28831"/>
      <w:r>
        <w:rPr>
          <w:rFonts w:hint="eastAsia" w:ascii="Times New Roman" w:hAnsi="Times New Roman" w:eastAsia="宋体" w:cs="黑体"/>
          <w:color w:val="auto"/>
          <w:highlight w:val="none"/>
          <w:lang w:val="en-US" w:eastAsia="zh-CN"/>
        </w:rPr>
        <w:t>无功自动补偿装置</w:t>
      </w:r>
      <w:bookmarkEnd w:id="62"/>
      <w:r>
        <w:rPr>
          <w:rFonts w:hint="eastAsia" w:ascii="Times New Roman" w:hAnsi="Times New Roman" w:eastAsia="宋体" w:cs="黑体"/>
          <w:color w:val="auto"/>
          <w:highlight w:val="none"/>
          <w:lang w:val="en-US" w:eastAsia="zh-CN"/>
        </w:rPr>
        <w:t>技术要求</w:t>
      </w:r>
      <w:bookmarkEnd w:id="63"/>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hint="eastAsia" w:ascii="Times New Roman" w:hAnsi="Times New Roman" w:eastAsia="宋体" w:cs="黑体"/>
          <w:color w:val="auto"/>
          <w:highlight w:val="none"/>
          <w:lang w:val="en-US" w:eastAsia="zh-CN"/>
        </w:rPr>
      </w:pPr>
      <w:r>
        <w:rPr>
          <w:rFonts w:hint="eastAsia" w:ascii="Times New Roman" w:hAnsi="Times New Roman" w:eastAsia="宋体" w:cs="黑体"/>
          <w:color w:val="auto"/>
          <w:highlight w:val="none"/>
          <w:lang w:val="en-US" w:eastAsia="zh-CN"/>
        </w:rPr>
        <w:t xml:space="preserve"> 电容器容量及分组要求：</w:t>
      </w:r>
    </w:p>
    <w:p>
      <w:pPr>
        <w:keepNext w:val="0"/>
        <w:keepLines w:val="0"/>
        <w:pageBreakBefore w:val="0"/>
        <w:widowControl w:val="0"/>
        <w:numPr>
          <w:ilvl w:val="0"/>
          <w:numId w:val="28"/>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val="en-US" w:eastAsia="zh-CN"/>
        </w:rPr>
        <w:t>容量：5000kVA线路调压器配置的</w:t>
      </w:r>
      <w:r>
        <w:rPr>
          <w:rFonts w:hint="eastAsia" w:ascii="Times New Roman" w:hAnsi="Times New Roman" w:eastAsia="宋体" w:cs="Times New Roman"/>
          <w:color w:val="auto"/>
          <w:highlight w:val="none"/>
        </w:rPr>
        <w:t>无功补偿装置</w:t>
      </w:r>
      <w:r>
        <w:rPr>
          <w:rFonts w:hint="eastAsia" w:ascii="Times New Roman" w:hAnsi="Times New Roman" w:eastAsia="宋体" w:cs="Times New Roman"/>
          <w:color w:val="auto"/>
          <w:highlight w:val="none"/>
          <w:lang w:eastAsia="zh-CN"/>
        </w:rPr>
        <w:t>安装</w:t>
      </w:r>
      <w:r>
        <w:rPr>
          <w:rFonts w:hint="eastAsia" w:ascii="Times New Roman" w:hAnsi="Times New Roman" w:eastAsia="宋体" w:cs="Times New Roman"/>
          <w:color w:val="auto"/>
          <w:highlight w:val="none"/>
        </w:rPr>
        <w:t>容量</w:t>
      </w:r>
      <w:r>
        <w:rPr>
          <w:rFonts w:hint="eastAsia" w:ascii="Times New Roman" w:hAnsi="Times New Roman" w:eastAsia="宋体" w:cs="Times New Roman"/>
          <w:color w:val="auto"/>
          <w:highlight w:val="none"/>
          <w:lang w:val="en-US" w:eastAsia="zh-CN"/>
        </w:rPr>
        <w:t>为</w:t>
      </w:r>
      <w:r>
        <w:rPr>
          <w:rFonts w:hint="eastAsia" w:ascii="Times New Roman" w:hAnsi="Times New Roman" w:eastAsia="宋体" w:cs="Times New Roman"/>
          <w:color w:val="auto"/>
          <w:highlight w:val="none"/>
        </w:rPr>
        <w:t>500kvar</w:t>
      </w:r>
    </w:p>
    <w:p>
      <w:pPr>
        <w:keepNext w:val="0"/>
        <w:keepLines w:val="0"/>
        <w:pageBreakBefore w:val="0"/>
        <w:widowControl w:val="0"/>
        <w:numPr>
          <w:ilvl w:val="0"/>
          <w:numId w:val="28"/>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分组：500kvar分组方式：100定+200动+200动</w:t>
      </w:r>
    </w:p>
    <w:p>
      <w:pPr>
        <w:keepNext w:val="0"/>
        <w:keepLines w:val="0"/>
        <w:pageBreakBefore w:val="0"/>
        <w:widowControl w:val="0"/>
        <w:numPr>
          <w:ilvl w:val="3"/>
          <w:numId w:val="26"/>
        </w:numPr>
        <w:kinsoku/>
        <w:wordWrap/>
        <w:overflowPunct/>
        <w:autoSpaceDE/>
        <w:autoSpaceDN/>
        <w:bidi w:val="0"/>
        <w:spacing w:line="400" w:lineRule="exact"/>
        <w:ind w:left="0" w:leftChars="0" w:firstLine="0" w:firstLineChars="0"/>
        <w:textAlignment w:val="auto"/>
        <w:outlineLvl w:val="3"/>
        <w:rPr>
          <w:rFonts w:hint="eastAsia" w:ascii="Times New Roman" w:hAnsi="Times New Roman" w:eastAsia="宋体" w:cs="黑体"/>
          <w:color w:val="auto"/>
          <w:highlight w:val="none"/>
          <w:lang w:val="en-US" w:eastAsia="zh-CN"/>
        </w:rPr>
      </w:pPr>
      <w:r>
        <w:rPr>
          <w:rFonts w:hint="eastAsia" w:ascii="Times New Roman" w:hAnsi="Times New Roman" w:eastAsia="宋体" w:cs="黑体"/>
          <w:color w:val="auto"/>
          <w:highlight w:val="none"/>
          <w:lang w:val="en-US" w:eastAsia="zh-CN"/>
        </w:rPr>
        <w:t>电容器控制技术要求</w:t>
      </w:r>
    </w:p>
    <w:p>
      <w:pPr>
        <w:keepNext w:val="0"/>
        <w:keepLines w:val="0"/>
        <w:pageBreakBefore w:val="0"/>
        <w:widowControl w:val="0"/>
        <w:numPr>
          <w:ilvl w:val="0"/>
          <w:numId w:val="29"/>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操作方式：具有手动、自动方式。</w:t>
      </w:r>
    </w:p>
    <w:p>
      <w:pPr>
        <w:keepNext w:val="0"/>
        <w:keepLines w:val="0"/>
        <w:pageBreakBefore w:val="0"/>
        <w:widowControl w:val="0"/>
        <w:numPr>
          <w:ilvl w:val="0"/>
          <w:numId w:val="29"/>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控制方式：具智能逻辑控制功能，有多种方式供选择:具有电压、电压时间（可选项）、功率因数、电压无功、远方遥控五种自动控制方式。其中：</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电压控制方式。跟踪电压的波动，设定电压投切门限投切电容器。</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电压时间控制方式。每天可设两个时间段，时间段内按电压控制模式进行控制（可选项）。</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功率因数控制方式。</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电压无功控制方式。按电压无功九区图进行控制。</w:t>
      </w:r>
    </w:p>
    <w:p>
      <w:pPr>
        <w:keepNext w:val="0"/>
        <w:keepLines w:val="0"/>
        <w:pageBreakBefore w:val="0"/>
        <w:widowControl w:val="0"/>
        <w:numPr>
          <w:ilvl w:val="0"/>
          <w:numId w:val="18"/>
        </w:numPr>
        <w:kinsoku/>
        <w:wordWrap/>
        <w:overflowPunct/>
        <w:autoSpaceDE/>
        <w:autoSpaceDN/>
        <w:bidi w:val="0"/>
        <w:spacing w:line="400" w:lineRule="exact"/>
        <w:ind w:left="1160" w:hanging="3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 xml:space="preserve">远方遥控：可在后台软件上远方手动投切电容器组。 </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hint="eastAsia" w:ascii="Times New Roman" w:hAnsi="Times New Roman" w:eastAsia="宋体" w:cs="黑体"/>
          <w:color w:val="auto"/>
          <w:highlight w:val="none"/>
        </w:rPr>
      </w:pPr>
      <w:bookmarkStart w:id="64" w:name="_Toc28813"/>
      <w:bookmarkStart w:id="65" w:name="_Toc20519"/>
      <w:bookmarkStart w:id="66" w:name="_Toc9528"/>
      <w:r>
        <w:rPr>
          <w:rFonts w:hint="eastAsia" w:ascii="Times New Roman" w:hAnsi="Times New Roman" w:eastAsia="宋体" w:cs="黑体"/>
          <w:color w:val="auto"/>
          <w:highlight w:val="none"/>
          <w:lang w:eastAsia="zh-CN"/>
        </w:rPr>
        <w:t>控制器</w:t>
      </w:r>
      <w:r>
        <w:rPr>
          <w:rFonts w:hint="eastAsia" w:ascii="Times New Roman" w:hAnsi="Times New Roman" w:eastAsia="宋体" w:cs="黑体"/>
          <w:color w:val="auto"/>
          <w:highlight w:val="none"/>
        </w:rPr>
        <w:t>技术要求</w:t>
      </w:r>
      <w:bookmarkEnd w:id="64"/>
      <w:bookmarkEnd w:id="65"/>
      <w:bookmarkEnd w:id="66"/>
    </w:p>
    <w:p>
      <w:pPr>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调压装置控制器应满足以下要求</w:t>
      </w:r>
      <w:r>
        <w:rPr>
          <w:rFonts w:hint="eastAsia" w:ascii="Times New Roman" w:hAnsi="Times New Roman" w:eastAsia="宋体"/>
          <w:color w:val="auto"/>
          <w:szCs w:val="21"/>
          <w:highlight w:val="none"/>
          <w:lang w:eastAsia="zh-CN"/>
        </w:rPr>
        <w:t>：</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应具备自动、手动、旁路等工作模式；</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过负荷保护；</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过电流保护；</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低电压保护；</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过电压保护；</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失压保护；</w:t>
      </w:r>
    </w:p>
    <w:p>
      <w:pPr>
        <w:keepNext w:val="0"/>
        <w:keepLines w:val="0"/>
        <w:pageBreakBefore w:val="0"/>
        <w:widowControl w:val="0"/>
        <w:numPr>
          <w:ilvl w:val="0"/>
          <w:numId w:val="30"/>
        </w:numPr>
        <w:kinsoku/>
        <w:wordWrap/>
        <w:overflowPunct/>
        <w:autoSpaceDE/>
        <w:autoSpaceDN/>
        <w:bidi w:val="0"/>
        <w:spacing w:line="400" w:lineRule="exact"/>
        <w:ind w:leftChars="200" w:hanging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对于双向调压装置的控制器应具各自动识别线路潮流方向功能。</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67" w:name="_Toc13879"/>
      <w:r>
        <w:rPr>
          <w:rFonts w:hint="eastAsia" w:ascii="Times New Roman" w:hAnsi="Times New Roman" w:eastAsia="宋体" w:cs="黑体"/>
          <w:color w:val="auto"/>
          <w:highlight w:val="none"/>
        </w:rPr>
        <w:t>真空断路器技术要求</w:t>
      </w:r>
      <w:bookmarkEnd w:id="67"/>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真空断路器应满足DL/T 403的相关要求。</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68" w:name="_Toc27012"/>
      <w:r>
        <w:rPr>
          <w:rFonts w:hint="eastAsia" w:ascii="Times New Roman" w:hAnsi="Times New Roman" w:eastAsia="宋体" w:cs="黑体"/>
          <w:color w:val="auto"/>
          <w:highlight w:val="none"/>
        </w:rPr>
        <w:t>隔离开关技术要求</w:t>
      </w:r>
      <w:bookmarkEnd w:id="68"/>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s="黑体"/>
          <w:color w:val="auto"/>
          <w:highlight w:val="none"/>
        </w:rPr>
      </w:pPr>
      <w:r>
        <w:rPr>
          <w:rFonts w:hint="eastAsia" w:ascii="Times New Roman" w:hAnsi="Times New Roman" w:eastAsia="宋体"/>
          <w:color w:val="auto"/>
          <w:szCs w:val="21"/>
          <w:highlight w:val="none"/>
        </w:rPr>
        <w:t>隔离开关应满足GB/T 1985的相关要求。</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69" w:name="_Toc1235"/>
      <w:r>
        <w:rPr>
          <w:rFonts w:hint="eastAsia" w:ascii="Times New Roman" w:hAnsi="Times New Roman" w:eastAsia="宋体" w:cs="黑体"/>
          <w:color w:val="auto"/>
          <w:highlight w:val="none"/>
        </w:rPr>
        <w:t>避雷器技术要求</w:t>
      </w:r>
      <w:bookmarkEnd w:id="69"/>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避雷器应满足GB/T 11032的规定</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70" w:name="_Toc8754"/>
      <w:r>
        <w:rPr>
          <w:rFonts w:hint="eastAsia" w:ascii="Times New Roman" w:hAnsi="Times New Roman" w:eastAsia="宋体" w:cs="黑体"/>
          <w:color w:val="auto"/>
          <w:highlight w:val="none"/>
        </w:rPr>
        <w:t>电压互感器技术要求</w:t>
      </w:r>
      <w:bookmarkEnd w:id="70"/>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电压互感器应满足GB/T</w:t>
      </w:r>
      <w:r>
        <w:rPr>
          <w:rFonts w:hint="eastAsia" w:ascii="Times New Roman" w:hAnsi="Times New Roman" w:eastAsia="宋体"/>
          <w:color w:val="auto"/>
          <w:szCs w:val="21"/>
          <w:highlight w:val="none"/>
          <w:lang w:val="en-US" w:eastAsia="zh-CN"/>
        </w:rPr>
        <w:t xml:space="preserve"> </w:t>
      </w:r>
      <w:r>
        <w:rPr>
          <w:rFonts w:hint="eastAsia" w:ascii="Times New Roman" w:hAnsi="Times New Roman" w:eastAsia="宋体"/>
          <w:color w:val="auto"/>
          <w:szCs w:val="21"/>
          <w:highlight w:val="none"/>
        </w:rPr>
        <w:t>20840.3的规定。</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71" w:name="_Toc3938"/>
      <w:r>
        <w:rPr>
          <w:rFonts w:hint="eastAsia" w:ascii="Times New Roman" w:hAnsi="Times New Roman" w:eastAsia="宋体" w:cs="黑体"/>
          <w:color w:val="auto"/>
          <w:highlight w:val="none"/>
        </w:rPr>
        <w:t>电流互感器技术要求</w:t>
      </w:r>
      <w:bookmarkEnd w:id="71"/>
    </w:p>
    <w:p>
      <w:pPr>
        <w:keepNext w:val="0"/>
        <w:keepLines w:val="0"/>
        <w:pageBreakBefore w:val="0"/>
        <w:widowControl w:val="0"/>
        <w:kinsoku/>
        <w:wordWrap/>
        <w:overflowPunct/>
        <w:autoSpaceDE/>
        <w:autoSpaceDN/>
        <w:bidi w:val="0"/>
        <w:spacing w:line="400" w:lineRule="exact"/>
        <w:ind w:firstLine="420"/>
        <w:textAlignment w:val="auto"/>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电流互感器技术要求GB 20840.2的规定。</w:t>
      </w:r>
    </w:p>
    <w:p>
      <w:pPr>
        <w:keepNext w:val="0"/>
        <w:keepLines w:val="0"/>
        <w:pageBreakBefore w:val="0"/>
        <w:widowControl w:val="0"/>
        <w:numPr>
          <w:ilvl w:val="2"/>
          <w:numId w:val="26"/>
        </w:numPr>
        <w:kinsoku/>
        <w:wordWrap/>
        <w:overflowPunct/>
        <w:autoSpaceDE/>
        <w:autoSpaceDN/>
        <w:bidi w:val="0"/>
        <w:spacing w:line="400" w:lineRule="exact"/>
        <w:ind w:left="0" w:leftChars="0" w:firstLine="0" w:firstLineChars="0"/>
        <w:textAlignment w:val="auto"/>
        <w:outlineLvl w:val="2"/>
        <w:rPr>
          <w:rFonts w:ascii="Times New Roman" w:hAnsi="Times New Roman" w:eastAsia="宋体" w:cs="黑体"/>
          <w:color w:val="auto"/>
          <w:highlight w:val="none"/>
        </w:rPr>
      </w:pPr>
      <w:bookmarkStart w:id="72" w:name="_Toc32344"/>
      <w:r>
        <w:rPr>
          <w:rFonts w:hint="eastAsia" w:ascii="Times New Roman" w:hAnsi="Times New Roman" w:eastAsia="宋体" w:cs="黑体"/>
          <w:color w:val="auto"/>
          <w:highlight w:val="none"/>
        </w:rPr>
        <w:t>工作电源技术要求</w:t>
      </w:r>
      <w:bookmarkEnd w:id="72"/>
    </w:p>
    <w:p>
      <w:pPr>
        <w:keepNext w:val="0"/>
        <w:keepLines w:val="0"/>
        <w:pageBreakBefore w:val="0"/>
        <w:widowControl w:val="0"/>
        <w:kinsoku/>
        <w:wordWrap/>
        <w:overflowPunct/>
        <w:autoSpaceDE/>
        <w:autoSpaceDN/>
        <w:bidi w:val="0"/>
        <w:spacing w:line="400" w:lineRule="exact"/>
        <w:ind w:firstLine="420"/>
        <w:textAlignment w:val="auto"/>
        <w:rPr>
          <w:rFonts w:hint="eastAsia" w:ascii="Times New Roman" w:hAnsi="Times New Roman" w:eastAsia="宋体"/>
          <w:color w:val="auto"/>
          <w:highlight w:val="none"/>
          <w:lang w:val="en-US" w:eastAsia="zh-CN"/>
        </w:rPr>
      </w:pPr>
      <w:r>
        <w:rPr>
          <w:rFonts w:hint="eastAsia" w:ascii="Times New Roman" w:hAnsi="Times New Roman" w:eastAsia="宋体"/>
          <w:color w:val="auto"/>
          <w:highlight w:val="none"/>
        </w:rPr>
        <w:t>控制电源：A</w:t>
      </w:r>
      <w:r>
        <w:rPr>
          <w:rFonts w:ascii="Times New Roman" w:hAnsi="Times New Roman" w:eastAsia="宋体"/>
          <w:color w:val="auto"/>
          <w:highlight w:val="none"/>
        </w:rPr>
        <w:t>C/DC 220V</w:t>
      </w:r>
      <w:r>
        <w:rPr>
          <w:rFonts w:hint="eastAsia" w:ascii="Times New Roman" w:hAnsi="Times New Roman" w:eastAsia="宋体"/>
          <w:color w:val="auto"/>
          <w:highlight w:val="none"/>
        </w:rPr>
        <w:t>（要求装置自供电）</w:t>
      </w:r>
      <w:r>
        <w:rPr>
          <w:rFonts w:hint="eastAsia" w:ascii="Times New Roman" w:hAnsi="Times New Roman"/>
          <w:color w:val="auto"/>
          <w:highlight w:val="none"/>
          <w:lang w:eastAsia="zh-CN"/>
        </w:rPr>
        <w:t>。</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73" w:name="_Toc414979221"/>
      <w:bookmarkEnd w:id="73"/>
      <w:bookmarkStart w:id="74" w:name="_Toc414896202"/>
      <w:bookmarkEnd w:id="74"/>
      <w:bookmarkStart w:id="75" w:name="_Toc414979223"/>
      <w:bookmarkEnd w:id="75"/>
      <w:bookmarkStart w:id="76" w:name="_Toc372729497"/>
      <w:bookmarkEnd w:id="76"/>
      <w:bookmarkStart w:id="77" w:name="_Toc402276238"/>
      <w:bookmarkEnd w:id="77"/>
      <w:bookmarkStart w:id="78" w:name="_Toc414896102"/>
      <w:bookmarkEnd w:id="78"/>
      <w:bookmarkStart w:id="79" w:name="_Toc372723710"/>
      <w:bookmarkEnd w:id="79"/>
      <w:bookmarkStart w:id="80" w:name="_Toc414979222"/>
      <w:bookmarkEnd w:id="80"/>
      <w:bookmarkStart w:id="81" w:name="_Toc402276237"/>
      <w:bookmarkEnd w:id="81"/>
      <w:bookmarkStart w:id="82" w:name="_Toc414979322"/>
      <w:bookmarkEnd w:id="82"/>
      <w:bookmarkStart w:id="83" w:name="_Toc414979220"/>
      <w:bookmarkEnd w:id="83"/>
      <w:bookmarkStart w:id="84" w:name="_Toc414896101"/>
      <w:bookmarkEnd w:id="84"/>
      <w:bookmarkStart w:id="85" w:name="_Toc414896103"/>
      <w:bookmarkEnd w:id="85"/>
      <w:bookmarkStart w:id="86" w:name="_Toc414896100"/>
      <w:bookmarkEnd w:id="86"/>
      <w:bookmarkStart w:id="87" w:name="_Toc30312"/>
      <w:bookmarkStart w:id="88" w:name="_Toc24036"/>
      <w:bookmarkStart w:id="89" w:name="_Toc9657_WPSOffice_Level1"/>
      <w:bookmarkStart w:id="90" w:name="_Toc15003"/>
      <w:r>
        <w:rPr>
          <w:rFonts w:hint="eastAsia" w:ascii="Times New Roman" w:hAnsi="Times New Roman" w:eastAsia="宋体" w:cs="Times New Roman"/>
          <w:b/>
          <w:bCs/>
          <w:snapToGrid w:val="0"/>
          <w:color w:val="auto"/>
          <w:kern w:val="0"/>
          <w:sz w:val="21"/>
          <w:szCs w:val="21"/>
          <w:highlight w:val="none"/>
          <w:lang w:val="en-US" w:eastAsia="zh-CN" w:bidi="ar-SA"/>
        </w:rPr>
        <w:t>6　试验</w:t>
      </w:r>
      <w:bookmarkEnd w:id="87"/>
      <w:bookmarkEnd w:id="88"/>
      <w:bookmarkEnd w:id="89"/>
      <w:bookmarkEnd w:id="90"/>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rPr>
      </w:pPr>
      <w:bookmarkStart w:id="91" w:name="_Toc21906"/>
      <w:bookmarkStart w:id="92" w:name="_Toc20757"/>
      <w:bookmarkStart w:id="93" w:name="_Toc8064"/>
      <w:bookmarkStart w:id="94" w:name="_Toc247855650"/>
      <w:bookmarkStart w:id="95" w:name="_Toc25720"/>
      <w:bookmarkStart w:id="96" w:name="_Toc256370340"/>
      <w:bookmarkStart w:id="97" w:name="_Toc252534624"/>
      <w:bookmarkStart w:id="98" w:name="_Toc7451"/>
      <w:bookmarkStart w:id="99" w:name="_Toc9296"/>
      <w:r>
        <w:rPr>
          <w:rFonts w:hint="eastAsia" w:ascii="Times New Roman" w:hAnsi="Times New Roman" w:eastAsia="宋体"/>
          <w:bCs/>
          <w:color w:val="auto"/>
          <w:highlight w:val="none"/>
          <w:lang w:val="en-US" w:eastAsia="zh-CN"/>
        </w:rPr>
        <w:t>6</w:t>
      </w:r>
      <w:r>
        <w:rPr>
          <w:rFonts w:hint="eastAsia" w:ascii="Times New Roman" w:hAnsi="Times New Roman" w:eastAsia="宋体"/>
          <w:bCs/>
          <w:color w:val="auto"/>
          <w:highlight w:val="none"/>
        </w:rPr>
        <w:t>.1</w:t>
      </w:r>
      <w:r>
        <w:rPr>
          <w:rFonts w:hint="eastAsia" w:ascii="Times New Roman" w:hAnsi="Times New Roman" w:eastAsia="宋体"/>
          <w:bCs/>
          <w:color w:val="auto"/>
          <w:highlight w:val="none"/>
          <w:lang w:val="en-US" w:eastAsia="zh-CN"/>
        </w:rPr>
        <w:t xml:space="preserve"> </w:t>
      </w:r>
      <w:r>
        <w:rPr>
          <w:rFonts w:hint="eastAsia" w:ascii="Times New Roman" w:hAnsi="Times New Roman" w:eastAsia="宋体"/>
          <w:color w:val="auto"/>
          <w:highlight w:val="none"/>
          <w:lang w:val="en-US" w:eastAsia="zh-CN"/>
        </w:rPr>
        <w:t xml:space="preserve"> </w:t>
      </w:r>
      <w:r>
        <w:rPr>
          <w:rFonts w:hint="eastAsia" w:ascii="Times New Roman" w:hAnsi="Times New Roman" w:eastAsia="宋体"/>
          <w:color w:val="auto"/>
          <w:highlight w:val="none"/>
        </w:rPr>
        <w:t>试验要求</w:t>
      </w:r>
      <w:bookmarkEnd w:id="91"/>
      <w:bookmarkEnd w:id="92"/>
      <w:bookmarkEnd w:id="93"/>
      <w:bookmarkEnd w:id="94"/>
      <w:bookmarkEnd w:id="95"/>
      <w:bookmarkEnd w:id="96"/>
      <w:bookmarkEnd w:id="97"/>
      <w:bookmarkEnd w:id="98"/>
      <w:bookmarkEnd w:id="99"/>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宋体"/>
          <w:color w:val="auto"/>
          <w:szCs w:val="21"/>
          <w:highlight w:val="none"/>
          <w:lang w:val="en-US"/>
        </w:rPr>
      </w:pPr>
      <w:r>
        <w:rPr>
          <w:rFonts w:hint="eastAsia" w:ascii="Times New Roman" w:hAnsi="Times New Roman" w:eastAsia="宋体" w:cs="宋体"/>
          <w:bCs/>
          <w:color w:val="auto"/>
          <w:szCs w:val="21"/>
          <w:highlight w:val="none"/>
          <w:lang w:val="en-US"/>
        </w:rPr>
        <w:t>6.1.1　</w:t>
      </w:r>
      <w:r>
        <w:rPr>
          <w:rFonts w:hint="eastAsia" w:ascii="Times New Roman" w:hAnsi="Times New Roman" w:eastAsia="宋体" w:cs="宋体"/>
          <w:color w:val="auto"/>
          <w:szCs w:val="21"/>
          <w:highlight w:val="none"/>
          <w:lang w:val="en-US"/>
        </w:rPr>
        <w:t>除高低温试验项目及电磁兼容试验项目外，测量和试验的标准环境条件应不超过下列范围：</w:t>
      </w:r>
    </w:p>
    <w:p>
      <w:pPr>
        <w:keepNext w:val="0"/>
        <w:keepLines w:val="0"/>
        <w:pageBreakBefore w:val="0"/>
        <w:widowControl w:val="0"/>
        <w:kinsoku/>
        <w:wordWrap/>
        <w:overflowPunct/>
        <w:autoSpaceDE/>
        <w:autoSpaceDN/>
        <w:bidi w:val="0"/>
        <w:spacing w:line="400" w:lineRule="exact"/>
        <w:ind w:leftChars="300"/>
        <w:textAlignment w:val="auto"/>
        <w:rPr>
          <w:rFonts w:hint="eastAsia" w:ascii="Times New Roman" w:hAnsi="Times New Roman" w:eastAsia="宋体" w:cs="宋体"/>
          <w:color w:val="auto"/>
          <w:szCs w:val="21"/>
          <w:highlight w:val="none"/>
          <w:lang w:val="en-US"/>
        </w:rPr>
      </w:pPr>
      <w:r>
        <w:rPr>
          <w:rFonts w:hint="eastAsia" w:ascii="Times New Roman" w:hAnsi="Times New Roman" w:eastAsia="宋体" w:cs="宋体"/>
          <w:color w:val="auto"/>
          <w:szCs w:val="21"/>
          <w:highlight w:val="none"/>
          <w:lang w:val="en-US"/>
        </w:rPr>
        <w:t>a)</w:t>
      </w:r>
      <w:r>
        <w:rPr>
          <w:rFonts w:hint="eastAsia" w:ascii="Times New Roman" w:hAnsi="Times New Roman" w:cs="宋体"/>
          <w:color w:val="auto"/>
          <w:szCs w:val="21"/>
          <w:highlight w:val="none"/>
          <w:lang w:val="en-US" w:eastAsia="zh-CN"/>
        </w:rPr>
        <w:t xml:space="preserve"> </w:t>
      </w:r>
      <w:r>
        <w:rPr>
          <w:rFonts w:hint="eastAsia" w:ascii="Times New Roman" w:hAnsi="Times New Roman" w:eastAsia="宋体" w:cs="宋体"/>
          <w:color w:val="auto"/>
          <w:szCs w:val="21"/>
          <w:highlight w:val="none"/>
          <w:lang w:val="en-US"/>
        </w:rPr>
        <w:t>试验环境温度：+10℃~+30℃；</w:t>
      </w:r>
    </w:p>
    <w:p>
      <w:pPr>
        <w:keepNext w:val="0"/>
        <w:keepLines w:val="0"/>
        <w:pageBreakBefore w:val="0"/>
        <w:widowControl w:val="0"/>
        <w:kinsoku/>
        <w:wordWrap/>
        <w:overflowPunct/>
        <w:autoSpaceDE/>
        <w:autoSpaceDN/>
        <w:bidi w:val="0"/>
        <w:spacing w:line="400" w:lineRule="exact"/>
        <w:ind w:leftChars="300"/>
        <w:textAlignment w:val="auto"/>
        <w:rPr>
          <w:rFonts w:hint="eastAsia" w:ascii="Times New Roman" w:hAnsi="Times New Roman" w:eastAsia="宋体" w:cs="宋体"/>
          <w:color w:val="auto"/>
          <w:szCs w:val="21"/>
          <w:highlight w:val="none"/>
          <w:lang w:val="en-US"/>
        </w:rPr>
      </w:pPr>
      <w:r>
        <w:rPr>
          <w:rFonts w:hint="eastAsia" w:ascii="Times New Roman" w:hAnsi="Times New Roman" w:eastAsia="宋体" w:cs="宋体"/>
          <w:color w:val="auto"/>
          <w:szCs w:val="21"/>
          <w:highlight w:val="none"/>
          <w:lang w:val="en-US"/>
        </w:rPr>
        <w:t>b)</w:t>
      </w:r>
      <w:r>
        <w:rPr>
          <w:rFonts w:hint="eastAsia" w:ascii="Times New Roman" w:hAnsi="Times New Roman" w:cs="宋体"/>
          <w:color w:val="auto"/>
          <w:szCs w:val="21"/>
          <w:highlight w:val="none"/>
          <w:lang w:val="en-US" w:eastAsia="zh-CN"/>
        </w:rPr>
        <w:t xml:space="preserve"> </w:t>
      </w:r>
      <w:r>
        <w:rPr>
          <w:rFonts w:hint="eastAsia" w:ascii="Times New Roman" w:hAnsi="Times New Roman" w:eastAsia="宋体" w:cs="宋体"/>
          <w:color w:val="auto"/>
          <w:szCs w:val="21"/>
          <w:highlight w:val="none"/>
          <w:lang w:val="en-US"/>
        </w:rPr>
        <w:t>大气压力79.5kPa~106.0kPa。</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lang w:val="en-US" w:eastAsia="zh-CN"/>
        </w:rPr>
        <w:t xml:space="preserve">6.1.2 </w:t>
      </w:r>
      <w:r>
        <w:rPr>
          <w:rFonts w:hint="eastAsia" w:ascii="Times New Roman" w:hAnsi="Times New Roman" w:eastAsia="宋体" w:cs="宋体"/>
          <w:color w:val="auto"/>
          <w:szCs w:val="21"/>
          <w:highlight w:val="none"/>
          <w:lang w:eastAsia="zh-CN"/>
        </w:rPr>
        <w:t>投标方</w:t>
      </w:r>
      <w:r>
        <w:rPr>
          <w:rFonts w:hint="eastAsia" w:ascii="Times New Roman" w:hAnsi="Times New Roman" w:eastAsia="宋体" w:cs="宋体"/>
          <w:color w:val="auto"/>
          <w:szCs w:val="21"/>
          <w:highlight w:val="none"/>
        </w:rPr>
        <w:t>提供的设备试验标准应符合IEC及国标、行标的有关规范，并提供型式试验、出厂</w:t>
      </w:r>
      <w:r>
        <w:rPr>
          <w:rFonts w:hint="eastAsia" w:ascii="Times New Roman" w:hAnsi="Times New Roman" w:eastAsia="宋体" w:cs="宋体"/>
          <w:color w:val="auto"/>
          <w:szCs w:val="21"/>
          <w:highlight w:val="none"/>
          <w:lang w:val="en-US" w:eastAsia="zh-CN"/>
        </w:rPr>
        <w:t>试验</w:t>
      </w:r>
      <w:r>
        <w:rPr>
          <w:rFonts w:hint="eastAsia" w:ascii="Times New Roman" w:hAnsi="Times New Roman" w:eastAsia="宋体" w:cs="宋体"/>
          <w:color w:val="auto"/>
          <w:szCs w:val="21"/>
          <w:highlight w:val="none"/>
        </w:rPr>
        <w:t>报告。</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olor w:val="auto"/>
          <w:highlight w:val="none"/>
        </w:rPr>
      </w:pPr>
      <w:r>
        <w:rPr>
          <w:rFonts w:hint="eastAsia" w:ascii="Times New Roman" w:hAnsi="Times New Roman" w:eastAsia="宋体" w:cs="宋体"/>
          <w:bCs/>
          <w:color w:val="auto"/>
          <w:szCs w:val="21"/>
          <w:highlight w:val="none"/>
          <w:lang w:val="en-US"/>
        </w:rPr>
        <w:t>6</w:t>
      </w:r>
      <w:r>
        <w:rPr>
          <w:rFonts w:hint="eastAsia" w:ascii="Times New Roman" w:hAnsi="Times New Roman" w:eastAsia="宋体" w:cs="宋体"/>
          <w:bCs/>
          <w:color w:val="auto"/>
          <w:szCs w:val="21"/>
          <w:highlight w:val="none"/>
        </w:rPr>
        <w:t>.1.</w:t>
      </w:r>
      <w:r>
        <w:rPr>
          <w:rFonts w:hint="eastAsia" w:ascii="Times New Roman" w:hAnsi="Times New Roman" w:eastAsia="宋体" w:cs="宋体"/>
          <w:bCs/>
          <w:color w:val="auto"/>
          <w:szCs w:val="21"/>
          <w:highlight w:val="none"/>
          <w:lang w:val="en-US" w:eastAsia="zh-CN"/>
        </w:rPr>
        <w:t>3</w:t>
      </w:r>
      <w:r>
        <w:rPr>
          <w:rFonts w:hint="eastAsia" w:ascii="Times New Roman" w:hAnsi="Times New Roman" w:eastAsia="宋体" w:cs="宋体"/>
          <w:color w:val="auto"/>
          <w:szCs w:val="21"/>
          <w:highlight w:val="none"/>
        </w:rPr>
        <w:t>　</w:t>
      </w:r>
      <w:r>
        <w:rPr>
          <w:rFonts w:hint="eastAsia" w:ascii="Times New Roman" w:hAnsi="Times New Roman" w:eastAsia="宋体" w:cs="宋体"/>
          <w:color w:val="auto"/>
          <w:szCs w:val="21"/>
          <w:highlight w:val="none"/>
          <w:lang w:eastAsia="zh-CN"/>
        </w:rPr>
        <w:t>投标方</w:t>
      </w:r>
      <w:r>
        <w:rPr>
          <w:rFonts w:hint="eastAsia" w:ascii="Times New Roman" w:hAnsi="Times New Roman" w:eastAsia="宋体" w:cs="宋体"/>
          <w:color w:val="auto"/>
          <w:szCs w:val="21"/>
          <w:highlight w:val="none"/>
        </w:rPr>
        <w:t>提供的每一套设备出厂之前都应按规范要求、国家和行业标准以及工厂规定的调试大纲进行出厂检查、性能试验，试验报告应随产品提供。</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rPr>
      </w:pPr>
      <w:bookmarkStart w:id="100" w:name="_Toc1163"/>
      <w:bookmarkStart w:id="101" w:name="_Toc247855651"/>
      <w:bookmarkStart w:id="102" w:name="_Toc25604"/>
      <w:bookmarkStart w:id="103" w:name="_Toc25067"/>
      <w:bookmarkStart w:id="104" w:name="_Toc256370341"/>
      <w:bookmarkStart w:id="105" w:name="_Toc252534625"/>
      <w:bookmarkStart w:id="106" w:name="_Toc7651"/>
      <w:bookmarkStart w:id="107" w:name="_Toc7539"/>
      <w:bookmarkStart w:id="108" w:name="_Toc26748"/>
      <w:r>
        <w:rPr>
          <w:rFonts w:hint="eastAsia" w:ascii="Times New Roman" w:hAnsi="Times New Roman" w:eastAsia="宋体"/>
          <w:bCs/>
          <w:color w:val="auto"/>
          <w:highlight w:val="none"/>
          <w:lang w:val="en-US" w:eastAsia="zh-CN"/>
        </w:rPr>
        <w:t>6</w:t>
      </w:r>
      <w:r>
        <w:rPr>
          <w:rFonts w:hint="eastAsia" w:ascii="Times New Roman" w:hAnsi="Times New Roman" w:eastAsia="宋体"/>
          <w:bCs/>
          <w:color w:val="auto"/>
          <w:highlight w:val="none"/>
        </w:rPr>
        <w:t>.2</w:t>
      </w:r>
      <w:r>
        <w:rPr>
          <w:rFonts w:hint="eastAsia" w:ascii="Times New Roman" w:hAnsi="Times New Roman" w:eastAsia="宋体"/>
          <w:color w:val="auto"/>
          <w:highlight w:val="none"/>
          <w:lang w:val="en-US" w:eastAsia="zh-CN"/>
        </w:rPr>
        <w:t xml:space="preserve">  </w:t>
      </w:r>
      <w:r>
        <w:rPr>
          <w:rFonts w:hint="eastAsia" w:ascii="Times New Roman" w:hAnsi="Times New Roman" w:eastAsia="宋体"/>
          <w:color w:val="auto"/>
          <w:highlight w:val="none"/>
        </w:rPr>
        <w:t>电气性能试验</w:t>
      </w:r>
      <w:bookmarkEnd w:id="100"/>
      <w:bookmarkEnd w:id="101"/>
      <w:bookmarkEnd w:id="102"/>
      <w:bookmarkEnd w:id="103"/>
      <w:bookmarkEnd w:id="104"/>
      <w:bookmarkEnd w:id="105"/>
      <w:bookmarkEnd w:id="106"/>
      <w:bookmarkEnd w:id="107"/>
      <w:bookmarkEnd w:id="108"/>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rPr>
        <w:t>6</w:t>
      </w:r>
      <w:r>
        <w:rPr>
          <w:rFonts w:hint="eastAsia" w:ascii="Times New Roman" w:hAnsi="Times New Roman" w:eastAsia="宋体" w:cs="Times New Roman"/>
          <w:bCs/>
          <w:color w:val="auto"/>
          <w:szCs w:val="21"/>
          <w:highlight w:val="none"/>
        </w:rPr>
        <w:t>.2.1</w:t>
      </w:r>
      <w:r>
        <w:rPr>
          <w:rFonts w:hint="eastAsia" w:ascii="Times New Roman" w:hAnsi="Times New Roman" w:eastAsia="宋体" w:cs="Times New Roman"/>
          <w:color w:val="auto"/>
          <w:szCs w:val="21"/>
          <w:highlight w:val="none"/>
        </w:rPr>
        <w:t>　装置内部所有元器件性能正确性试验及所有接线正确性试验。</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rPr>
        <w:t>6</w:t>
      </w:r>
      <w:r>
        <w:rPr>
          <w:rFonts w:hint="eastAsia" w:ascii="Times New Roman" w:hAnsi="Times New Roman" w:eastAsia="宋体" w:cs="Times New Roman"/>
          <w:bCs/>
          <w:color w:val="auto"/>
          <w:szCs w:val="21"/>
          <w:highlight w:val="none"/>
        </w:rPr>
        <w:t>.2.2</w:t>
      </w:r>
      <w:r>
        <w:rPr>
          <w:rFonts w:hint="eastAsia" w:ascii="Times New Roman" w:hAnsi="Times New Roman" w:eastAsia="宋体" w:cs="Times New Roman"/>
          <w:color w:val="auto"/>
          <w:szCs w:val="21"/>
          <w:highlight w:val="none"/>
        </w:rPr>
        <w:t>　模拟实际情况进行连续通电。</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rPr>
      </w:pPr>
      <w:bookmarkStart w:id="109" w:name="_Toc5759"/>
      <w:bookmarkStart w:id="110" w:name="_Toc256370342"/>
      <w:bookmarkStart w:id="111" w:name="_Toc16301"/>
      <w:bookmarkStart w:id="112" w:name="_Toc12208"/>
      <w:bookmarkStart w:id="113" w:name="_Toc252534626"/>
      <w:bookmarkStart w:id="114" w:name="_Toc339"/>
      <w:bookmarkStart w:id="115" w:name="_Toc25523"/>
      <w:bookmarkStart w:id="116" w:name="_Toc32299"/>
      <w:bookmarkStart w:id="117" w:name="_Toc247855652"/>
      <w:r>
        <w:rPr>
          <w:rFonts w:hint="eastAsia" w:ascii="Times New Roman" w:hAnsi="Times New Roman" w:eastAsia="宋体"/>
          <w:bCs/>
          <w:color w:val="auto"/>
          <w:highlight w:val="none"/>
          <w:lang w:val="en-US" w:eastAsia="zh-CN"/>
        </w:rPr>
        <w:t>6</w:t>
      </w:r>
      <w:r>
        <w:rPr>
          <w:rFonts w:hint="eastAsia" w:ascii="Times New Roman" w:hAnsi="Times New Roman" w:eastAsia="宋体"/>
          <w:bCs/>
          <w:color w:val="auto"/>
          <w:highlight w:val="none"/>
        </w:rPr>
        <w:t>.3</w:t>
      </w:r>
      <w:r>
        <w:rPr>
          <w:rFonts w:hint="eastAsia" w:ascii="Times New Roman" w:hAnsi="Times New Roman" w:eastAsia="宋体"/>
          <w:color w:val="auto"/>
          <w:highlight w:val="none"/>
        </w:rPr>
        <w:t>　现场试验</w:t>
      </w:r>
      <w:bookmarkEnd w:id="109"/>
      <w:bookmarkEnd w:id="110"/>
      <w:bookmarkEnd w:id="111"/>
      <w:bookmarkEnd w:id="112"/>
      <w:bookmarkEnd w:id="113"/>
      <w:bookmarkEnd w:id="114"/>
      <w:bookmarkEnd w:id="115"/>
      <w:bookmarkEnd w:id="116"/>
      <w:bookmarkEnd w:id="117"/>
    </w:p>
    <w:p>
      <w:pPr>
        <w:keepNext w:val="0"/>
        <w:keepLines w:val="0"/>
        <w:pageBreakBefore w:val="0"/>
        <w:widowControl w:val="0"/>
        <w:kinsoku/>
        <w:wordWrap/>
        <w:overflowPunct/>
        <w:autoSpaceDE/>
        <w:autoSpaceDN/>
        <w:bidi w:val="0"/>
        <w:spacing w:line="400" w:lineRule="exact"/>
        <w:ind w:firstLine="420" w:firstLineChars="200"/>
        <w:textAlignment w:val="auto"/>
        <w:rPr>
          <w:rFonts w:hint="eastAsia"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rPr>
        <w:t>现场实际设备接入后，还应作系统性测试验收。现场投运前和试运行中发现的设备缺陷和元件损坏</w:t>
      </w:r>
      <w:r>
        <w:rPr>
          <w:rFonts w:ascii="Times New Roman" w:hAnsi="Times New Roman" w:eastAsia="宋体" w:cs="Times New Roman"/>
          <w:color w:val="auto"/>
          <w:kern w:val="21"/>
          <w:szCs w:val="21"/>
          <w:highlight w:val="none"/>
        </w:rPr>
        <w:t>,</w:t>
      </w:r>
      <w:r>
        <w:rPr>
          <w:rFonts w:hint="eastAsia" w:ascii="Times New Roman" w:hAnsi="Times New Roman" w:eastAsia="宋体" w:cs="Times New Roman"/>
          <w:color w:val="auto"/>
          <w:szCs w:val="21"/>
          <w:highlight w:val="none"/>
        </w:rPr>
        <w:t xml:space="preserve"> </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kern w:val="21"/>
          <w:szCs w:val="21"/>
          <w:highlight w:val="none"/>
        </w:rPr>
        <w:t>应及时无偿修理或更换，直至符合规范要求。保修期内产品出现不符合功能要求和技术指标要求，</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kern w:val="21"/>
          <w:szCs w:val="21"/>
          <w:highlight w:val="none"/>
        </w:rPr>
        <w:t>亦应负责。</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118" w:name="_Toc2643"/>
      <w:bookmarkStart w:id="119" w:name="_Toc30551"/>
      <w:bookmarkStart w:id="120" w:name="_Toc256370343"/>
      <w:bookmarkStart w:id="121" w:name="_Toc252534627"/>
      <w:bookmarkStart w:id="122" w:name="_Toc11610_WPSOffice_Level1"/>
      <w:bookmarkStart w:id="123" w:name="_Toc19186"/>
      <w:bookmarkStart w:id="124" w:name="_Toc26315"/>
      <w:bookmarkStart w:id="125" w:name="_Toc6478"/>
      <w:bookmarkStart w:id="126" w:name="_Toc8284"/>
      <w:bookmarkStart w:id="127" w:name="_Toc247855653"/>
      <w:r>
        <w:rPr>
          <w:rFonts w:hint="eastAsia" w:ascii="Times New Roman" w:hAnsi="Times New Roman" w:eastAsia="宋体" w:cs="Times New Roman"/>
          <w:b/>
          <w:bCs/>
          <w:snapToGrid w:val="0"/>
          <w:color w:val="auto"/>
          <w:kern w:val="0"/>
          <w:sz w:val="21"/>
          <w:szCs w:val="21"/>
          <w:highlight w:val="none"/>
          <w:lang w:val="en-US" w:eastAsia="zh-CN" w:bidi="ar-SA"/>
        </w:rPr>
        <w:t>7　技术服务、设计联络、工厂检验和监造</w:t>
      </w:r>
      <w:bookmarkEnd w:id="118"/>
      <w:bookmarkEnd w:id="119"/>
      <w:bookmarkEnd w:id="120"/>
      <w:bookmarkEnd w:id="121"/>
      <w:bookmarkEnd w:id="122"/>
      <w:bookmarkEnd w:id="123"/>
      <w:bookmarkEnd w:id="124"/>
      <w:bookmarkEnd w:id="125"/>
      <w:bookmarkEnd w:id="126"/>
      <w:bookmarkEnd w:id="127"/>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rPr>
      </w:pPr>
      <w:bookmarkStart w:id="128" w:name="_Toc252534628"/>
      <w:bookmarkStart w:id="129" w:name="_Toc31908"/>
      <w:bookmarkStart w:id="130" w:name="_Toc256370344"/>
      <w:bookmarkStart w:id="131" w:name="_Toc15494"/>
      <w:bookmarkStart w:id="132" w:name="_Toc21812"/>
      <w:bookmarkStart w:id="133" w:name="_Toc247855654"/>
      <w:bookmarkStart w:id="134" w:name="_Toc10004"/>
      <w:bookmarkStart w:id="135" w:name="_Toc25619"/>
      <w:bookmarkStart w:id="136" w:name="_Toc18"/>
      <w:bookmarkStart w:id="137" w:name="_Toc178439786"/>
      <w:r>
        <w:rPr>
          <w:rFonts w:hint="eastAsia" w:ascii="Times New Roman" w:hAnsi="Times New Roman" w:eastAsia="宋体"/>
          <w:bCs/>
          <w:color w:val="auto"/>
          <w:highlight w:val="none"/>
          <w:lang w:val="en-US" w:eastAsia="zh-CN"/>
        </w:rPr>
        <w:t>7</w:t>
      </w:r>
      <w:r>
        <w:rPr>
          <w:rFonts w:hint="eastAsia" w:ascii="Times New Roman" w:hAnsi="Times New Roman" w:eastAsia="宋体"/>
          <w:bCs/>
          <w:color w:val="auto"/>
          <w:highlight w:val="none"/>
        </w:rPr>
        <w:t>.1</w:t>
      </w:r>
      <w:r>
        <w:rPr>
          <w:rFonts w:hint="eastAsia" w:ascii="Times New Roman" w:hAnsi="Times New Roman" w:eastAsia="宋体"/>
          <w:color w:val="auto"/>
          <w:highlight w:val="none"/>
          <w:lang w:val="en-US" w:eastAsia="zh-CN"/>
        </w:rPr>
        <w:t xml:space="preserve">  </w:t>
      </w:r>
      <w:r>
        <w:rPr>
          <w:rFonts w:hint="eastAsia" w:ascii="Times New Roman" w:hAnsi="Times New Roman" w:eastAsia="宋体"/>
          <w:color w:val="auto"/>
          <w:highlight w:val="none"/>
          <w:lang w:eastAsia="zh-CN"/>
        </w:rPr>
        <w:t>投标方</w:t>
      </w:r>
      <w:r>
        <w:rPr>
          <w:rFonts w:hint="eastAsia" w:ascii="Times New Roman" w:hAnsi="Times New Roman" w:eastAsia="宋体"/>
          <w:color w:val="auto"/>
          <w:highlight w:val="none"/>
        </w:rPr>
        <w:t>提供的样本资料</w:t>
      </w:r>
      <w:bookmarkEnd w:id="128"/>
      <w:bookmarkEnd w:id="129"/>
      <w:bookmarkEnd w:id="130"/>
      <w:bookmarkEnd w:id="131"/>
      <w:bookmarkEnd w:id="132"/>
      <w:bookmarkEnd w:id="133"/>
      <w:bookmarkEnd w:id="134"/>
      <w:bookmarkEnd w:id="135"/>
      <w:bookmarkEnd w:id="136"/>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kern w:val="21"/>
          <w:szCs w:val="21"/>
          <w:highlight w:val="none"/>
        </w:rPr>
        <w:t>应在报价书中提供与本规范有关的样本</w:t>
      </w:r>
      <w:r>
        <w:rPr>
          <w:rFonts w:hint="eastAsia" w:ascii="Times New Roman" w:hAnsi="Times New Roman" w:eastAsia="宋体" w:cs="Times New Roman"/>
          <w:color w:val="auto"/>
          <w:kern w:val="21"/>
          <w:szCs w:val="21"/>
          <w:highlight w:val="none"/>
          <w:lang w:val="en-US" w:eastAsia="zh-CN"/>
        </w:rPr>
        <w:t>资料</w:t>
      </w:r>
      <w:r>
        <w:rPr>
          <w:rFonts w:hint="eastAsia" w:ascii="Times New Roman" w:hAnsi="Times New Roman" w:eastAsia="宋体" w:cs="Times New Roman"/>
          <w:color w:val="auto"/>
          <w:kern w:val="21"/>
          <w:szCs w:val="21"/>
          <w:highlight w:val="none"/>
        </w:rPr>
        <w:t>，</w:t>
      </w:r>
      <w:r>
        <w:rPr>
          <w:rFonts w:hint="eastAsia" w:ascii="Times New Roman" w:hAnsi="Times New Roman" w:eastAsia="宋体" w:cs="Times New Roman"/>
          <w:color w:val="auto"/>
          <w:szCs w:val="21"/>
          <w:highlight w:val="none"/>
        </w:rPr>
        <w:t>其中包括成套设备、标准部件等，</w:t>
      </w:r>
      <w:r>
        <w:rPr>
          <w:rFonts w:hint="eastAsia" w:ascii="Times New Roman" w:hAnsi="Times New Roman" w:eastAsia="宋体" w:cs="Times New Roman"/>
          <w:color w:val="auto"/>
          <w:kern w:val="21"/>
          <w:szCs w:val="21"/>
          <w:highlight w:val="none"/>
        </w:rPr>
        <w:t>以备使用方核查，样本中还应包括各种额定值数据、各元件性能、功率消耗</w:t>
      </w:r>
      <w:r>
        <w:rPr>
          <w:rFonts w:ascii="Times New Roman" w:hAnsi="Times New Roman" w:eastAsia="宋体" w:cs="Times New Roman"/>
          <w:color w:val="auto"/>
          <w:kern w:val="21"/>
          <w:szCs w:val="21"/>
          <w:highlight w:val="none"/>
        </w:rPr>
        <w:t>(</w:t>
      </w:r>
      <w:r>
        <w:rPr>
          <w:rFonts w:hint="eastAsia" w:ascii="Times New Roman" w:hAnsi="Times New Roman" w:eastAsia="宋体" w:cs="Times New Roman"/>
          <w:color w:val="auto"/>
          <w:kern w:val="21"/>
          <w:szCs w:val="21"/>
          <w:highlight w:val="none"/>
        </w:rPr>
        <w:t>包括交流及直流回路</w:t>
      </w:r>
      <w:r>
        <w:rPr>
          <w:rFonts w:ascii="Times New Roman" w:hAnsi="Times New Roman" w:eastAsia="宋体" w:cs="Times New Roman"/>
          <w:color w:val="auto"/>
          <w:kern w:val="21"/>
          <w:szCs w:val="21"/>
          <w:highlight w:val="none"/>
        </w:rPr>
        <w:t>)</w:t>
      </w:r>
      <w:r>
        <w:rPr>
          <w:rFonts w:hint="eastAsia" w:ascii="Times New Roman" w:hAnsi="Times New Roman" w:eastAsia="宋体" w:cs="Times New Roman"/>
          <w:color w:val="auto"/>
          <w:kern w:val="21"/>
          <w:szCs w:val="21"/>
          <w:highlight w:val="none"/>
        </w:rPr>
        <w:t>及使用说明等必需的资料。</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kern w:val="21"/>
          <w:szCs w:val="21"/>
          <w:highlight w:val="none"/>
        </w:rPr>
        <w:t>还应提供装置运行及改进情况说明。</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38" w:name="_Toc252534629"/>
      <w:bookmarkStart w:id="139" w:name="_Toc247855655"/>
      <w:bookmarkStart w:id="140" w:name="_Toc8539"/>
      <w:bookmarkStart w:id="141" w:name="_Toc1751"/>
      <w:bookmarkStart w:id="142" w:name="_Toc256370345"/>
      <w:bookmarkStart w:id="143" w:name="_Toc19825"/>
      <w:bookmarkStart w:id="144" w:name="_Toc21142"/>
      <w:bookmarkStart w:id="145" w:name="_Toc15201"/>
      <w:bookmarkStart w:id="146" w:name="_Toc9889"/>
      <w:r>
        <w:rPr>
          <w:rFonts w:hint="eastAsia" w:ascii="Times New Roman" w:hAnsi="Times New Roman" w:eastAsia="宋体"/>
          <w:bCs/>
          <w:color w:val="auto"/>
          <w:highlight w:val="none"/>
          <w:lang w:val="en-US" w:eastAsia="zh-CN"/>
        </w:rPr>
        <w:t>7.2</w:t>
      </w:r>
      <w:r>
        <w:rPr>
          <w:rFonts w:hint="eastAsia" w:ascii="Times New Roman" w:hAnsi="Times New Roman" w:eastAsia="宋体"/>
          <w:color w:val="auto"/>
          <w:highlight w:val="none"/>
          <w:lang w:val="en-US" w:eastAsia="zh-CN"/>
        </w:rPr>
        <w:t xml:space="preserve">  技术资料、图纸和说明书格式</w:t>
      </w:r>
      <w:bookmarkEnd w:id="138"/>
      <w:bookmarkEnd w:id="139"/>
      <w:bookmarkEnd w:id="140"/>
      <w:bookmarkEnd w:id="141"/>
      <w:bookmarkEnd w:id="142"/>
      <w:bookmarkEnd w:id="143"/>
      <w:bookmarkEnd w:id="144"/>
      <w:bookmarkEnd w:id="145"/>
      <w:bookmarkEnd w:id="146"/>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rPr>
        <w:t>7</w:t>
      </w:r>
      <w:r>
        <w:rPr>
          <w:rFonts w:ascii="Times New Roman" w:hAnsi="Times New Roman" w:eastAsia="宋体" w:cs="Times New Roman"/>
          <w:bCs/>
          <w:color w:val="auto"/>
          <w:szCs w:val="21"/>
          <w:highlight w:val="none"/>
        </w:rPr>
        <w:t>.2.1</w:t>
      </w:r>
      <w:r>
        <w:rPr>
          <w:rFonts w:hint="eastAsia" w:ascii="Times New Roman" w:hAnsi="Times New Roman" w:eastAsia="宋体" w:cs="Times New Roman"/>
          <w:color w:val="auto"/>
          <w:szCs w:val="21"/>
          <w:highlight w:val="none"/>
        </w:rPr>
        <w:t>　全部图纸应为</w:t>
      </w:r>
      <w:r>
        <w:rPr>
          <w:rFonts w:ascii="Times New Roman" w:hAnsi="Times New Roman" w:eastAsia="宋体" w:cs="Times New Roman"/>
          <w:color w:val="auto"/>
          <w:szCs w:val="21"/>
          <w:highlight w:val="none"/>
        </w:rPr>
        <w:t>A4</w:t>
      </w:r>
      <w:r>
        <w:rPr>
          <w:rFonts w:hint="eastAsia" w:ascii="Times New Roman" w:hAnsi="Times New Roman" w:eastAsia="宋体" w:cs="Times New Roman"/>
          <w:color w:val="auto"/>
          <w:szCs w:val="21"/>
          <w:highlight w:val="none"/>
        </w:rPr>
        <w:t>幅面，并有完整图标，采用国标单位制。图中字体不得小于</w:t>
      </w:r>
      <w:r>
        <w:rPr>
          <w:rFonts w:ascii="Times New Roman" w:hAnsi="Times New Roman" w:eastAsia="宋体" w:cs="Times New Roman"/>
          <w:color w:val="auto"/>
          <w:szCs w:val="21"/>
          <w:highlight w:val="none"/>
        </w:rPr>
        <w:t>3mm</w:t>
      </w:r>
      <w:r>
        <w:rPr>
          <w:rFonts w:hint="eastAsia" w:ascii="Times New Roman" w:hAnsi="Times New Roman" w:eastAsia="宋体" w:cs="Times New Roman"/>
          <w:color w:val="auto"/>
          <w:szCs w:val="21"/>
          <w:highlight w:val="none"/>
        </w:rPr>
        <w:t>。</w:t>
      </w:r>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bookmarkStart w:id="147" w:name="_Toc247855656"/>
      <w:bookmarkStart w:id="148" w:name="_Toc17495"/>
      <w:bookmarkStart w:id="149" w:name="_Toc17865"/>
      <w:r>
        <w:rPr>
          <w:rFonts w:hint="eastAsia" w:ascii="Times New Roman" w:hAnsi="Times New Roman" w:eastAsia="宋体" w:cs="Times New Roman"/>
          <w:bCs/>
          <w:color w:val="auto"/>
          <w:szCs w:val="21"/>
          <w:highlight w:val="none"/>
          <w:lang w:val="en-US"/>
        </w:rPr>
        <w:t>7</w:t>
      </w:r>
      <w:r>
        <w:rPr>
          <w:rFonts w:ascii="Times New Roman" w:hAnsi="Times New Roman" w:eastAsia="宋体" w:cs="Times New Roman"/>
          <w:bCs/>
          <w:color w:val="auto"/>
          <w:szCs w:val="21"/>
          <w:highlight w:val="none"/>
        </w:rPr>
        <w:t>.2.2</w:t>
      </w:r>
      <w:r>
        <w:rPr>
          <w:rFonts w:hint="eastAsia" w:ascii="Times New Roman" w:hAnsi="Times New Roman" w:eastAsia="宋体" w:cs="Times New Roman"/>
          <w:color w:val="auto"/>
          <w:szCs w:val="21"/>
          <w:highlight w:val="none"/>
        </w:rPr>
        <w:t>　提供最终修改图的电子文档</w:t>
      </w:r>
      <w:r>
        <w:rPr>
          <w:rFonts w:hint="eastAsia" w:ascii="Times New Roman" w:hAnsi="Times New Roman" w:eastAsia="宋体" w:cs="Times New Roman"/>
          <w:color w:val="auto"/>
          <w:spacing w:val="-2"/>
          <w:szCs w:val="21"/>
          <w:highlight w:val="none"/>
        </w:rPr>
        <w:t>。</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50" w:name="_Toc23212"/>
      <w:bookmarkStart w:id="151" w:name="_Toc20767"/>
      <w:bookmarkStart w:id="152" w:name="_Toc221"/>
      <w:bookmarkStart w:id="153" w:name="_Toc16198"/>
      <w:bookmarkStart w:id="154" w:name="_Toc256370346"/>
      <w:bookmarkStart w:id="155" w:name="_Toc252534630"/>
      <w:r>
        <w:rPr>
          <w:rFonts w:hint="eastAsia" w:ascii="Times New Roman" w:hAnsi="Times New Roman" w:eastAsia="宋体"/>
          <w:bCs/>
          <w:color w:val="auto"/>
          <w:highlight w:val="none"/>
          <w:lang w:val="en-US" w:eastAsia="zh-CN"/>
        </w:rPr>
        <w:t>7.3</w:t>
      </w:r>
      <w:r>
        <w:rPr>
          <w:rFonts w:hint="eastAsia" w:ascii="Times New Roman" w:hAnsi="Times New Roman" w:eastAsia="宋体"/>
          <w:color w:val="auto"/>
          <w:highlight w:val="none"/>
          <w:lang w:val="en-US" w:eastAsia="zh-CN"/>
        </w:rPr>
        <w:t xml:space="preserve">  供确认的图纸</w:t>
      </w:r>
      <w:bookmarkEnd w:id="147"/>
      <w:bookmarkEnd w:id="148"/>
      <w:bookmarkEnd w:id="149"/>
      <w:bookmarkEnd w:id="150"/>
      <w:bookmarkEnd w:id="151"/>
      <w:bookmarkEnd w:id="152"/>
      <w:bookmarkEnd w:id="153"/>
      <w:bookmarkEnd w:id="154"/>
      <w:bookmarkEnd w:id="155"/>
    </w:p>
    <w:p>
      <w:pPr>
        <w:keepNext w:val="0"/>
        <w:keepLines w:val="0"/>
        <w:pageBreakBefore w:val="0"/>
        <w:widowControl w:val="0"/>
        <w:kinsoku/>
        <w:wordWrap/>
        <w:overflowPunct/>
        <w:autoSpaceDE/>
        <w:autoSpaceDN/>
        <w:bidi w:val="0"/>
        <w:spacing w:line="400" w:lineRule="exact"/>
        <w:ind w:firstLine="420" w:firstLineChars="200"/>
        <w:textAlignment w:val="auto"/>
        <w:rPr>
          <w:rFonts w:hint="eastAsia"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rPr>
        <w:t>在合同签字后</w:t>
      </w:r>
      <w:r>
        <w:rPr>
          <w:rFonts w:ascii="Times New Roman" w:hAnsi="Times New Roman" w:eastAsia="宋体" w:cs="Times New Roman"/>
          <w:color w:val="auto"/>
          <w:kern w:val="21"/>
          <w:szCs w:val="21"/>
          <w:highlight w:val="none"/>
        </w:rPr>
        <w:t>2</w:t>
      </w:r>
      <w:r>
        <w:rPr>
          <w:rFonts w:hint="eastAsia" w:ascii="Times New Roman" w:hAnsi="Times New Roman" w:eastAsia="宋体" w:cs="Times New Roman"/>
          <w:color w:val="auto"/>
          <w:kern w:val="21"/>
          <w:szCs w:val="21"/>
          <w:highlight w:val="none"/>
        </w:rPr>
        <w:t>周内，</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kern w:val="21"/>
          <w:szCs w:val="21"/>
          <w:highlight w:val="none"/>
        </w:rPr>
        <w:t>应以快件方式提供供确认和了解的资料和图纸如下：</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1</w:t>
      </w:r>
      <w:r>
        <w:rPr>
          <w:rFonts w:hint="eastAsia" w:ascii="Times New Roman" w:hAnsi="Times New Roman" w:eastAsia="宋体" w:cs="Times New Roman"/>
          <w:color w:val="auto"/>
          <w:szCs w:val="21"/>
          <w:highlight w:val="none"/>
        </w:rPr>
        <w:t>） 设备的接线说明，以及它们的图例符号说明。</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2</w:t>
      </w:r>
      <w:r>
        <w:rPr>
          <w:rFonts w:hint="eastAsia" w:ascii="Times New Roman" w:hAnsi="Times New Roman" w:eastAsia="宋体" w:cs="Times New Roman"/>
          <w:color w:val="auto"/>
          <w:szCs w:val="21"/>
          <w:highlight w:val="none"/>
        </w:rPr>
        <w:t>） 设备安装图及图例符号说明和技术参数表。</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56" w:name="_Toc14684"/>
      <w:bookmarkStart w:id="157" w:name="_Toc252534635"/>
      <w:bookmarkStart w:id="158" w:name="_Toc28315"/>
      <w:bookmarkStart w:id="159" w:name="_Toc256370351"/>
      <w:bookmarkStart w:id="160" w:name="_Toc22584"/>
      <w:bookmarkStart w:id="161" w:name="_Toc22311"/>
      <w:bookmarkStart w:id="162" w:name="_Toc247855661"/>
      <w:bookmarkStart w:id="163" w:name="_Toc30209"/>
      <w:bookmarkStart w:id="164" w:name="_Toc6651"/>
      <w:bookmarkStart w:id="165" w:name="_Toc247855657"/>
      <w:bookmarkStart w:id="166" w:name="_Toc3793"/>
      <w:bookmarkStart w:id="167" w:name="_Toc23453"/>
      <w:bookmarkStart w:id="168" w:name="_Toc256370347"/>
      <w:bookmarkStart w:id="169" w:name="_Toc28267"/>
      <w:bookmarkStart w:id="170" w:name="_Toc12848"/>
      <w:bookmarkStart w:id="171" w:name="_Toc252534631"/>
      <w:r>
        <w:rPr>
          <w:rFonts w:hint="eastAsia" w:ascii="Times New Roman" w:hAnsi="Times New Roman" w:eastAsia="宋体"/>
          <w:bCs/>
          <w:color w:val="auto"/>
          <w:highlight w:val="none"/>
          <w:lang w:val="en-US" w:eastAsia="zh-CN"/>
        </w:rPr>
        <w:t>7.4</w:t>
      </w:r>
      <w:r>
        <w:rPr>
          <w:rFonts w:hint="eastAsia" w:ascii="Times New Roman" w:hAnsi="Times New Roman" w:eastAsia="宋体"/>
          <w:color w:val="auto"/>
          <w:highlight w:val="none"/>
          <w:lang w:val="en-US" w:eastAsia="zh-CN"/>
        </w:rPr>
        <w:t>　设计联络会议</w:t>
      </w:r>
      <w:bookmarkEnd w:id="156"/>
      <w:bookmarkEnd w:id="157"/>
      <w:bookmarkEnd w:id="158"/>
      <w:bookmarkEnd w:id="159"/>
      <w:bookmarkEnd w:id="160"/>
      <w:bookmarkEnd w:id="161"/>
      <w:bookmarkEnd w:id="162"/>
      <w:bookmarkEnd w:id="163"/>
      <w:bookmarkEnd w:id="164"/>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kern w:val="21"/>
          <w:szCs w:val="21"/>
          <w:highlight w:val="none"/>
        </w:rPr>
      </w:pPr>
      <w:r>
        <w:rPr>
          <w:rFonts w:hint="eastAsia" w:ascii="Times New Roman" w:hAnsi="Times New Roman" w:eastAsia="宋体" w:cs="Times New Roman"/>
          <w:bCs/>
          <w:color w:val="auto"/>
          <w:szCs w:val="21"/>
          <w:highlight w:val="none"/>
          <w:lang w:val="en-US" w:eastAsia="zh-CN"/>
        </w:rPr>
        <w:t>7.4.1</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szCs w:val="21"/>
          <w:highlight w:val="none"/>
        </w:rPr>
        <w:t>若有必要，使用方在收到</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签字的第一批文件后的</w:t>
      </w:r>
      <w:r>
        <w:rPr>
          <w:rFonts w:ascii="Times New Roman" w:hAnsi="Times New Roman" w:eastAsia="宋体" w:cs="Times New Roman"/>
          <w:color w:val="auto"/>
          <w:szCs w:val="21"/>
          <w:highlight w:val="none"/>
        </w:rPr>
        <w:t>2</w:t>
      </w:r>
      <w:r>
        <w:rPr>
          <w:rFonts w:hint="eastAsia" w:ascii="Times New Roman" w:hAnsi="Times New Roman" w:eastAsia="宋体" w:cs="Times New Roman"/>
          <w:color w:val="auto"/>
          <w:szCs w:val="21"/>
          <w:highlight w:val="none"/>
        </w:rPr>
        <w:t>周内举行设计联络会议。</w:t>
      </w:r>
      <w:r>
        <w:rPr>
          <w:rFonts w:hint="eastAsia" w:ascii="Times New Roman" w:hAnsi="Times New Roman" w:eastAsia="宋体" w:cs="Times New Roman"/>
          <w:color w:val="auto"/>
          <w:kern w:val="21"/>
          <w:szCs w:val="21"/>
          <w:highlight w:val="none"/>
        </w:rPr>
        <w:t>设计联络会议内容如下：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lang w:val="en-US" w:eastAsia="zh-CN"/>
        </w:rPr>
        <w:t>1</w:t>
      </w:r>
      <w:r>
        <w:rPr>
          <w:rFonts w:hint="eastAsia" w:ascii="Times New Roman" w:hAnsi="Times New Roman" w:eastAsia="宋体" w:cs="Times New Roman"/>
          <w:color w:val="auto"/>
          <w:szCs w:val="21"/>
          <w:highlight w:val="none"/>
        </w:rPr>
        <w:t xml:space="preserve">）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应对修改后的供确认的资料和图纸进行详细的解释，并应解答使用方对这些资料和图纸所提的问题，经过共同讨论，</w:t>
      </w:r>
      <w:r>
        <w:rPr>
          <w:rFonts w:hint="eastAsia" w:ascii="Times New Roman" w:hAnsi="Times New Roman" w:eastAsia="宋体" w:cs="Times New Roman"/>
          <w:color w:val="auto"/>
          <w:szCs w:val="21"/>
          <w:highlight w:val="none"/>
          <w:lang w:eastAsia="zh-CN"/>
        </w:rPr>
        <w:t>招标方</w:t>
      </w:r>
      <w:r>
        <w:rPr>
          <w:rFonts w:hint="eastAsia" w:ascii="Times New Roman" w:hAnsi="Times New Roman" w:eastAsia="宋体" w:cs="Times New Roman"/>
          <w:color w:val="auto"/>
          <w:szCs w:val="21"/>
          <w:highlight w:val="none"/>
        </w:rPr>
        <w:t>给予确认，以便</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绘制正式图纸提供给使用方。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lang w:val="en-US" w:eastAsia="zh-CN"/>
        </w:rPr>
        <w:t>2</w:t>
      </w:r>
      <w:r>
        <w:rPr>
          <w:rFonts w:hint="eastAsia" w:ascii="Times New Roman" w:hAnsi="Times New Roman" w:eastAsia="宋体" w:cs="Times New Roman"/>
          <w:color w:val="auto"/>
          <w:szCs w:val="21"/>
          <w:highlight w:val="none"/>
        </w:rPr>
        <w:t xml:space="preserve">）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应协助制定验收大纲、工程参数表。</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0"/>
          <w:highlight w:val="none"/>
          <w:lang w:val="en-US" w:eastAsia="zh-CN"/>
        </w:rPr>
      </w:pPr>
      <w:r>
        <w:rPr>
          <w:rFonts w:hint="eastAsia" w:ascii="Times New Roman" w:hAnsi="Times New Roman" w:eastAsia="宋体" w:cs="Times New Roman"/>
          <w:bCs/>
          <w:color w:val="auto"/>
          <w:szCs w:val="21"/>
          <w:highlight w:val="none"/>
          <w:lang w:val="en-US" w:eastAsia="zh-CN"/>
        </w:rPr>
        <w:t>7.4.2</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szCs w:val="21"/>
          <w:highlight w:val="none"/>
        </w:rPr>
        <w:t>会议需要签订会议纪要，该纪要将作为合同的</w:t>
      </w:r>
      <w:r>
        <w:rPr>
          <w:rFonts w:hint="eastAsia" w:ascii="Times New Roman" w:hAnsi="Times New Roman" w:eastAsia="宋体" w:cs="Times New Roman"/>
          <w:color w:val="auto"/>
          <w:szCs w:val="21"/>
          <w:highlight w:val="none"/>
          <w:lang w:val="en-US" w:eastAsia="zh-CN"/>
        </w:rPr>
        <w:t>补充</w:t>
      </w:r>
      <w:r>
        <w:rPr>
          <w:rFonts w:hint="eastAsia" w:ascii="Times New Roman" w:hAnsi="Times New Roman" w:eastAsia="宋体" w:cs="Times New Roman"/>
          <w:color w:val="auto"/>
          <w:szCs w:val="21"/>
          <w:highlight w:val="none"/>
        </w:rPr>
        <w:t>部分。</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72" w:name="_Toc9662"/>
      <w:bookmarkStart w:id="173" w:name="_Toc13495"/>
      <w:r>
        <w:rPr>
          <w:rFonts w:hint="eastAsia" w:ascii="Times New Roman" w:hAnsi="Times New Roman" w:eastAsia="宋体"/>
          <w:bCs/>
          <w:color w:val="auto"/>
          <w:highlight w:val="none"/>
          <w:lang w:val="en-US" w:eastAsia="zh-CN"/>
        </w:rPr>
        <w:t>7.5</w:t>
      </w:r>
      <w:r>
        <w:rPr>
          <w:rFonts w:hint="eastAsia" w:ascii="Times New Roman" w:hAnsi="Times New Roman" w:eastAsia="宋体"/>
          <w:color w:val="auto"/>
          <w:highlight w:val="none"/>
          <w:lang w:val="en-US" w:eastAsia="zh-CN"/>
        </w:rPr>
        <w:t>　使用方、投标方双方设计的图纸</w:t>
      </w:r>
      <w:bookmarkEnd w:id="165"/>
      <w:bookmarkEnd w:id="166"/>
      <w:bookmarkEnd w:id="167"/>
      <w:bookmarkEnd w:id="168"/>
      <w:bookmarkEnd w:id="169"/>
      <w:bookmarkEnd w:id="170"/>
      <w:bookmarkEnd w:id="171"/>
      <w:bookmarkEnd w:id="172"/>
      <w:bookmarkEnd w:id="173"/>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kern w:val="21"/>
          <w:szCs w:val="21"/>
          <w:highlight w:val="none"/>
        </w:rPr>
        <w:t>在联络会议后的</w:t>
      </w:r>
      <w:r>
        <w:rPr>
          <w:rFonts w:ascii="Times New Roman" w:hAnsi="Times New Roman" w:eastAsia="宋体" w:cs="Times New Roman"/>
          <w:color w:val="auto"/>
          <w:kern w:val="21"/>
          <w:szCs w:val="21"/>
          <w:highlight w:val="none"/>
        </w:rPr>
        <w:t>2</w:t>
      </w:r>
      <w:r>
        <w:rPr>
          <w:rFonts w:hint="eastAsia" w:ascii="Times New Roman" w:hAnsi="Times New Roman" w:eastAsia="宋体" w:cs="Times New Roman"/>
          <w:color w:val="auto"/>
          <w:kern w:val="21"/>
          <w:szCs w:val="21"/>
          <w:highlight w:val="none"/>
        </w:rPr>
        <w:t>周内，应提供经过联络会议修改后的全部正式图纸及资料，供使用方</w:t>
      </w:r>
      <w:r>
        <w:rPr>
          <w:rFonts w:hint="eastAsia" w:ascii="Times New Roman" w:hAnsi="Times New Roman" w:eastAsia="宋体" w:cs="Times New Roman"/>
          <w:color w:val="auto"/>
          <w:kern w:val="21"/>
          <w:szCs w:val="21"/>
          <w:highlight w:val="none"/>
          <w:lang w:val="en-US" w:eastAsia="zh-CN"/>
        </w:rPr>
        <w:t>使用</w:t>
      </w:r>
      <w:r>
        <w:rPr>
          <w:rFonts w:hint="eastAsia" w:ascii="Times New Roman" w:hAnsi="Times New Roman" w:eastAsia="宋体" w:cs="Times New Roman"/>
          <w:color w:val="auto"/>
          <w:kern w:val="21"/>
          <w:szCs w:val="21"/>
          <w:highlight w:val="none"/>
        </w:rPr>
        <w:t>。</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rPr>
        <w:t>经过设计联络会议修改后的全部正式图纸及资料如下：</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1</w:t>
      </w:r>
      <w:r>
        <w:rPr>
          <w:rFonts w:hint="eastAsia" w:ascii="Times New Roman" w:hAnsi="Times New Roman" w:eastAsia="宋体" w:cs="Times New Roman"/>
          <w:color w:val="auto"/>
          <w:szCs w:val="21"/>
          <w:highlight w:val="none"/>
        </w:rPr>
        <w:t>） 设备内端子配置布置图。</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2） 设备横担螺栓安装图。</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3） 合同设备施工时所必需的其他图纸。</w:t>
      </w:r>
    </w:p>
    <w:p>
      <w:pPr>
        <w:keepNext w:val="0"/>
        <w:keepLines w:val="0"/>
        <w:pageBreakBefore w:val="0"/>
        <w:widowControl w:val="0"/>
        <w:kinsoku/>
        <w:wordWrap/>
        <w:overflowPunct/>
        <w:autoSpaceDE/>
        <w:autoSpaceDN/>
        <w:bidi w:val="0"/>
        <w:spacing w:line="400" w:lineRule="exact"/>
        <w:ind w:firstLine="420" w:firstLineChars="200"/>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4） 所有图纸的电子文档及支持软件。</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74" w:name="_Toc26067"/>
      <w:bookmarkStart w:id="175" w:name="_Toc2359"/>
      <w:bookmarkStart w:id="176" w:name="_Toc29321"/>
      <w:bookmarkStart w:id="177" w:name="_Toc3195"/>
      <w:bookmarkStart w:id="178" w:name="_Toc13323"/>
      <w:bookmarkStart w:id="179" w:name="_Toc15743"/>
      <w:bookmarkStart w:id="180" w:name="_Toc256370348"/>
      <w:bookmarkStart w:id="181" w:name="_Toc252534632"/>
      <w:bookmarkStart w:id="182" w:name="_Toc247855658"/>
      <w:r>
        <w:rPr>
          <w:rFonts w:hint="eastAsia" w:ascii="Times New Roman" w:hAnsi="Times New Roman" w:eastAsia="宋体"/>
          <w:bCs/>
          <w:color w:val="auto"/>
          <w:highlight w:val="none"/>
          <w:lang w:val="en-US" w:eastAsia="zh-CN"/>
        </w:rPr>
        <w:t>7.6</w:t>
      </w:r>
      <w:r>
        <w:rPr>
          <w:rFonts w:hint="eastAsia" w:ascii="Times New Roman" w:hAnsi="Times New Roman" w:eastAsia="宋体"/>
          <w:color w:val="auto"/>
          <w:highlight w:val="none"/>
          <w:lang w:val="en-US" w:eastAsia="zh-CN"/>
        </w:rPr>
        <w:t>　其他资料和说明书</w:t>
      </w:r>
      <w:bookmarkEnd w:id="174"/>
      <w:bookmarkEnd w:id="175"/>
      <w:bookmarkEnd w:id="176"/>
      <w:bookmarkEnd w:id="177"/>
      <w:bookmarkEnd w:id="178"/>
      <w:bookmarkEnd w:id="179"/>
      <w:bookmarkEnd w:id="180"/>
      <w:bookmarkEnd w:id="181"/>
      <w:bookmarkEnd w:id="182"/>
    </w:p>
    <w:p>
      <w:pPr>
        <w:keepNext w:val="0"/>
        <w:keepLines w:val="0"/>
        <w:pageBreakBefore w:val="0"/>
        <w:widowControl w:val="0"/>
        <w:tabs>
          <w:tab w:val="left" w:pos="960"/>
        </w:tabs>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kern w:val="21"/>
          <w:szCs w:val="21"/>
          <w:highlight w:val="none"/>
        </w:rPr>
        <w:t xml:space="preserve">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pacing w:val="6"/>
          <w:szCs w:val="21"/>
          <w:highlight w:val="none"/>
        </w:rPr>
        <w:t>应提供给使用方装置投产前试验用的详细试验说明和技术要求。</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提供与供货装置一致的说明书。</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83" w:name="_Toc13107"/>
      <w:bookmarkStart w:id="184" w:name="_Toc13698"/>
      <w:bookmarkStart w:id="185" w:name="_Toc7699"/>
      <w:bookmarkStart w:id="186" w:name="_Toc247855659"/>
      <w:bookmarkStart w:id="187" w:name="_Toc256370349"/>
      <w:bookmarkStart w:id="188" w:name="_Toc26153"/>
      <w:bookmarkStart w:id="189" w:name="_Toc252534633"/>
      <w:bookmarkStart w:id="190" w:name="_Toc12715"/>
      <w:bookmarkStart w:id="191" w:name="_Toc1371"/>
      <w:r>
        <w:rPr>
          <w:rFonts w:hint="eastAsia" w:ascii="Times New Roman" w:hAnsi="Times New Roman" w:eastAsia="宋体"/>
          <w:bCs/>
          <w:color w:val="auto"/>
          <w:highlight w:val="none"/>
          <w:lang w:val="en-US" w:eastAsia="zh-CN"/>
        </w:rPr>
        <w:t>7.7</w:t>
      </w:r>
      <w:r>
        <w:rPr>
          <w:rFonts w:hint="eastAsia" w:ascii="Times New Roman" w:hAnsi="Times New Roman" w:eastAsia="宋体"/>
          <w:color w:val="auto"/>
          <w:highlight w:val="none"/>
          <w:lang w:val="en-US" w:eastAsia="zh-CN"/>
        </w:rPr>
        <w:t>　投标方提供的数据</w:t>
      </w:r>
      <w:bookmarkEnd w:id="183"/>
      <w:bookmarkEnd w:id="184"/>
      <w:bookmarkEnd w:id="185"/>
      <w:bookmarkEnd w:id="186"/>
      <w:bookmarkEnd w:id="187"/>
      <w:bookmarkEnd w:id="188"/>
      <w:bookmarkEnd w:id="189"/>
      <w:bookmarkEnd w:id="190"/>
      <w:bookmarkEnd w:id="191"/>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w:t>
      </w:r>
      <w:r>
        <w:rPr>
          <w:rFonts w:hint="eastAsia" w:ascii="Times New Roman" w:hAnsi="Times New Roman" w:eastAsia="宋体" w:cs="Times New Roman"/>
          <w:bCs/>
          <w:color w:val="auto"/>
          <w:szCs w:val="21"/>
          <w:highlight w:val="none"/>
          <w:lang w:val="en-US"/>
        </w:rPr>
        <w:t>.7.1</w:t>
      </w:r>
      <w:r>
        <w:rPr>
          <w:rFonts w:hint="eastAsia" w:ascii="Times New Roman" w:hAnsi="Times New Roman" w:eastAsia="宋体" w:cs="Times New Roman"/>
          <w:color w:val="auto"/>
          <w:kern w:val="21"/>
          <w:szCs w:val="21"/>
          <w:highlight w:val="none"/>
        </w:rPr>
        <w:t xml:space="preserve">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应提供投标数据和信息</w:t>
      </w:r>
      <w:r>
        <w:rPr>
          <w:rFonts w:hint="eastAsia" w:ascii="Times New Roman" w:hAnsi="Times New Roman" w:eastAsia="宋体" w:cs="Times New Roman"/>
          <w:color w:val="auto"/>
          <w:szCs w:val="21"/>
          <w:highlight w:val="none"/>
          <w:lang w:eastAsia="zh-CN"/>
        </w:rPr>
        <w:t>，</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应提供评标所需的资料</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rPr>
        <w:t>最新版本或修订版</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rPr>
        <w:t>。</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7.7.2</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提供的数据</w:t>
      </w:r>
      <w:r>
        <w:rPr>
          <w:rFonts w:hint="eastAsia" w:ascii="Times New Roman" w:hAnsi="Times New Roman" w:eastAsia="宋体" w:cs="Times New Roman"/>
          <w:color w:val="auto"/>
          <w:szCs w:val="21"/>
          <w:highlight w:val="none"/>
          <w:lang w:val="en-US" w:eastAsia="zh-CN"/>
        </w:rPr>
        <w:t>应能保证满足</w:t>
      </w:r>
      <w:r>
        <w:rPr>
          <w:rFonts w:hint="eastAsia" w:ascii="Times New Roman" w:hAnsi="Times New Roman" w:eastAsia="宋体" w:cs="Times New Roman"/>
          <w:color w:val="auto"/>
          <w:szCs w:val="21"/>
          <w:highlight w:val="none"/>
        </w:rPr>
        <w:t>产品性能。</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应提供使用方所要求的性能信息，并对其可靠性和一致性负责。</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所提供的资料和数据将成为合同一部分。任何数据的更改都须经使用方同意。</w:t>
      </w:r>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7.7.3</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szCs w:val="21"/>
          <w:highlight w:val="none"/>
        </w:rPr>
        <w:t>如使用方因设计和其他需要，要求</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提供有关技术数据时，</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应按</w:t>
      </w:r>
      <w:r>
        <w:rPr>
          <w:rFonts w:hint="eastAsia" w:ascii="Times New Roman" w:hAnsi="Times New Roman" w:eastAsia="宋体" w:cs="Times New Roman"/>
          <w:color w:val="auto"/>
          <w:szCs w:val="21"/>
          <w:highlight w:val="none"/>
          <w:lang w:eastAsia="zh-CN"/>
        </w:rPr>
        <w:t>招标方</w:t>
      </w:r>
      <w:r>
        <w:rPr>
          <w:rFonts w:hint="eastAsia" w:ascii="Times New Roman" w:hAnsi="Times New Roman" w:eastAsia="宋体" w:cs="Times New Roman"/>
          <w:color w:val="auto"/>
          <w:szCs w:val="21"/>
          <w:highlight w:val="none"/>
        </w:rPr>
        <w:t>的要求提供</w:t>
      </w:r>
      <w:r>
        <w:rPr>
          <w:rFonts w:hint="eastAsia" w:ascii="Times New Roman" w:hAnsi="Times New Roman" w:eastAsia="宋体" w:cs="Times New Roman"/>
          <w:color w:val="auto"/>
          <w:szCs w:val="21"/>
          <w:highlight w:val="none"/>
          <w:lang w:val="en-US" w:eastAsia="zh-CN"/>
        </w:rPr>
        <w:t>相关</w:t>
      </w:r>
      <w:r>
        <w:rPr>
          <w:rFonts w:hint="eastAsia" w:ascii="Times New Roman" w:hAnsi="Times New Roman" w:eastAsia="宋体" w:cs="Times New Roman"/>
          <w:color w:val="auto"/>
          <w:szCs w:val="21"/>
          <w:highlight w:val="none"/>
        </w:rPr>
        <w:t>资料和技术数据。</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7.7.4</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应提供产品质量合格证书。</w:t>
      </w:r>
    </w:p>
    <w:p>
      <w:pPr>
        <w:pStyle w:val="358"/>
        <w:keepNext w:val="0"/>
        <w:keepLines w:val="0"/>
        <w:pageBreakBefore w:val="0"/>
        <w:widowControl w:val="0"/>
        <w:kinsoku/>
        <w:wordWrap/>
        <w:overflowPunct/>
        <w:topLinePunct/>
        <w:autoSpaceDE/>
        <w:autoSpaceDN/>
        <w:bidi w:val="0"/>
        <w:spacing w:line="400" w:lineRule="exact"/>
        <w:textAlignment w:val="auto"/>
        <w:outlineLvl w:val="1"/>
        <w:rPr>
          <w:rFonts w:hint="eastAsia" w:ascii="Times New Roman" w:hAnsi="Times New Roman" w:eastAsia="宋体"/>
          <w:color w:val="auto"/>
          <w:highlight w:val="none"/>
          <w:lang w:val="en-US" w:eastAsia="zh-CN"/>
        </w:rPr>
      </w:pPr>
      <w:bookmarkStart w:id="192" w:name="_Toc296962412"/>
      <w:bookmarkStart w:id="193" w:name="_Toc25703"/>
      <w:bookmarkStart w:id="194" w:name="_Toc296359231"/>
      <w:bookmarkStart w:id="195" w:name="_Toc23278"/>
      <w:bookmarkStart w:id="196" w:name="_Toc18163"/>
      <w:bookmarkStart w:id="197" w:name="_Toc6169"/>
      <w:r>
        <w:rPr>
          <w:rFonts w:hint="eastAsia" w:ascii="Times New Roman" w:hAnsi="Times New Roman" w:eastAsia="宋体"/>
          <w:bCs/>
          <w:color w:val="auto"/>
          <w:highlight w:val="none"/>
          <w:lang w:val="en-US" w:eastAsia="zh-CN"/>
        </w:rPr>
        <w:t xml:space="preserve">7.8  </w:t>
      </w:r>
      <w:r>
        <w:rPr>
          <w:rFonts w:hint="eastAsia" w:ascii="Times New Roman" w:hAnsi="Times New Roman" w:eastAsia="宋体"/>
          <w:color w:val="auto"/>
          <w:highlight w:val="none"/>
          <w:lang w:val="en-US" w:eastAsia="zh-CN"/>
        </w:rPr>
        <w:t>监造</w:t>
      </w:r>
      <w:bookmarkEnd w:id="192"/>
      <w:bookmarkEnd w:id="193"/>
      <w:bookmarkEnd w:id="194"/>
      <w:bookmarkEnd w:id="195"/>
      <w:bookmarkEnd w:id="196"/>
      <w:bookmarkEnd w:id="197"/>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7.8.</w:t>
      </w:r>
      <w:r>
        <w:rPr>
          <w:rFonts w:hint="eastAsia" w:ascii="Times New Roman" w:hAnsi="Times New Roman" w:eastAsia="宋体" w:cs="Times New Roman"/>
          <w:bCs/>
          <w:color w:val="auto"/>
          <w:szCs w:val="21"/>
          <w:highlight w:val="none"/>
          <w:lang w:val="en-US"/>
        </w:rPr>
        <w:t>1</w:t>
      </w:r>
      <w:r>
        <w:rPr>
          <w:rFonts w:hint="eastAsia" w:ascii="Times New Roman" w:hAnsi="Times New Roman" w:eastAsia="宋体" w:cs="Times New Roman"/>
          <w:bCs/>
          <w:color w:val="auto"/>
          <w:szCs w:val="21"/>
          <w:highlight w:val="none"/>
          <w:lang w:val="en-US" w:eastAsia="zh-CN"/>
        </w:rPr>
        <w:t xml:space="preserve"> </w:t>
      </w:r>
      <w:r>
        <w:rPr>
          <w:rFonts w:hint="eastAsia" w:ascii="Times New Roman" w:hAnsi="Times New Roman" w:eastAsia="宋体" w:cs="Times New Roman"/>
          <w:color w:val="auto"/>
          <w:szCs w:val="21"/>
          <w:highlight w:val="none"/>
          <w:lang w:val="en-US" w:eastAsia="zh-CN"/>
        </w:rPr>
        <w:t xml:space="preserve"> </w:t>
      </w:r>
      <w:r>
        <w:rPr>
          <w:rFonts w:hint="eastAsia" w:ascii="Times New Roman" w:hAnsi="Times New Roman" w:cs="Times New Roman"/>
          <w:bCs/>
          <w:color w:val="auto"/>
          <w:szCs w:val="21"/>
          <w:highlight w:val="none"/>
          <w:lang w:val="en-US" w:eastAsia="zh-CN"/>
        </w:rPr>
        <w:t>如需必要，</w:t>
      </w:r>
      <w:r>
        <w:rPr>
          <w:rFonts w:ascii="Times New Roman" w:hAnsi="Times New Roman" w:eastAsia="宋体" w:cs="Times New Roman"/>
          <w:color w:val="auto"/>
          <w:szCs w:val="21"/>
          <w:highlight w:val="none"/>
        </w:rPr>
        <w:t>投标方必须在签订合同后10天之内以书面形式提供</w:t>
      </w:r>
      <w:r>
        <w:rPr>
          <w:rFonts w:hint="eastAsia" w:ascii="Times New Roman" w:hAnsi="Times New Roman" w:eastAsia="宋体" w:cs="Times New Roman"/>
          <w:color w:val="auto"/>
          <w:szCs w:val="21"/>
          <w:highlight w:val="none"/>
        </w:rPr>
        <w:t>设备</w:t>
      </w:r>
      <w:r>
        <w:rPr>
          <w:rFonts w:ascii="Times New Roman" w:hAnsi="Times New Roman" w:eastAsia="宋体" w:cs="Times New Roman"/>
          <w:color w:val="auto"/>
          <w:szCs w:val="21"/>
          <w:highlight w:val="none"/>
        </w:rPr>
        <w:t>制造进度表。按照DL/T586《</w:t>
      </w:r>
      <w:r>
        <w:rPr>
          <w:rFonts w:ascii="Times New Roman" w:hAnsi="Times New Roman" w:eastAsia="宋体" w:cs="Times New Roman"/>
          <w:color w:val="auto"/>
          <w:szCs w:val="20"/>
          <w:highlight w:val="none"/>
        </w:rPr>
        <w:t>电力设备监造</w:t>
      </w:r>
      <w:r>
        <w:rPr>
          <w:rFonts w:hint="eastAsia" w:ascii="Times New Roman" w:hAnsi="Times New Roman" w:eastAsia="宋体" w:cs="Times New Roman"/>
          <w:color w:val="auto"/>
          <w:szCs w:val="20"/>
          <w:highlight w:val="none"/>
        </w:rPr>
        <w:t>技术</w:t>
      </w:r>
      <w:r>
        <w:rPr>
          <w:rFonts w:ascii="Times New Roman" w:hAnsi="Times New Roman" w:eastAsia="宋体" w:cs="Times New Roman"/>
          <w:color w:val="auto"/>
          <w:szCs w:val="20"/>
          <w:highlight w:val="none"/>
        </w:rPr>
        <w:t>导则</w:t>
      </w:r>
      <w:r>
        <w:rPr>
          <w:rFonts w:ascii="Times New Roman" w:hAnsi="Times New Roman" w:eastAsia="宋体" w:cs="Times New Roman"/>
          <w:color w:val="auto"/>
          <w:szCs w:val="21"/>
          <w:highlight w:val="none"/>
        </w:rPr>
        <w:t>》的要求，招标方可随时进厂监造。监造和检验人员有权了解生产过程、查询质量记录</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参加各种试验</w:t>
      </w:r>
      <w:r>
        <w:rPr>
          <w:rFonts w:hint="eastAsia" w:ascii="Times New Roman" w:hAnsi="Times New Roman" w:eastAsia="宋体" w:cs="Times New Roman"/>
          <w:color w:val="auto"/>
          <w:szCs w:val="21"/>
          <w:highlight w:val="none"/>
          <w:lang w:val="en-US" w:eastAsia="zh-CN"/>
        </w:rPr>
        <w:t>等</w:t>
      </w:r>
      <w:r>
        <w:rPr>
          <w:rFonts w:ascii="Times New Roman" w:hAnsi="Times New Roman" w:eastAsia="宋体" w:cs="Times New Roman"/>
          <w:color w:val="auto"/>
          <w:szCs w:val="21"/>
          <w:highlight w:val="none"/>
        </w:rPr>
        <w:t>。</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7.8.</w:t>
      </w:r>
      <w:r>
        <w:rPr>
          <w:rFonts w:hint="eastAsia" w:ascii="Times New Roman" w:hAnsi="Times New Roman" w:eastAsia="宋体" w:cs="Times New Roman"/>
          <w:bCs/>
          <w:color w:val="auto"/>
          <w:szCs w:val="21"/>
          <w:highlight w:val="none"/>
          <w:lang w:val="en-US"/>
        </w:rPr>
        <w:t>2</w:t>
      </w:r>
      <w:r>
        <w:rPr>
          <w:rFonts w:hint="eastAsia" w:ascii="Times New Roman" w:hAnsi="Times New Roman" w:eastAsia="宋体" w:cs="Times New Roman"/>
          <w:bCs/>
          <w:color w:val="auto"/>
          <w:szCs w:val="21"/>
          <w:highlight w:val="none"/>
          <w:lang w:val="en-US" w:eastAsia="zh-CN"/>
        </w:rPr>
        <w:t xml:space="preserve">  </w:t>
      </w:r>
      <w:r>
        <w:rPr>
          <w:rFonts w:hint="eastAsia" w:ascii="Times New Roman" w:hAnsi="Times New Roman" w:eastAsia="宋体" w:cs="Times New Roman"/>
          <w:color w:val="auto"/>
          <w:szCs w:val="21"/>
          <w:highlight w:val="none"/>
        </w:rPr>
        <w:t>监造范围包括设备的设计、加工、制造、储运、材料采购、组装和试验等重要过程，关键部件的质量控制，进行见证、检验和审核。</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7.8.</w:t>
      </w:r>
      <w:r>
        <w:rPr>
          <w:rFonts w:hint="eastAsia" w:ascii="Times New Roman" w:hAnsi="Times New Roman" w:eastAsia="宋体" w:cs="Times New Roman"/>
          <w:bCs/>
          <w:color w:val="auto"/>
          <w:szCs w:val="21"/>
          <w:highlight w:val="none"/>
          <w:lang w:val="en-US"/>
        </w:rPr>
        <w:t>3</w:t>
      </w:r>
      <w:r>
        <w:rPr>
          <w:rFonts w:hint="eastAsia" w:ascii="Times New Roman" w:hAnsi="Times New Roman" w:eastAsia="宋体" w:cs="Times New Roman"/>
          <w:bCs/>
          <w:color w:val="auto"/>
          <w:szCs w:val="21"/>
          <w:highlight w:val="none"/>
          <w:lang w:val="en-US" w:eastAsia="zh-CN"/>
        </w:rPr>
        <w:t xml:space="preserve"> </w:t>
      </w:r>
      <w:r>
        <w:rPr>
          <w:rFonts w:hint="eastAsia" w:ascii="Times New Roman" w:hAnsi="Times New Roman" w:eastAsia="宋体" w:cs="Times New Roman"/>
          <w:color w:val="auto"/>
          <w:szCs w:val="21"/>
          <w:highlight w:val="none"/>
          <w:lang w:val="en-US" w:eastAsia="zh-CN"/>
        </w:rPr>
        <w:t xml:space="preserve"> 招标方</w:t>
      </w:r>
      <w:r>
        <w:rPr>
          <w:rFonts w:hint="eastAsia" w:ascii="Times New Roman" w:hAnsi="Times New Roman" w:eastAsia="宋体" w:cs="Times New Roman"/>
          <w:color w:val="auto"/>
          <w:szCs w:val="21"/>
          <w:highlight w:val="none"/>
        </w:rPr>
        <w:t>的工厂监造和检验工作，不减少投标方对产品的质量责任，监造和检验人员不签署任何质量证明。</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 xml:space="preserve">7.8.4  </w:t>
      </w:r>
      <w:r>
        <w:rPr>
          <w:rFonts w:hint="eastAsia" w:ascii="Times New Roman" w:hAnsi="Times New Roman" w:cs="Times New Roman"/>
          <w:bCs/>
          <w:color w:val="auto"/>
          <w:szCs w:val="21"/>
          <w:highlight w:val="none"/>
          <w:lang w:val="en-US" w:eastAsia="zh-CN"/>
        </w:rPr>
        <w:t>如需必要，</w:t>
      </w:r>
      <w:r>
        <w:rPr>
          <w:rFonts w:hint="eastAsia" w:ascii="Times New Roman" w:hAnsi="Times New Roman" w:eastAsia="宋体" w:cs="Times New Roman"/>
          <w:color w:val="auto"/>
          <w:szCs w:val="21"/>
          <w:highlight w:val="none"/>
        </w:rPr>
        <w:t>投标方应在出厂前至少提前5个工作日书面通知招标方进行出厂试验监督。</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198" w:name="_Toc30562"/>
      <w:bookmarkStart w:id="199" w:name="_Toc256370352"/>
      <w:bookmarkStart w:id="200" w:name="_Toc247855662"/>
      <w:bookmarkStart w:id="201" w:name="_Toc13506"/>
      <w:bookmarkStart w:id="202" w:name="_Toc252534636"/>
      <w:bookmarkStart w:id="203" w:name="_Toc559"/>
      <w:bookmarkStart w:id="204" w:name="_Toc27903_WPSOffice_Level1"/>
      <w:bookmarkStart w:id="205" w:name="_Toc13779"/>
      <w:bookmarkStart w:id="206" w:name="_Toc26876"/>
      <w:bookmarkStart w:id="207" w:name="_Toc24437"/>
      <w:r>
        <w:rPr>
          <w:rFonts w:hint="eastAsia" w:ascii="Times New Roman" w:hAnsi="Times New Roman" w:eastAsia="宋体" w:cs="Times New Roman"/>
          <w:b/>
          <w:bCs/>
          <w:snapToGrid w:val="0"/>
          <w:color w:val="auto"/>
          <w:kern w:val="0"/>
          <w:sz w:val="21"/>
          <w:szCs w:val="21"/>
          <w:highlight w:val="none"/>
          <w:lang w:val="en-US" w:eastAsia="zh-CN" w:bidi="ar-SA"/>
        </w:rPr>
        <w:t>8 现场验收</w:t>
      </w:r>
      <w:bookmarkEnd w:id="198"/>
      <w:bookmarkEnd w:id="199"/>
      <w:bookmarkEnd w:id="200"/>
      <w:bookmarkEnd w:id="201"/>
      <w:bookmarkEnd w:id="202"/>
      <w:bookmarkEnd w:id="203"/>
      <w:bookmarkEnd w:id="204"/>
      <w:bookmarkEnd w:id="205"/>
      <w:bookmarkEnd w:id="206"/>
      <w:bookmarkEnd w:id="207"/>
    </w:p>
    <w:p>
      <w:pPr>
        <w:keepNext w:val="0"/>
        <w:keepLines w:val="0"/>
        <w:pageBreakBefore w:val="0"/>
        <w:widowControl w:val="0"/>
        <w:kinsoku/>
        <w:wordWrap/>
        <w:overflowPunct/>
        <w:autoSpaceDE/>
        <w:autoSpaceDN/>
        <w:bidi w:val="0"/>
        <w:spacing w:line="400" w:lineRule="exact"/>
        <w:ind w:firstLine="420" w:firstLineChars="200"/>
        <w:textAlignment w:val="auto"/>
        <w:rPr>
          <w:rFonts w:hint="eastAsia"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lang w:val="en-US" w:eastAsia="zh-CN"/>
        </w:rPr>
        <w:t>现场验收应</w:t>
      </w:r>
      <w:r>
        <w:rPr>
          <w:rFonts w:hint="eastAsia" w:ascii="Times New Roman" w:hAnsi="Times New Roman" w:eastAsia="宋体" w:cs="Times New Roman"/>
          <w:color w:val="auto"/>
          <w:kern w:val="21"/>
          <w:szCs w:val="21"/>
          <w:highlight w:val="none"/>
        </w:rPr>
        <w:t>满足现场</w:t>
      </w:r>
      <w:r>
        <w:rPr>
          <w:rFonts w:hint="eastAsia" w:ascii="Times New Roman" w:hAnsi="Times New Roman" w:eastAsia="宋体" w:cs="Times New Roman"/>
          <w:color w:val="auto"/>
          <w:kern w:val="21"/>
          <w:szCs w:val="21"/>
          <w:highlight w:val="none"/>
          <w:lang w:val="en-US" w:eastAsia="zh-CN"/>
        </w:rPr>
        <w:t>相关</w:t>
      </w:r>
      <w:r>
        <w:rPr>
          <w:rFonts w:hint="eastAsia" w:ascii="Times New Roman" w:hAnsi="Times New Roman" w:eastAsia="宋体" w:cs="Times New Roman"/>
          <w:color w:val="auto"/>
          <w:kern w:val="21"/>
          <w:szCs w:val="21"/>
          <w:highlight w:val="none"/>
        </w:rPr>
        <w:t>规范要求。</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208" w:name="_Toc14823"/>
      <w:bookmarkStart w:id="209" w:name="_Toc11792"/>
      <w:bookmarkStart w:id="210" w:name="_Toc3688_WPSOffice_Level1"/>
      <w:r>
        <w:rPr>
          <w:rFonts w:hint="eastAsia" w:ascii="Times New Roman" w:hAnsi="Times New Roman" w:eastAsia="宋体" w:cs="Times New Roman"/>
          <w:b/>
          <w:bCs/>
          <w:snapToGrid w:val="0"/>
          <w:color w:val="auto"/>
          <w:kern w:val="0"/>
          <w:sz w:val="21"/>
          <w:szCs w:val="21"/>
          <w:highlight w:val="none"/>
          <w:lang w:val="en-US" w:eastAsia="zh-CN" w:bidi="ar-SA"/>
        </w:rPr>
        <w:t>9 安装调试</w:t>
      </w:r>
      <w:bookmarkEnd w:id="208"/>
      <w:bookmarkEnd w:id="209"/>
      <w:bookmarkEnd w:id="210"/>
    </w:p>
    <w:p>
      <w:pPr>
        <w:keepNext w:val="0"/>
        <w:keepLines w:val="0"/>
        <w:pageBreakBefore w:val="0"/>
        <w:widowControl w:val="0"/>
        <w:kinsoku/>
        <w:wordWrap/>
        <w:overflowPunct/>
        <w:autoSpaceDE/>
        <w:autoSpaceDN/>
        <w:bidi w:val="0"/>
        <w:spacing w:line="400" w:lineRule="exact"/>
        <w:ind w:firstLine="420" w:firstLineChars="200"/>
        <w:textAlignment w:val="auto"/>
        <w:rPr>
          <w:rFonts w:hint="eastAsia" w:ascii="Times New Roman" w:hAnsi="Times New Roman" w:eastAsia="宋体" w:cs="Times New Roman"/>
          <w:color w:val="auto"/>
          <w:kern w:val="21"/>
          <w:szCs w:val="21"/>
          <w:highlight w:val="none"/>
        </w:rPr>
      </w:pPr>
      <w:r>
        <w:rPr>
          <w:rFonts w:hint="eastAsia" w:ascii="Times New Roman" w:hAnsi="Times New Roman" w:eastAsia="宋体" w:cs="Times New Roman"/>
          <w:color w:val="auto"/>
          <w:kern w:val="21"/>
          <w:szCs w:val="21"/>
          <w:highlight w:val="none"/>
        </w:rPr>
        <w:t>现场安装和试验由招标方</w:t>
      </w:r>
      <w:r>
        <w:rPr>
          <w:rFonts w:hint="eastAsia" w:ascii="Times New Roman" w:hAnsi="Times New Roman" w:eastAsia="宋体" w:cs="Times New Roman"/>
          <w:color w:val="auto"/>
          <w:kern w:val="21"/>
          <w:szCs w:val="21"/>
          <w:highlight w:val="none"/>
          <w:lang w:val="en-US" w:eastAsia="zh-CN"/>
        </w:rPr>
        <w:t>在</w:t>
      </w:r>
      <w:r>
        <w:rPr>
          <w:rFonts w:hint="eastAsia" w:ascii="Times New Roman" w:hAnsi="Times New Roman" w:eastAsia="宋体" w:cs="Times New Roman"/>
          <w:color w:val="auto"/>
          <w:kern w:val="21"/>
          <w:szCs w:val="21"/>
          <w:highlight w:val="none"/>
        </w:rPr>
        <w:t>投标方的技术指导下完成,投标方协助招标方按标准检查安装质量, 处理调试投运过程中出现的问题，提供备品、备件，做好</w:t>
      </w:r>
      <w:r>
        <w:rPr>
          <w:rFonts w:hint="eastAsia" w:ascii="Times New Roman" w:hAnsi="Times New Roman" w:eastAsia="宋体" w:cs="Times New Roman"/>
          <w:color w:val="auto"/>
          <w:kern w:val="21"/>
          <w:szCs w:val="21"/>
          <w:highlight w:val="none"/>
          <w:lang w:val="en-US" w:eastAsia="zh-CN"/>
        </w:rPr>
        <w:t>安装调试技术服务</w:t>
      </w:r>
      <w:r>
        <w:rPr>
          <w:rFonts w:hint="eastAsia" w:ascii="Times New Roman" w:hAnsi="Times New Roman" w:eastAsia="宋体" w:cs="Times New Roman"/>
          <w:color w:val="auto"/>
          <w:kern w:val="21"/>
          <w:szCs w:val="21"/>
          <w:highlight w:val="none"/>
        </w:rPr>
        <w:t>工作。投标方应选派有经验的技术人员，对安装和运行人员</w:t>
      </w:r>
      <w:r>
        <w:rPr>
          <w:rFonts w:hint="eastAsia" w:ascii="Times New Roman" w:hAnsi="Times New Roman" w:eastAsia="宋体" w:cs="Times New Roman"/>
          <w:color w:val="auto"/>
          <w:kern w:val="21"/>
          <w:szCs w:val="21"/>
          <w:highlight w:val="none"/>
          <w:lang w:val="en-US" w:eastAsia="zh-CN"/>
        </w:rPr>
        <w:t>进行</w:t>
      </w:r>
      <w:r>
        <w:rPr>
          <w:rFonts w:hint="eastAsia" w:ascii="Times New Roman" w:hAnsi="Times New Roman" w:eastAsia="宋体" w:cs="Times New Roman"/>
          <w:color w:val="auto"/>
          <w:kern w:val="21"/>
          <w:szCs w:val="21"/>
          <w:highlight w:val="none"/>
        </w:rPr>
        <w:t>免费培训。</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211" w:name="_Toc13269"/>
      <w:bookmarkStart w:id="212" w:name="_Toc247855663"/>
      <w:bookmarkStart w:id="213" w:name="_Toc32007"/>
      <w:bookmarkStart w:id="214" w:name="_Toc256370353"/>
      <w:bookmarkStart w:id="215" w:name="_Toc5371"/>
      <w:bookmarkStart w:id="216" w:name="_Toc8768"/>
      <w:bookmarkStart w:id="217" w:name="_Toc24633"/>
      <w:bookmarkStart w:id="218" w:name="_Toc7510_WPSOffice_Level1"/>
      <w:bookmarkStart w:id="219" w:name="_Toc252534637"/>
      <w:bookmarkStart w:id="220" w:name="_Toc20524"/>
      <w:r>
        <w:rPr>
          <w:rFonts w:hint="eastAsia" w:ascii="Times New Roman" w:hAnsi="Times New Roman" w:eastAsia="宋体" w:cs="Times New Roman"/>
          <w:b/>
          <w:bCs/>
          <w:snapToGrid w:val="0"/>
          <w:color w:val="auto"/>
          <w:kern w:val="0"/>
          <w:sz w:val="21"/>
          <w:szCs w:val="21"/>
          <w:highlight w:val="none"/>
          <w:lang w:val="en-US" w:eastAsia="zh-CN" w:bidi="ar-SA"/>
        </w:rPr>
        <w:t>10　质量保证</w:t>
      </w:r>
      <w:bookmarkEnd w:id="137"/>
      <w:bookmarkEnd w:id="211"/>
      <w:bookmarkEnd w:id="212"/>
      <w:bookmarkEnd w:id="213"/>
      <w:bookmarkEnd w:id="214"/>
      <w:bookmarkEnd w:id="215"/>
      <w:bookmarkEnd w:id="216"/>
      <w:bookmarkEnd w:id="217"/>
      <w:bookmarkEnd w:id="218"/>
      <w:bookmarkEnd w:id="219"/>
      <w:bookmarkEnd w:id="220"/>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10.1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应保证制造过程中的所有工艺、材料、试验等</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rPr>
        <w:t>包括卖方的外购件在内</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rPr>
        <w:t>均应符合本规范的规定。若使用方根据运行经验指定</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提供某种外购零部件，</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应积极配合。</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对所购配套部件设备质量负责，采购中应进行严格的质量检验，交货时必须向</w:t>
      </w:r>
      <w:r>
        <w:rPr>
          <w:rFonts w:hint="eastAsia" w:ascii="Times New Roman" w:hAnsi="Times New Roman" w:eastAsia="宋体" w:cs="Times New Roman"/>
          <w:color w:val="auto"/>
          <w:szCs w:val="21"/>
          <w:highlight w:val="none"/>
          <w:lang w:eastAsia="zh-CN"/>
        </w:rPr>
        <w:t>招标方</w:t>
      </w:r>
      <w:r>
        <w:rPr>
          <w:rFonts w:hint="eastAsia" w:ascii="Times New Roman" w:hAnsi="Times New Roman" w:eastAsia="宋体" w:cs="Times New Roman"/>
          <w:color w:val="auto"/>
          <w:szCs w:val="21"/>
          <w:highlight w:val="none"/>
        </w:rPr>
        <w:t>提供其产品质量合格证书及有关安装使用等技术文件资料。</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10.2　</w:t>
      </w:r>
      <w:r>
        <w:rPr>
          <w:rFonts w:hint="eastAsia" w:ascii="Times New Roman" w:hAnsi="Times New Roman" w:eastAsia="宋体" w:cs="Times New Roman"/>
          <w:color w:val="auto"/>
          <w:szCs w:val="21"/>
          <w:highlight w:val="none"/>
        </w:rPr>
        <w:t>假若</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有更优越或更为经济的设计，足以使</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的产品更为安全、可靠、灵活、适应时，</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可提出并经使用方的认可。</w:t>
      </w:r>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10.3</w:t>
      </w:r>
      <w:r>
        <w:rPr>
          <w:rFonts w:hint="eastAsia" w:ascii="Times New Roman" w:hAnsi="Times New Roman" w:eastAsia="宋体" w:cs="Times New Roman"/>
          <w:color w:val="auto"/>
          <w:kern w:val="21"/>
          <w:szCs w:val="21"/>
          <w:highlight w:val="none"/>
          <w:lang w:val="en-US" w:eastAsia="zh-CN"/>
        </w:rPr>
        <w:t>　</w:t>
      </w:r>
      <w:r>
        <w:rPr>
          <w:rFonts w:hint="eastAsia" w:ascii="Times New Roman" w:hAnsi="Times New Roman" w:eastAsia="宋体" w:cs="Times New Roman"/>
          <w:color w:val="auto"/>
          <w:szCs w:val="21"/>
          <w:highlight w:val="none"/>
        </w:rPr>
        <w:t>双方签订合同后，</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应按工程设计及施工进度分批提交技术文件和图纸。必要时，双方尚需进行技术联络，以讨论合同范围内的有关技术问题。</w:t>
      </w:r>
    </w:p>
    <w:p>
      <w:pPr>
        <w:keepNext w:val="0"/>
        <w:keepLines w:val="0"/>
        <w:pageBreakBefore w:val="0"/>
        <w:widowControl w:val="0"/>
        <w:kinsoku/>
        <w:wordWrap/>
        <w:overflowPunct/>
        <w:autoSpaceDE/>
        <w:autoSpaceDN/>
        <w:bidi w:val="0"/>
        <w:spacing w:line="400" w:lineRule="exact"/>
        <w:textAlignment w:val="auto"/>
        <w:rPr>
          <w:rFonts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10.4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应保证所提供的设备为由最适宜的原材料并采用先进工艺制成，且未经使用过的全新产品；保证产品的质量、规格和性能与投标文件所述一致。</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10.5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保证所提供的设备在各个方面符合招标文件规定的质量、规格和性能。</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pacing w:val="-2"/>
          <w:szCs w:val="21"/>
          <w:highlight w:val="none"/>
        </w:rPr>
      </w:pPr>
      <w:r>
        <w:rPr>
          <w:rFonts w:hint="eastAsia" w:ascii="Times New Roman" w:hAnsi="Times New Roman" w:eastAsia="宋体" w:cs="Times New Roman"/>
          <w:bCs/>
          <w:color w:val="auto"/>
          <w:szCs w:val="21"/>
          <w:highlight w:val="none"/>
          <w:lang w:val="en-US" w:eastAsia="zh-CN"/>
        </w:rPr>
        <w:t xml:space="preserve">10.6 </w:t>
      </w:r>
      <w:r>
        <w:rPr>
          <w:rFonts w:hint="eastAsia" w:ascii="Times New Roman" w:hAnsi="Times New Roman" w:eastAsia="宋体" w:cs="Times New Roman"/>
          <w:color w:val="auto"/>
          <w:spacing w:val="-2"/>
          <w:szCs w:val="21"/>
          <w:highlight w:val="none"/>
          <w:lang w:val="en-US" w:eastAsia="zh-CN"/>
        </w:rPr>
        <w:t>投标方所供产品</w:t>
      </w:r>
      <w:r>
        <w:rPr>
          <w:rFonts w:hint="eastAsia" w:ascii="Times New Roman" w:hAnsi="Times New Roman" w:eastAsia="宋体" w:cs="Times New Roman"/>
          <w:color w:val="auto"/>
          <w:spacing w:val="-2"/>
          <w:szCs w:val="21"/>
          <w:highlight w:val="none"/>
        </w:rPr>
        <w:t>必须满足作为一个完整产品所能满足的全部要求，</w:t>
      </w:r>
      <w:r>
        <w:rPr>
          <w:rFonts w:hint="eastAsia" w:ascii="Times New Roman" w:hAnsi="Times New Roman" w:eastAsia="宋体" w:cs="Times New Roman"/>
          <w:color w:val="auto"/>
          <w:spacing w:val="-2"/>
          <w:szCs w:val="21"/>
          <w:highlight w:val="none"/>
          <w:lang w:eastAsia="zh-CN"/>
        </w:rPr>
        <w:t>产品</w:t>
      </w:r>
      <w:r>
        <w:rPr>
          <w:rFonts w:hint="eastAsia" w:ascii="Times New Roman" w:hAnsi="Times New Roman" w:eastAsia="宋体" w:cs="Times New Roman"/>
          <w:color w:val="auto"/>
          <w:spacing w:val="-2"/>
          <w:szCs w:val="21"/>
          <w:highlight w:val="none"/>
        </w:rPr>
        <w:t>设计寿命不小于</w:t>
      </w:r>
      <w:r>
        <w:rPr>
          <w:rFonts w:hint="eastAsia" w:ascii="Times New Roman" w:hAnsi="Times New Roman" w:eastAsia="宋体" w:cs="Times New Roman"/>
          <w:color w:val="auto"/>
          <w:spacing w:val="-2"/>
          <w:szCs w:val="21"/>
          <w:highlight w:val="none"/>
          <w:lang w:val="en-US" w:eastAsia="zh-CN"/>
        </w:rPr>
        <w:t>10</w:t>
      </w:r>
      <w:r>
        <w:rPr>
          <w:rFonts w:hint="eastAsia" w:ascii="Times New Roman" w:hAnsi="Times New Roman" w:eastAsia="宋体" w:cs="Times New Roman"/>
          <w:color w:val="auto"/>
          <w:spacing w:val="-2"/>
          <w:szCs w:val="21"/>
          <w:highlight w:val="none"/>
        </w:rPr>
        <w:t>年。</w:t>
      </w:r>
    </w:p>
    <w:p>
      <w:pPr>
        <w:keepNext w:val="0"/>
        <w:keepLines w:val="0"/>
        <w:pageBreakBefore w:val="0"/>
        <w:widowControl w:val="0"/>
        <w:kinsoku/>
        <w:wordWrap/>
        <w:overflowPunct/>
        <w:autoSpaceDE/>
        <w:autoSpaceDN/>
        <w:bidi w:val="0"/>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bCs/>
          <w:color w:val="auto"/>
          <w:szCs w:val="21"/>
          <w:highlight w:val="none"/>
          <w:lang w:val="en-US" w:eastAsia="zh-CN"/>
        </w:rPr>
        <w:t xml:space="preserve">10.7  </w:t>
      </w:r>
      <w:r>
        <w:rPr>
          <w:rFonts w:hint="eastAsia" w:ascii="Times New Roman" w:hAnsi="Times New Roman" w:eastAsia="宋体" w:cs="Times New Roman"/>
          <w:color w:val="auto"/>
          <w:spacing w:val="-2"/>
          <w:szCs w:val="21"/>
          <w:highlight w:val="none"/>
        </w:rPr>
        <w:t>投标方应对其整组设备在到货后提供不少于三年的“三包”质量保证</w:t>
      </w:r>
      <w:r>
        <w:rPr>
          <w:rFonts w:hint="eastAsia" w:ascii="Times New Roman" w:hAnsi="Times New Roman" w:eastAsia="宋体" w:cs="Times New Roman"/>
          <w:color w:val="auto"/>
          <w:spacing w:val="-2"/>
          <w:szCs w:val="21"/>
          <w:highlight w:val="none"/>
          <w:lang w:eastAsia="zh-CN"/>
        </w:rPr>
        <w:t>，</w:t>
      </w:r>
      <w:r>
        <w:rPr>
          <w:rFonts w:hint="eastAsia" w:ascii="Times New Roman" w:hAnsi="Times New Roman" w:eastAsia="宋体" w:cs="Times New Roman"/>
          <w:color w:val="auto"/>
          <w:szCs w:val="21"/>
          <w:highlight w:val="none"/>
        </w:rPr>
        <w:t>质保期以合同商务部分为准。</w:t>
      </w:r>
    </w:p>
    <w:p>
      <w:pPr>
        <w:keepNext w:val="0"/>
        <w:keepLines w:val="0"/>
        <w:pageBreakBefore w:val="0"/>
        <w:widowControl w:val="0"/>
        <w:kinsoku/>
        <w:wordWrap/>
        <w:overflowPunct/>
        <w:topLinePunct/>
        <w:autoSpaceDE/>
        <w:autoSpaceDN/>
        <w:bidi w:val="0"/>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221" w:name="_Toc6197"/>
      <w:bookmarkStart w:id="222" w:name="_Toc27622"/>
      <w:bookmarkStart w:id="223" w:name="_Toc252534640"/>
      <w:bookmarkStart w:id="224" w:name="_Toc15795"/>
      <w:bookmarkStart w:id="225" w:name="_Toc247855666"/>
      <w:bookmarkStart w:id="226" w:name="_Toc9705"/>
      <w:bookmarkStart w:id="227" w:name="_Toc18866"/>
      <w:bookmarkStart w:id="228" w:name="_Toc256370356"/>
      <w:bookmarkStart w:id="229" w:name="_Toc9185"/>
      <w:bookmarkStart w:id="230" w:name="_Toc178439789"/>
      <w:bookmarkStart w:id="231" w:name="_Toc6780_WPSOffice_Level1"/>
      <w:r>
        <w:rPr>
          <w:rFonts w:hint="eastAsia" w:ascii="Times New Roman" w:hAnsi="Times New Roman" w:eastAsia="宋体" w:cs="Times New Roman"/>
          <w:b/>
          <w:bCs/>
          <w:snapToGrid w:val="0"/>
          <w:color w:val="auto"/>
          <w:kern w:val="0"/>
          <w:sz w:val="21"/>
          <w:szCs w:val="21"/>
          <w:highlight w:val="none"/>
          <w:lang w:val="en-US" w:eastAsia="zh-CN" w:bidi="ar-SA"/>
        </w:rPr>
        <w:t>11  售后服务</w:t>
      </w:r>
      <w:bookmarkEnd w:id="221"/>
      <w:bookmarkEnd w:id="222"/>
      <w:bookmarkEnd w:id="223"/>
      <w:bookmarkEnd w:id="224"/>
      <w:bookmarkEnd w:id="225"/>
      <w:bookmarkEnd w:id="226"/>
      <w:bookmarkEnd w:id="227"/>
      <w:bookmarkEnd w:id="228"/>
      <w:bookmarkEnd w:id="229"/>
      <w:bookmarkEnd w:id="230"/>
      <w:bookmarkEnd w:id="231"/>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lang w:val="en-US" w:eastAsia="zh-CN"/>
        </w:rPr>
        <w:t>11.1</w:t>
      </w:r>
      <w:r>
        <w:rPr>
          <w:rFonts w:hint="eastAsia" w:ascii="Times New Roman" w:hAnsi="Times New Roman" w:eastAsia="宋体" w:cs="Times New Roman"/>
          <w:color w:val="auto"/>
          <w:szCs w:val="21"/>
          <w:highlight w:val="none"/>
        </w:rPr>
        <w:t>现场投运前和试运行中发现的设备缺陷和元件损坏</w:t>
      </w: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kern w:val="21"/>
          <w:szCs w:val="21"/>
          <w:highlight w:val="none"/>
        </w:rPr>
        <w:t xml:space="preserve"> </w:t>
      </w:r>
      <w:r>
        <w:rPr>
          <w:rFonts w:hint="eastAsia" w:ascii="Times New Roman" w:hAnsi="Times New Roman" w:eastAsia="宋体" w:cs="Times New Roman"/>
          <w:color w:val="auto"/>
          <w:kern w:val="21"/>
          <w:szCs w:val="21"/>
          <w:highlight w:val="none"/>
          <w:lang w:eastAsia="zh-CN"/>
        </w:rPr>
        <w:t>投标方</w:t>
      </w:r>
      <w:r>
        <w:rPr>
          <w:rFonts w:hint="eastAsia" w:ascii="Times New Roman" w:hAnsi="Times New Roman" w:eastAsia="宋体" w:cs="Times New Roman"/>
          <w:color w:val="auto"/>
          <w:szCs w:val="21"/>
          <w:highlight w:val="none"/>
        </w:rPr>
        <w:t>应及时无偿修理或更换，直至符合规范要求。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spacing w:val="-2"/>
          <w:szCs w:val="21"/>
          <w:highlight w:val="none"/>
        </w:rPr>
      </w:pPr>
      <w:r>
        <w:rPr>
          <w:rFonts w:hint="eastAsia" w:ascii="Times New Roman" w:hAnsi="Times New Roman" w:eastAsia="宋体" w:cs="Times New Roman"/>
          <w:color w:val="auto"/>
          <w:szCs w:val="21"/>
          <w:highlight w:val="none"/>
          <w:lang w:val="en-US" w:eastAsia="zh-CN"/>
        </w:rPr>
        <w:t>11.2</w:t>
      </w:r>
      <w:r>
        <w:rPr>
          <w:rFonts w:hint="eastAsia" w:ascii="Times New Roman" w:hAnsi="Times New Roman" w:eastAsia="宋体" w:cs="Times New Roman"/>
          <w:color w:val="auto"/>
          <w:szCs w:val="21"/>
          <w:highlight w:val="none"/>
        </w:rPr>
        <w:t>质保期内产品出现不符合功能要求和技术指标要求，</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szCs w:val="21"/>
          <w:highlight w:val="none"/>
        </w:rPr>
        <w:t>应负责维修或更换。</w:t>
      </w:r>
      <w:r>
        <w:rPr>
          <w:rFonts w:hint="eastAsia" w:ascii="Times New Roman" w:hAnsi="Times New Roman" w:eastAsia="宋体" w:cs="Times New Roman"/>
          <w:color w:val="auto"/>
          <w:szCs w:val="21"/>
          <w:highlight w:val="none"/>
          <w:lang w:val="en-US" w:eastAsia="zh-CN"/>
        </w:rPr>
        <w:t>质保期后发生缺陷、异常等问题，投标方应提供维修服务</w:t>
      </w:r>
      <w:r>
        <w:rPr>
          <w:rFonts w:hint="eastAsia" w:ascii="Times New Roman" w:hAnsi="Times New Roman" w:eastAsia="宋体" w:cs="Times New Roman"/>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11.3</w:t>
      </w:r>
      <w:r>
        <w:rPr>
          <w:rFonts w:hint="eastAsia" w:ascii="Times New Roman" w:hAnsi="Times New Roman" w:eastAsia="宋体" w:cs="Times New Roman"/>
          <w:color w:val="auto"/>
          <w:szCs w:val="21"/>
          <w:highlight w:val="none"/>
        </w:rPr>
        <w:t>质保期后，设备生命周期内，投标方应保证备品备件的供应满足投标服务响应要求，如发生产品损坏，投标方应及时提供维修部件，并按最近的投标价提供。</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szCs w:val="20"/>
          <w:highlight w:val="none"/>
        </w:rPr>
      </w:pPr>
      <w:r>
        <w:rPr>
          <w:rFonts w:hint="eastAsia" w:ascii="Times New Roman" w:hAnsi="Times New Roman" w:eastAsia="宋体" w:cs="Times New Roman"/>
          <w:color w:val="auto"/>
          <w:szCs w:val="21"/>
          <w:highlight w:val="none"/>
          <w:lang w:val="en-US" w:eastAsia="zh-CN"/>
        </w:rPr>
        <w:t>11.4</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szCs w:val="21"/>
          <w:highlight w:val="none"/>
        </w:rPr>
        <w:t>对由于设计、制造和材料、外购零部件的缺陷而造成所供设备的任何破坏、缺陷故障，当</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szCs w:val="21"/>
          <w:highlight w:val="none"/>
        </w:rPr>
        <w:t>收到</w:t>
      </w:r>
      <w:r>
        <w:rPr>
          <w:rFonts w:hint="eastAsia" w:ascii="Times New Roman" w:hAnsi="Times New Roman" w:eastAsia="宋体" w:cs="Times New Roman"/>
          <w:color w:val="auto"/>
          <w:szCs w:val="21"/>
          <w:highlight w:val="none"/>
          <w:lang w:eastAsia="zh-CN"/>
        </w:rPr>
        <w:t>招标方</w:t>
      </w:r>
      <w:r>
        <w:rPr>
          <w:rFonts w:hint="eastAsia" w:ascii="Times New Roman" w:hAnsi="Times New Roman" w:eastAsia="宋体" w:cs="Times New Roman"/>
          <w:color w:val="auto"/>
          <w:szCs w:val="21"/>
          <w:highlight w:val="none"/>
        </w:rPr>
        <w:t>的书面通知后，</w:t>
      </w:r>
      <w:r>
        <w:rPr>
          <w:rFonts w:hint="eastAsia" w:ascii="Times New Roman" w:hAnsi="Times New Roman" w:eastAsia="宋体" w:cs="Times New Roman"/>
          <w:color w:val="auto"/>
          <w:szCs w:val="21"/>
          <w:highlight w:val="none"/>
          <w:lang w:eastAsia="zh-CN"/>
        </w:rPr>
        <w:t>投标方</w:t>
      </w:r>
      <w:r>
        <w:rPr>
          <w:rFonts w:hint="eastAsia" w:ascii="Times New Roman" w:hAnsi="Times New Roman" w:eastAsia="宋体" w:cs="Times New Roman"/>
          <w:color w:val="auto"/>
          <w:szCs w:val="21"/>
          <w:highlight w:val="none"/>
        </w:rPr>
        <w:t>在7天内免费负责更换有缺陷的设备(包括运输费、税收等)，以达到技术规范书的要求。</w:t>
      </w:r>
    </w:p>
    <w:p>
      <w:pPr>
        <w:keepNext w:val="0"/>
        <w:keepLines w:val="0"/>
        <w:pageBreakBefore w:val="0"/>
        <w:widowControl w:val="0"/>
        <w:kinsoku/>
        <w:wordWrap/>
        <w:overflowPunct/>
        <w:topLinePunct/>
        <w:autoSpaceDE/>
        <w:autoSpaceDN/>
        <w:bidi w:val="0"/>
        <w:adjustRightInd/>
        <w:snapToGrid/>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232" w:name="_Toc279949858"/>
      <w:bookmarkStart w:id="233" w:name="_Toc354760700"/>
      <w:bookmarkStart w:id="234" w:name="_Toc19142"/>
      <w:bookmarkStart w:id="235" w:name="_Toc23270_WPSOffice_Level1"/>
      <w:bookmarkStart w:id="236" w:name="_Toc32323"/>
      <w:bookmarkStart w:id="237" w:name="_Toc27389"/>
      <w:bookmarkStart w:id="238" w:name="_Toc25149"/>
      <w:r>
        <w:rPr>
          <w:rFonts w:hint="eastAsia" w:ascii="Times New Roman" w:hAnsi="Times New Roman" w:eastAsia="宋体" w:cs="Times New Roman"/>
          <w:b/>
          <w:bCs/>
          <w:snapToGrid w:val="0"/>
          <w:color w:val="auto"/>
          <w:kern w:val="0"/>
          <w:sz w:val="21"/>
          <w:szCs w:val="21"/>
          <w:highlight w:val="none"/>
          <w:lang w:val="en-US" w:eastAsia="zh-CN" w:bidi="ar-SA"/>
        </w:rPr>
        <w:t>12  投标产品主要组部件材料</w:t>
      </w:r>
      <w:bookmarkEnd w:id="232"/>
      <w:bookmarkEnd w:id="233"/>
      <w:bookmarkEnd w:id="234"/>
      <w:bookmarkEnd w:id="235"/>
      <w:bookmarkEnd w:id="236"/>
      <w:bookmarkEnd w:id="237"/>
      <w:bookmarkEnd w:id="238"/>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b/>
          <w:bCs/>
          <w:color w:val="auto"/>
          <w:sz w:val="18"/>
          <w:szCs w:val="18"/>
          <w:highlight w:val="none"/>
        </w:rPr>
      </w:pPr>
      <w:r>
        <w:rPr>
          <w:rFonts w:hint="eastAsia" w:ascii="Times New Roman" w:hAnsi="Times New Roman" w:eastAsia="宋体" w:cs="Times New Roman"/>
          <w:b/>
          <w:bCs/>
          <w:color w:val="auto"/>
          <w:sz w:val="18"/>
          <w:szCs w:val="18"/>
          <w:highlight w:val="none"/>
        </w:rPr>
        <w:t>表</w:t>
      </w:r>
      <w:r>
        <w:rPr>
          <w:rFonts w:hint="eastAsia" w:ascii="Times New Roman" w:hAnsi="Times New Roman" w:cs="Times New Roman"/>
          <w:b/>
          <w:bCs/>
          <w:color w:val="auto"/>
          <w:sz w:val="18"/>
          <w:szCs w:val="18"/>
          <w:highlight w:val="none"/>
          <w:lang w:val="en-US" w:eastAsia="zh-CN"/>
        </w:rPr>
        <w:t xml:space="preserve">4 </w:t>
      </w:r>
      <w:r>
        <w:rPr>
          <w:rFonts w:hint="eastAsia" w:ascii="Times New Roman" w:hAnsi="Times New Roman" w:eastAsia="宋体" w:cs="Times New Roman"/>
          <w:b/>
          <w:bCs/>
          <w:color w:val="auto"/>
          <w:sz w:val="18"/>
          <w:szCs w:val="18"/>
          <w:highlight w:val="none"/>
          <w:lang w:eastAsia="zh-CN"/>
        </w:rPr>
        <w:t>主要组部件材料表（投标人提供）</w:t>
      </w:r>
    </w:p>
    <w:tbl>
      <w:tblPr>
        <w:tblStyle w:val="4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176"/>
        <w:gridCol w:w="1242"/>
        <w:gridCol w:w="1242"/>
        <w:gridCol w:w="1371"/>
        <w:gridCol w:w="1113"/>
        <w:gridCol w:w="12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主要组部件名称</w:t>
            </w:r>
          </w:p>
        </w:tc>
        <w:tc>
          <w:tcPr>
            <w:tcW w:w="1176"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规格</w:t>
            </w:r>
          </w:p>
        </w:tc>
        <w:tc>
          <w:tcPr>
            <w:tcW w:w="1242"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数量</w:t>
            </w:r>
          </w:p>
        </w:tc>
        <w:tc>
          <w:tcPr>
            <w:tcW w:w="1242"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单位</w:t>
            </w:r>
          </w:p>
        </w:tc>
        <w:tc>
          <w:tcPr>
            <w:tcW w:w="1371"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供应商名称</w:t>
            </w:r>
          </w:p>
        </w:tc>
        <w:tc>
          <w:tcPr>
            <w:tcW w:w="1113"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原产地</w:t>
            </w:r>
          </w:p>
        </w:tc>
        <w:tc>
          <w:tcPr>
            <w:tcW w:w="1242" w:type="dxa"/>
            <w:tcBorders>
              <w:top w:val="single" w:color="auto" w:sz="8" w:space="0"/>
            </w:tcBorders>
            <w:noWrap w:val="0"/>
            <w:vAlign w:val="center"/>
          </w:tcPr>
          <w:p>
            <w:pPr>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noWrap w:val="0"/>
            <w:vAlign w:val="center"/>
          </w:tcPr>
          <w:p>
            <w:pPr>
              <w:jc w:val="center"/>
              <w:rPr>
                <w:rFonts w:hint="eastAsia" w:ascii="Times New Roman" w:hAnsi="Times New Roman" w:eastAsia="宋体" w:cs="宋体"/>
                <w:color w:val="auto"/>
                <w:sz w:val="21"/>
                <w:szCs w:val="21"/>
                <w:highlight w:val="none"/>
              </w:rPr>
            </w:pPr>
          </w:p>
        </w:tc>
        <w:tc>
          <w:tcPr>
            <w:tcW w:w="1176" w:type="dxa"/>
            <w:noWrap w:val="0"/>
            <w:vAlign w:val="center"/>
          </w:tcPr>
          <w:p>
            <w:pPr>
              <w:jc w:val="center"/>
              <w:rPr>
                <w:rFonts w:hint="eastAsia" w:ascii="Times New Roman" w:hAnsi="Times New Roman" w:eastAsia="宋体" w:cs="宋体"/>
                <w:color w:val="auto"/>
                <w:sz w:val="21"/>
                <w:szCs w:val="21"/>
                <w:highlight w:val="none"/>
              </w:rPr>
            </w:pPr>
          </w:p>
        </w:tc>
        <w:tc>
          <w:tcPr>
            <w:tcW w:w="1242" w:type="dxa"/>
            <w:noWrap w:val="0"/>
            <w:vAlign w:val="center"/>
          </w:tcPr>
          <w:p>
            <w:pPr>
              <w:jc w:val="center"/>
              <w:rPr>
                <w:rFonts w:hint="eastAsia" w:ascii="Times New Roman" w:hAnsi="Times New Roman" w:eastAsia="宋体" w:cs="宋体"/>
                <w:color w:val="auto"/>
                <w:sz w:val="21"/>
                <w:szCs w:val="21"/>
                <w:highlight w:val="none"/>
              </w:rPr>
            </w:pPr>
          </w:p>
        </w:tc>
        <w:tc>
          <w:tcPr>
            <w:tcW w:w="1242" w:type="dxa"/>
            <w:noWrap w:val="0"/>
            <w:vAlign w:val="center"/>
          </w:tcPr>
          <w:p>
            <w:pPr>
              <w:jc w:val="center"/>
              <w:rPr>
                <w:rFonts w:hint="eastAsia" w:ascii="Times New Roman" w:hAnsi="Times New Roman" w:eastAsia="宋体" w:cs="宋体"/>
                <w:color w:val="auto"/>
                <w:sz w:val="21"/>
                <w:szCs w:val="21"/>
                <w:highlight w:val="none"/>
              </w:rPr>
            </w:pPr>
          </w:p>
        </w:tc>
        <w:tc>
          <w:tcPr>
            <w:tcW w:w="1371" w:type="dxa"/>
            <w:noWrap w:val="0"/>
            <w:vAlign w:val="center"/>
          </w:tcPr>
          <w:p>
            <w:pPr>
              <w:jc w:val="center"/>
              <w:rPr>
                <w:rFonts w:hint="eastAsia" w:ascii="Times New Roman" w:hAnsi="Times New Roman" w:eastAsia="宋体" w:cs="宋体"/>
                <w:color w:val="auto"/>
                <w:sz w:val="21"/>
                <w:szCs w:val="21"/>
                <w:highlight w:val="none"/>
              </w:rPr>
            </w:pPr>
          </w:p>
        </w:tc>
        <w:tc>
          <w:tcPr>
            <w:tcW w:w="1113" w:type="dxa"/>
            <w:noWrap w:val="0"/>
            <w:vAlign w:val="center"/>
          </w:tcPr>
          <w:p>
            <w:pPr>
              <w:jc w:val="center"/>
              <w:rPr>
                <w:rFonts w:hint="eastAsia" w:ascii="Times New Roman" w:hAnsi="Times New Roman" w:eastAsia="宋体" w:cs="宋体"/>
                <w:color w:val="auto"/>
                <w:sz w:val="21"/>
                <w:szCs w:val="21"/>
                <w:highlight w:val="none"/>
              </w:rPr>
            </w:pPr>
          </w:p>
        </w:tc>
        <w:tc>
          <w:tcPr>
            <w:tcW w:w="1242" w:type="dxa"/>
            <w:noWrap w:val="0"/>
            <w:vAlign w:val="center"/>
          </w:tcPr>
          <w:p>
            <w:pPr>
              <w:jc w:val="center"/>
              <w:rPr>
                <w:rFonts w:hint="eastAsia" w:ascii="Times New Roman" w:hAnsi="Times New Roman"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noWrap w:val="0"/>
            <w:vAlign w:val="center"/>
          </w:tcPr>
          <w:p>
            <w:pPr>
              <w:jc w:val="center"/>
              <w:rPr>
                <w:rFonts w:hint="eastAsia" w:ascii="Times New Roman" w:hAnsi="Times New Roman" w:eastAsia="宋体" w:cs="宋体"/>
                <w:color w:val="auto"/>
                <w:sz w:val="21"/>
                <w:szCs w:val="21"/>
                <w:highlight w:val="yellow"/>
              </w:rPr>
            </w:pPr>
          </w:p>
        </w:tc>
        <w:tc>
          <w:tcPr>
            <w:tcW w:w="1176" w:type="dxa"/>
            <w:noWrap w:val="0"/>
            <w:vAlign w:val="center"/>
          </w:tcPr>
          <w:p>
            <w:pPr>
              <w:jc w:val="center"/>
              <w:rPr>
                <w:rFonts w:hint="eastAsia" w:ascii="Times New Roman" w:hAnsi="Times New Roman" w:eastAsia="宋体" w:cs="宋体"/>
                <w:color w:val="auto"/>
                <w:sz w:val="21"/>
                <w:szCs w:val="21"/>
                <w:highlight w:val="yellow"/>
              </w:rPr>
            </w:pPr>
          </w:p>
        </w:tc>
        <w:tc>
          <w:tcPr>
            <w:tcW w:w="1242" w:type="dxa"/>
            <w:noWrap w:val="0"/>
            <w:vAlign w:val="center"/>
          </w:tcPr>
          <w:p>
            <w:pPr>
              <w:jc w:val="center"/>
              <w:rPr>
                <w:rFonts w:hint="eastAsia" w:ascii="Times New Roman" w:hAnsi="Times New Roman" w:eastAsia="宋体" w:cs="宋体"/>
                <w:color w:val="auto"/>
                <w:sz w:val="21"/>
                <w:szCs w:val="21"/>
                <w:highlight w:val="yellow"/>
              </w:rPr>
            </w:pPr>
          </w:p>
        </w:tc>
        <w:tc>
          <w:tcPr>
            <w:tcW w:w="1242" w:type="dxa"/>
            <w:noWrap w:val="0"/>
            <w:vAlign w:val="center"/>
          </w:tcPr>
          <w:p>
            <w:pPr>
              <w:jc w:val="center"/>
              <w:rPr>
                <w:rFonts w:hint="eastAsia" w:ascii="Times New Roman" w:hAnsi="Times New Roman" w:eastAsia="宋体" w:cs="宋体"/>
                <w:color w:val="auto"/>
                <w:sz w:val="21"/>
                <w:szCs w:val="21"/>
                <w:highlight w:val="yellow"/>
              </w:rPr>
            </w:pPr>
          </w:p>
        </w:tc>
        <w:tc>
          <w:tcPr>
            <w:tcW w:w="1371" w:type="dxa"/>
            <w:noWrap w:val="0"/>
            <w:vAlign w:val="center"/>
          </w:tcPr>
          <w:p>
            <w:pPr>
              <w:jc w:val="center"/>
              <w:rPr>
                <w:rFonts w:hint="eastAsia" w:ascii="Times New Roman" w:hAnsi="Times New Roman" w:eastAsia="宋体" w:cs="宋体"/>
                <w:color w:val="auto"/>
                <w:sz w:val="21"/>
                <w:szCs w:val="21"/>
                <w:highlight w:val="yellow"/>
              </w:rPr>
            </w:pPr>
          </w:p>
        </w:tc>
        <w:tc>
          <w:tcPr>
            <w:tcW w:w="1113" w:type="dxa"/>
            <w:noWrap w:val="0"/>
            <w:vAlign w:val="center"/>
          </w:tcPr>
          <w:p>
            <w:pPr>
              <w:jc w:val="center"/>
              <w:rPr>
                <w:rFonts w:hint="eastAsia" w:ascii="Times New Roman" w:hAnsi="Times New Roman" w:eastAsia="宋体" w:cs="宋体"/>
                <w:color w:val="auto"/>
                <w:sz w:val="21"/>
                <w:szCs w:val="21"/>
                <w:highlight w:val="yellow"/>
              </w:rPr>
            </w:pPr>
          </w:p>
        </w:tc>
        <w:tc>
          <w:tcPr>
            <w:tcW w:w="1242" w:type="dxa"/>
            <w:noWrap w:val="0"/>
            <w:vAlign w:val="center"/>
          </w:tcPr>
          <w:p>
            <w:pPr>
              <w:jc w:val="center"/>
              <w:rPr>
                <w:rFonts w:hint="eastAsia" w:ascii="Times New Roman" w:hAnsi="Times New Roman" w:eastAsia="宋体" w:cs="宋体"/>
                <w:color w:val="auto"/>
                <w:sz w:val="21"/>
                <w:szCs w:val="21"/>
                <w:highlight w:val="yellow"/>
              </w:rPr>
            </w:pPr>
          </w:p>
        </w:tc>
      </w:tr>
    </w:tbl>
    <w:p>
      <w:pPr>
        <w:keepNext w:val="0"/>
        <w:keepLines w:val="0"/>
        <w:pageBreakBefore w:val="0"/>
        <w:widowControl w:val="0"/>
        <w:kinsoku/>
        <w:wordWrap/>
        <w:overflowPunct/>
        <w:topLinePunct/>
        <w:autoSpaceDE/>
        <w:autoSpaceDN/>
        <w:bidi w:val="0"/>
        <w:adjustRightInd/>
        <w:snapToGrid/>
        <w:spacing w:line="400" w:lineRule="exact"/>
        <w:jc w:val="both"/>
        <w:textAlignment w:val="auto"/>
        <w:outlineLvl w:val="0"/>
        <w:rPr>
          <w:rFonts w:hint="eastAsia" w:ascii="Times New Roman" w:hAnsi="Times New Roman" w:eastAsia="宋体" w:cs="Times New Roman"/>
          <w:b/>
          <w:bCs/>
          <w:snapToGrid w:val="0"/>
          <w:color w:val="auto"/>
          <w:kern w:val="0"/>
          <w:sz w:val="21"/>
          <w:szCs w:val="21"/>
          <w:highlight w:val="none"/>
          <w:lang w:val="en-US" w:eastAsia="zh-CN" w:bidi="ar-SA"/>
        </w:rPr>
      </w:pPr>
      <w:bookmarkStart w:id="239" w:name="_Toc4361_WPSOffice_Level1"/>
      <w:bookmarkStart w:id="240" w:name="_Toc279949859"/>
      <w:bookmarkStart w:id="241" w:name="_Toc16097"/>
      <w:bookmarkStart w:id="242" w:name="_Toc354760701"/>
      <w:bookmarkStart w:id="243" w:name="_Toc4531"/>
      <w:bookmarkStart w:id="244" w:name="_Toc13037"/>
      <w:bookmarkStart w:id="245" w:name="_Toc19861"/>
      <w:r>
        <w:rPr>
          <w:rFonts w:hint="eastAsia" w:ascii="Times New Roman" w:hAnsi="Times New Roman" w:eastAsia="宋体" w:cs="Times New Roman"/>
          <w:b/>
          <w:bCs/>
          <w:snapToGrid w:val="0"/>
          <w:color w:val="auto"/>
          <w:kern w:val="0"/>
          <w:sz w:val="21"/>
          <w:szCs w:val="21"/>
          <w:highlight w:val="none"/>
          <w:lang w:val="en-US" w:eastAsia="zh-CN" w:bidi="ar-SA"/>
        </w:rPr>
        <w:t>13  推荐的备品备件、专用工具和仪器仪表供货</w:t>
      </w:r>
      <w:bookmarkEnd w:id="239"/>
      <w:bookmarkEnd w:id="240"/>
      <w:bookmarkEnd w:id="241"/>
      <w:bookmarkEnd w:id="242"/>
      <w:bookmarkEnd w:id="243"/>
      <w:bookmarkEnd w:id="244"/>
      <w:bookmarkEnd w:id="245"/>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b/>
          <w:bCs/>
          <w:color w:val="auto"/>
          <w:sz w:val="18"/>
          <w:szCs w:val="18"/>
          <w:highlight w:val="none"/>
        </w:rPr>
      </w:pPr>
      <w:bookmarkStart w:id="246" w:name="_Toc155113114"/>
      <w:bookmarkStart w:id="247" w:name="_Toc155182702"/>
      <w:r>
        <w:rPr>
          <w:rFonts w:hint="eastAsia" w:ascii="Times New Roman" w:hAnsi="Times New Roman" w:eastAsia="宋体" w:cs="Times New Roman"/>
          <w:b/>
          <w:bCs/>
          <w:color w:val="auto"/>
          <w:sz w:val="18"/>
          <w:szCs w:val="18"/>
          <w:highlight w:val="none"/>
        </w:rPr>
        <w:t>表</w:t>
      </w:r>
      <w:r>
        <w:rPr>
          <w:rFonts w:hint="eastAsia" w:ascii="Times New Roman" w:hAnsi="Times New Roman" w:cs="Times New Roman"/>
          <w:b/>
          <w:bCs/>
          <w:color w:val="auto"/>
          <w:sz w:val="18"/>
          <w:szCs w:val="18"/>
          <w:highlight w:val="none"/>
          <w:lang w:val="en-US" w:eastAsia="zh-CN"/>
        </w:rPr>
        <w:t xml:space="preserve">5 </w:t>
      </w:r>
      <w:r>
        <w:rPr>
          <w:rFonts w:hint="eastAsia" w:ascii="Times New Roman" w:hAnsi="Times New Roman" w:eastAsia="宋体" w:cs="Times New Roman"/>
          <w:b/>
          <w:bCs/>
          <w:color w:val="auto"/>
          <w:sz w:val="18"/>
          <w:szCs w:val="18"/>
          <w:highlight w:val="none"/>
        </w:rPr>
        <w:t>推荐的备品备件、专用工具和仪器仪表供货表</w:t>
      </w:r>
      <w:bookmarkEnd w:id="246"/>
      <w:bookmarkEnd w:id="247"/>
    </w:p>
    <w:tbl>
      <w:tblPr>
        <w:tblStyle w:val="4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59"/>
        <w:gridCol w:w="2980"/>
        <w:gridCol w:w="2915"/>
        <w:gridCol w:w="1140"/>
        <w:gridCol w:w="10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502" w:hRule="atLeast"/>
          <w:jc w:val="center"/>
        </w:trPr>
        <w:tc>
          <w:tcPr>
            <w:tcW w:w="1159" w:type="dxa"/>
            <w:tcBorders>
              <w:top w:val="single" w:color="auto" w:sz="8" w:space="0"/>
            </w:tcBorders>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序号</w:t>
            </w:r>
          </w:p>
        </w:tc>
        <w:tc>
          <w:tcPr>
            <w:tcW w:w="2980" w:type="dxa"/>
            <w:tcBorders>
              <w:top w:val="single" w:color="auto" w:sz="8" w:space="0"/>
            </w:tcBorders>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名  称</w:t>
            </w:r>
          </w:p>
        </w:tc>
        <w:tc>
          <w:tcPr>
            <w:tcW w:w="2915" w:type="dxa"/>
            <w:tcBorders>
              <w:top w:val="single" w:color="auto" w:sz="8" w:space="0"/>
            </w:tcBorders>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型号和规格</w:t>
            </w:r>
          </w:p>
        </w:tc>
        <w:tc>
          <w:tcPr>
            <w:tcW w:w="1140" w:type="dxa"/>
            <w:tcBorders>
              <w:top w:val="single" w:color="auto" w:sz="8" w:space="0"/>
            </w:tcBorders>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单位</w:t>
            </w:r>
          </w:p>
        </w:tc>
        <w:tc>
          <w:tcPr>
            <w:tcW w:w="1048" w:type="dxa"/>
            <w:tcBorders>
              <w:top w:val="single" w:color="auto" w:sz="8" w:space="0"/>
            </w:tcBorders>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446" w:hRule="atLeast"/>
          <w:jc w:val="center"/>
        </w:trPr>
        <w:tc>
          <w:tcPr>
            <w:tcW w:w="1159" w:type="dxa"/>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w:t>
            </w:r>
          </w:p>
        </w:tc>
        <w:tc>
          <w:tcPr>
            <w:tcW w:w="2980" w:type="dxa"/>
            <w:noWrap w:val="0"/>
            <w:vAlign w:val="center"/>
          </w:tcPr>
          <w:p>
            <w:pPr>
              <w:topLinePunct/>
              <w:jc w:val="center"/>
              <w:rPr>
                <w:rFonts w:hint="eastAsia" w:ascii="Times New Roman" w:hAnsi="Times New Roman" w:eastAsia="宋体" w:cs="宋体"/>
                <w:color w:val="auto"/>
                <w:sz w:val="21"/>
                <w:szCs w:val="21"/>
                <w:highlight w:val="none"/>
              </w:rPr>
            </w:pPr>
          </w:p>
        </w:tc>
        <w:tc>
          <w:tcPr>
            <w:tcW w:w="2915" w:type="dxa"/>
            <w:noWrap w:val="0"/>
            <w:vAlign w:val="center"/>
          </w:tcPr>
          <w:p>
            <w:pPr>
              <w:topLinePunct/>
              <w:jc w:val="center"/>
              <w:rPr>
                <w:rFonts w:hint="eastAsia" w:ascii="Times New Roman" w:hAnsi="Times New Roman" w:eastAsia="宋体" w:cs="宋体"/>
                <w:color w:val="auto"/>
                <w:sz w:val="21"/>
                <w:szCs w:val="21"/>
                <w:highlight w:val="none"/>
              </w:rPr>
            </w:pPr>
          </w:p>
        </w:tc>
        <w:tc>
          <w:tcPr>
            <w:tcW w:w="1140" w:type="dxa"/>
            <w:noWrap w:val="0"/>
            <w:vAlign w:val="center"/>
          </w:tcPr>
          <w:p>
            <w:pPr>
              <w:topLinePunct/>
              <w:jc w:val="center"/>
              <w:rPr>
                <w:rFonts w:hint="eastAsia" w:ascii="Times New Roman" w:hAnsi="Times New Roman" w:eastAsia="宋体" w:cs="宋体"/>
                <w:color w:val="auto"/>
                <w:sz w:val="21"/>
                <w:szCs w:val="21"/>
                <w:highlight w:val="none"/>
              </w:rPr>
            </w:pPr>
          </w:p>
        </w:tc>
        <w:tc>
          <w:tcPr>
            <w:tcW w:w="1048" w:type="dxa"/>
            <w:noWrap w:val="0"/>
            <w:vAlign w:val="center"/>
          </w:tcPr>
          <w:p>
            <w:pPr>
              <w:topLinePunct/>
              <w:jc w:val="center"/>
              <w:rPr>
                <w:rFonts w:hint="eastAsia" w:ascii="Times New Roman" w:hAnsi="Times New Roman"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418" w:hRule="atLeast"/>
          <w:jc w:val="center"/>
        </w:trPr>
        <w:tc>
          <w:tcPr>
            <w:tcW w:w="1159" w:type="dxa"/>
            <w:noWrap w:val="0"/>
            <w:vAlign w:val="center"/>
          </w:tcPr>
          <w:p>
            <w:pPr>
              <w:topLinePunct/>
              <w:jc w:val="center"/>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2</w:t>
            </w:r>
          </w:p>
        </w:tc>
        <w:tc>
          <w:tcPr>
            <w:tcW w:w="2980" w:type="dxa"/>
            <w:noWrap w:val="0"/>
            <w:vAlign w:val="center"/>
          </w:tcPr>
          <w:p>
            <w:pPr>
              <w:topLinePunct/>
              <w:jc w:val="center"/>
              <w:rPr>
                <w:rFonts w:hint="eastAsia" w:ascii="Times New Roman" w:hAnsi="Times New Roman" w:eastAsia="宋体" w:cs="宋体"/>
                <w:color w:val="auto"/>
                <w:sz w:val="21"/>
                <w:szCs w:val="21"/>
                <w:highlight w:val="none"/>
              </w:rPr>
            </w:pPr>
          </w:p>
        </w:tc>
        <w:tc>
          <w:tcPr>
            <w:tcW w:w="2915" w:type="dxa"/>
            <w:noWrap w:val="0"/>
            <w:vAlign w:val="center"/>
          </w:tcPr>
          <w:p>
            <w:pPr>
              <w:topLinePunct/>
              <w:jc w:val="center"/>
              <w:rPr>
                <w:rFonts w:hint="eastAsia" w:ascii="Times New Roman" w:hAnsi="Times New Roman" w:eastAsia="宋体" w:cs="宋体"/>
                <w:color w:val="auto"/>
                <w:sz w:val="21"/>
                <w:szCs w:val="21"/>
                <w:highlight w:val="none"/>
              </w:rPr>
            </w:pPr>
          </w:p>
        </w:tc>
        <w:tc>
          <w:tcPr>
            <w:tcW w:w="1140" w:type="dxa"/>
            <w:noWrap w:val="0"/>
            <w:vAlign w:val="center"/>
          </w:tcPr>
          <w:p>
            <w:pPr>
              <w:topLinePunct/>
              <w:jc w:val="center"/>
              <w:rPr>
                <w:rFonts w:hint="eastAsia" w:ascii="Times New Roman" w:hAnsi="Times New Roman" w:eastAsia="宋体" w:cs="宋体"/>
                <w:color w:val="auto"/>
                <w:sz w:val="21"/>
                <w:szCs w:val="21"/>
                <w:highlight w:val="none"/>
              </w:rPr>
            </w:pPr>
          </w:p>
        </w:tc>
        <w:tc>
          <w:tcPr>
            <w:tcW w:w="1048" w:type="dxa"/>
            <w:noWrap w:val="0"/>
            <w:vAlign w:val="center"/>
          </w:tcPr>
          <w:p>
            <w:pPr>
              <w:topLinePunct/>
              <w:jc w:val="center"/>
              <w:rPr>
                <w:rFonts w:hint="eastAsia" w:ascii="Times New Roman" w:hAnsi="Times New Roman" w:eastAsia="宋体" w:cs="宋体"/>
                <w:color w:val="auto"/>
                <w:sz w:val="21"/>
                <w:szCs w:val="21"/>
                <w:highlight w:val="none"/>
              </w:rPr>
            </w:pPr>
          </w:p>
        </w:tc>
      </w:tr>
    </w:tbl>
    <w:p>
      <w:pPr>
        <w:keepNext/>
        <w:keepLines/>
        <w:pageBreakBefore w:val="0"/>
        <w:widowControl w:val="0"/>
        <w:numPr>
          <w:ilvl w:val="0"/>
          <w:numId w:val="0"/>
        </w:numPr>
        <w:kinsoku/>
        <w:wordWrap/>
        <w:overflowPunct/>
        <w:topLinePunct/>
        <w:bidi w:val="0"/>
        <w:snapToGrid/>
        <w:spacing w:line="400" w:lineRule="exact"/>
        <w:ind w:firstLine="420"/>
        <w:jc w:val="both"/>
        <w:textAlignment w:val="baseline"/>
        <w:outlineLvl w:val="0"/>
        <w:rPr>
          <w:rFonts w:hint="eastAsia" w:ascii="Times New Roman" w:hAnsi="Times New Roman" w:eastAsia="宋体" w:cs="宋体"/>
          <w:color w:val="auto"/>
          <w:kern w:val="44"/>
          <w:sz w:val="21"/>
          <w:szCs w:val="21"/>
          <w:highlight w:val="none"/>
          <w:lang w:val="en-US" w:eastAsia="zh-CN" w:bidi="ar-SA"/>
        </w:rPr>
      </w:pPr>
      <w:bookmarkStart w:id="248" w:name="_Toc296962423"/>
      <w:bookmarkStart w:id="249" w:name="_Toc282421446"/>
      <w:bookmarkStart w:id="250" w:name="_Toc282433727"/>
      <w:bookmarkStart w:id="251" w:name="_Toc283011679"/>
      <w:bookmarkStart w:id="252" w:name="_Toc16931"/>
      <w:bookmarkStart w:id="253" w:name="_Toc283142602"/>
      <w:bookmarkStart w:id="254" w:name="_Toc282420857"/>
      <w:bookmarkStart w:id="255" w:name="_Toc5760"/>
      <w:bookmarkStart w:id="256" w:name="_Toc27570_WPSOffice_Level1"/>
      <w:bookmarkStart w:id="257" w:name="_Toc24500"/>
      <w:bookmarkStart w:id="258" w:name="_Toc30400"/>
      <w:r>
        <w:rPr>
          <w:rFonts w:hint="eastAsia" w:ascii="Times New Roman" w:hAnsi="Times New Roman" w:eastAsia="宋体" w:cs="宋体"/>
          <w:b/>
          <w:bCs/>
          <w:snapToGrid w:val="0"/>
          <w:color w:val="auto"/>
          <w:kern w:val="0"/>
          <w:sz w:val="21"/>
          <w:szCs w:val="21"/>
          <w:highlight w:val="none"/>
          <w:lang w:val="en-US" w:eastAsia="zh-CN" w:bidi="ar-SA"/>
        </w:rPr>
        <w:t>14</w:t>
      </w:r>
      <w:bookmarkEnd w:id="248"/>
      <w:bookmarkEnd w:id="249"/>
      <w:bookmarkEnd w:id="250"/>
      <w:bookmarkEnd w:id="251"/>
      <w:bookmarkEnd w:id="252"/>
      <w:bookmarkEnd w:id="253"/>
      <w:bookmarkEnd w:id="254"/>
      <w:r>
        <w:rPr>
          <w:rFonts w:hint="eastAsia" w:ascii="Times New Roman" w:hAnsi="Times New Roman" w:eastAsia="宋体" w:cs="宋体"/>
          <w:b/>
          <w:bCs/>
          <w:snapToGrid w:val="0"/>
          <w:color w:val="auto"/>
          <w:kern w:val="0"/>
          <w:sz w:val="21"/>
          <w:szCs w:val="21"/>
          <w:highlight w:val="none"/>
          <w:lang w:val="en-US" w:eastAsia="zh-CN" w:bidi="ar-SA"/>
        </w:rPr>
        <w:t xml:space="preserve">  </w:t>
      </w:r>
      <w:r>
        <w:rPr>
          <w:rFonts w:hint="eastAsia" w:ascii="Times New Roman" w:hAnsi="Times New Roman" w:eastAsia="宋体" w:cs="宋体"/>
          <w:b/>
          <w:color w:val="auto"/>
          <w:kern w:val="44"/>
          <w:sz w:val="21"/>
          <w:szCs w:val="21"/>
          <w:highlight w:val="none"/>
          <w:lang w:val="en-US" w:eastAsia="zh-CN" w:bidi="ar-SA"/>
        </w:rPr>
        <w:t>投标技术偏差表格</w:t>
      </w:r>
      <w:bookmarkEnd w:id="255"/>
      <w:bookmarkEnd w:id="256"/>
      <w:bookmarkEnd w:id="257"/>
      <w:bookmarkEnd w:id="258"/>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 w:val="21"/>
          <w:szCs w:val="21"/>
          <w:highlight w:val="none"/>
          <w:lang w:val="en-US" w:eastAsia="zh-CN"/>
        </w:rPr>
        <w:t>14.1 投标人应完全阅读并理解</w:t>
      </w:r>
      <w:r>
        <w:rPr>
          <w:rFonts w:hint="eastAsia" w:ascii="Times New Roman" w:hAnsi="Times New Roman" w:eastAsia="宋体" w:cs="Times New Roman"/>
          <w:color w:val="auto"/>
          <w:szCs w:val="21"/>
          <w:highlight w:val="none"/>
          <w:lang w:val="en-US" w:eastAsia="zh-CN"/>
        </w:rPr>
        <w:t>技术规范书的要求后如实填写此表，内容必须真实准确。此表将纳入合同签订范围，所作出的承诺将在合同履约阶段严格执行，若在合同履约过程中发现技术偏差超出此表承诺范围，影响合同履行的，一经查实将取消本次供货资格，招标人将追究投标人的违约责任，并按照中国南方电网有限责任公司供应商管理办法、供货商扣分处罚实施细则进行处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14.2 若投标人满足、优于或低于技术规范书要求，存在正偏差/负偏差的，无论差异如何，均须按照表1要求，按技术规范书条目号顺序如实填写，投标人不得修改已列明的主要基础技术参数序号及内容；投标人若有需要补充的可在表</w:t>
      </w:r>
      <w:r>
        <w:rPr>
          <w:rFonts w:hint="eastAsia" w:ascii="Times New Roman" w:hAnsi="Times New Roman" w:cs="Times New Roman"/>
          <w:color w:val="auto"/>
          <w:szCs w:val="21"/>
          <w:highlight w:val="none"/>
          <w:lang w:val="en-US" w:eastAsia="zh-CN"/>
        </w:rPr>
        <w:t>6</w:t>
      </w:r>
      <w:r>
        <w:rPr>
          <w:rFonts w:hint="eastAsia" w:ascii="Times New Roman" w:hAnsi="Times New Roman" w:eastAsia="宋体" w:cs="Times New Roman"/>
          <w:color w:val="auto"/>
          <w:szCs w:val="21"/>
          <w:highlight w:val="none"/>
          <w:lang w:val="en-US" w:eastAsia="zh-CN"/>
        </w:rPr>
        <w:t>投标技术偏差表格（技术规范书要求）中“25.其他”补充相应内容。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14.3 存在偏差但超出技术规范书要求需要补充说明的，在表</w:t>
      </w:r>
      <w:r>
        <w:rPr>
          <w:rFonts w:hint="eastAsia" w:ascii="Times New Roman" w:hAnsi="Times New Roman" w:cs="Times New Roman"/>
          <w:color w:val="auto"/>
          <w:szCs w:val="21"/>
          <w:highlight w:val="none"/>
          <w:lang w:val="en-US" w:eastAsia="zh-CN"/>
        </w:rPr>
        <w:t>7</w:t>
      </w:r>
      <w:r>
        <w:rPr>
          <w:rFonts w:hint="eastAsia" w:ascii="Times New Roman" w:hAnsi="Times New Roman" w:eastAsia="宋体" w:cs="Times New Roman"/>
          <w:color w:val="auto"/>
          <w:szCs w:val="21"/>
          <w:highlight w:val="none"/>
          <w:lang w:val="en-US" w:eastAsia="zh-CN"/>
        </w:rPr>
        <w:t>中增加。</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14.4 关键技术参数优于技术规范书要求的，必须在投标技术偏差表</w:t>
      </w:r>
      <w:r>
        <w:rPr>
          <w:rFonts w:hint="eastAsia" w:ascii="Times New Roman" w:hAnsi="Times New Roman" w:cs="Times New Roman"/>
          <w:color w:val="auto"/>
          <w:szCs w:val="21"/>
          <w:highlight w:val="none"/>
          <w:lang w:val="en-US" w:eastAsia="zh-CN"/>
        </w:rPr>
        <w:t>6</w:t>
      </w:r>
      <w:r>
        <w:rPr>
          <w:rFonts w:hint="eastAsia" w:ascii="Times New Roman" w:hAnsi="Times New Roman" w:eastAsia="宋体" w:cs="Times New Roman"/>
          <w:color w:val="auto"/>
          <w:szCs w:val="21"/>
          <w:highlight w:val="none"/>
          <w:lang w:val="en-US" w:eastAsia="zh-CN"/>
        </w:rPr>
        <w:t>中一一列明，未在该表格中列明而是在投标文件其他地方罗列的不加分，对于所列优于项未提供有效试验报告及相关证明材料加以佐证的不加分，优于项必须填写证明文件在投标文件中的定位页码，对于虚假承诺或未提供证明文件的不加分，优于项重复罗列的不加分，对于未填写证明文件定位页码的在投标文件响应方面进行扣分。</w:t>
      </w:r>
    </w:p>
    <w:p>
      <w:pPr>
        <w:pageBreakBefore w:val="0"/>
        <w:widowControl w:val="0"/>
        <w:kinsoku/>
        <w:wordWrap/>
        <w:overflowPunct/>
        <w:autoSpaceDE w:val="0"/>
        <w:autoSpaceDN w:val="0"/>
        <w:bidi w:val="0"/>
        <w:adjustRightInd w:val="0"/>
        <w:snapToGrid/>
        <w:spacing w:line="400" w:lineRule="exact"/>
        <w:ind w:right="27"/>
        <w:jc w:val="center"/>
        <w:rPr>
          <w:rFonts w:hint="eastAsia" w:ascii="Times New Roman" w:hAnsi="Times New Roman" w:eastAsia="宋体" w:cs="仿宋"/>
          <w:b/>
          <w:bCs/>
          <w:color w:val="auto"/>
          <w:kern w:val="2"/>
          <w:sz w:val="21"/>
          <w:szCs w:val="20"/>
          <w:highlight w:val="none"/>
          <w:lang w:val="zh-CN" w:eastAsia="zh-CN" w:bidi="ar-SA"/>
        </w:rPr>
      </w:pPr>
      <w:bookmarkStart w:id="259" w:name="_Toc31469_WPSOffice_Level1"/>
      <w:r>
        <w:rPr>
          <w:rFonts w:hint="eastAsia" w:ascii="Times New Roman" w:hAnsi="Times New Roman" w:eastAsia="宋体" w:cs="宋体"/>
          <w:b/>
          <w:bCs/>
          <w:color w:val="auto"/>
          <w:kern w:val="2"/>
          <w:sz w:val="21"/>
          <w:szCs w:val="20"/>
          <w:highlight w:val="none"/>
          <w:lang w:val="zh-CN" w:eastAsia="zh-CN" w:bidi="ar-SA"/>
        </w:rPr>
        <w:t>表</w:t>
      </w:r>
      <w:r>
        <w:rPr>
          <w:rFonts w:hint="eastAsia" w:ascii="Times New Roman" w:hAnsi="Times New Roman" w:cs="宋体"/>
          <w:b/>
          <w:bCs/>
          <w:color w:val="auto"/>
          <w:kern w:val="2"/>
          <w:sz w:val="21"/>
          <w:szCs w:val="20"/>
          <w:highlight w:val="none"/>
          <w:lang w:val="en-US" w:eastAsia="zh-CN" w:bidi="ar-SA"/>
        </w:rPr>
        <w:t xml:space="preserve">6 </w:t>
      </w:r>
      <w:r>
        <w:rPr>
          <w:rFonts w:hint="eastAsia" w:ascii="Times New Roman" w:hAnsi="Times New Roman" w:eastAsia="宋体" w:cs="宋体"/>
          <w:b/>
          <w:bCs/>
          <w:color w:val="auto"/>
          <w:kern w:val="2"/>
          <w:sz w:val="21"/>
          <w:szCs w:val="20"/>
          <w:highlight w:val="none"/>
          <w:lang w:val="zh-CN" w:eastAsia="zh-CN" w:bidi="ar-SA"/>
        </w:rPr>
        <w:t>投标技术偏差表格（技术规范书要求）</w:t>
      </w:r>
      <w:bookmarkEnd w:id="259"/>
    </w:p>
    <w:tbl>
      <w:tblPr>
        <w:tblStyle w:val="4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3"/>
        <w:gridCol w:w="934"/>
        <w:gridCol w:w="2943"/>
        <w:gridCol w:w="1272"/>
        <w:gridCol w:w="1147"/>
        <w:gridCol w:w="1486"/>
        <w:gridCol w:w="8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序号</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bCs/>
                <w:i w:val="0"/>
                <w:iCs w:val="0"/>
                <w:color w:val="auto"/>
                <w:sz w:val="21"/>
                <w:szCs w:val="21"/>
                <w:highlight w:val="none"/>
                <w:u w:val="none"/>
                <w:lang w:val="en-US"/>
              </w:rPr>
            </w:pPr>
            <w:r>
              <w:rPr>
                <w:rFonts w:hint="eastAsia" w:ascii="Times New Roman" w:hAnsi="Times New Roman" w:eastAsia="宋体" w:cs="宋体"/>
                <w:b/>
                <w:bCs/>
                <w:i w:val="0"/>
                <w:iCs w:val="0"/>
                <w:color w:val="auto"/>
                <w:kern w:val="0"/>
                <w:sz w:val="21"/>
                <w:szCs w:val="21"/>
                <w:highlight w:val="none"/>
                <w:u w:val="none"/>
                <w:lang w:val="en-US" w:eastAsia="zh-CN" w:bidi="ar"/>
              </w:rPr>
              <w:t>主要技术要求</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项目单位要求值</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投标人响应值</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偏差情况（正偏差/负偏差/满足）</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证明文件定位</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w:t>
            </w:r>
          </w:p>
        </w:tc>
        <w:tc>
          <w:tcPr>
            <w:tcW w:w="506"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电压调节功能</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装置应具备自动调节、手动调节等控制模式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2</w:t>
            </w:r>
          </w:p>
        </w:tc>
        <w:tc>
          <w:tcPr>
            <w:tcW w:w="506"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rPr>
              <w:t>自动调节模式下，应自动跟踪输出电压变化调整分接开关档位、识别潮流方向，确保输出端电压稳定在预设范围</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3</w:t>
            </w:r>
          </w:p>
        </w:tc>
        <w:tc>
          <w:tcPr>
            <w:tcW w:w="506"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手动调节模式下，装置可根据就地或远方执行调整分接开关档位指令</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4</w:t>
            </w:r>
          </w:p>
        </w:tc>
        <w:tc>
          <w:tcPr>
            <w:tcW w:w="506"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保护和告警功能</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i w:val="0"/>
                <w:iCs w:val="0"/>
                <w:color w:val="auto"/>
                <w:kern w:val="0"/>
                <w:sz w:val="18"/>
                <w:szCs w:val="18"/>
                <w:highlight w:val="none"/>
                <w:u w:val="none"/>
                <w:lang w:val="en-US" w:eastAsia="zh-CN" w:bidi="ar"/>
              </w:rPr>
              <w:t>具备以下保护功能：过流保护、过负荷保护、低电压保护、过电压保护、失压保护、瓦斯保护、过温保护、日动作次数限制保护。</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5</w:t>
            </w:r>
          </w:p>
        </w:tc>
        <w:tc>
          <w:tcPr>
            <w:tcW w:w="506"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lang w:val="en-US" w:eastAsia="zh-CN"/>
              </w:rPr>
              <w:t>具备断电保护功能：当线路电压中断后恢复供电时，控制器应采取相应的措施，避免调压器在高档位时突然得电造成的高电压。</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6</w:t>
            </w:r>
          </w:p>
        </w:tc>
        <w:tc>
          <w:tcPr>
            <w:tcW w:w="506" w:type="pct"/>
            <w:vMerge w:val="continue"/>
            <w:tcBorders>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保护可动作于旁路、告警，保护定值和延时可根据实际需求设置</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7</w:t>
            </w:r>
          </w:p>
        </w:tc>
        <w:tc>
          <w:tcPr>
            <w:tcW w:w="506"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监测功能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lang w:val="en-US" w:eastAsia="zh-CN"/>
              </w:rPr>
              <w:t>应具备以下监测功能：</w:t>
            </w:r>
          </w:p>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lang w:val="en-US" w:eastAsia="zh-CN"/>
              </w:rPr>
              <w:t>1）断路器位置、自动/手动/旁路等工作模式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8</w:t>
            </w:r>
          </w:p>
        </w:tc>
        <w:tc>
          <w:tcPr>
            <w:tcW w:w="506"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lang w:val="en-US" w:eastAsia="zh-CN"/>
              </w:rPr>
              <w:t>2）输入侧和输出侧电压、电流、有功功率、无功功率、功率因数</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9</w:t>
            </w:r>
          </w:p>
        </w:tc>
        <w:tc>
          <w:tcPr>
            <w:tcW w:w="506"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lang w:val="en-US" w:eastAsia="zh-CN"/>
              </w:rPr>
              <w:t>3）输入侧和输出侧，电压、电流的正序、负序和零序分量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10</w:t>
            </w:r>
          </w:p>
        </w:tc>
        <w:tc>
          <w:tcPr>
            <w:tcW w:w="506"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lang w:val="en-US" w:eastAsia="zh-CN"/>
              </w:rPr>
              <w:t>4）分接开关当前位置</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11</w:t>
            </w:r>
          </w:p>
        </w:tc>
        <w:tc>
          <w:tcPr>
            <w:tcW w:w="506"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lang w:val="en-US" w:eastAsia="zh-CN"/>
              </w:rPr>
              <w:t>监测数据保存时间不少于1年，数据间隔为3分钟</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12</w:t>
            </w:r>
          </w:p>
        </w:tc>
        <w:tc>
          <w:tcPr>
            <w:tcW w:w="506"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事件记录与故障录波功能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lang w:val="en-US" w:eastAsia="zh-CN"/>
              </w:rPr>
              <w:t>保护和告警的类型和时刻、当前档位、SOE</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13</w:t>
            </w:r>
          </w:p>
        </w:tc>
        <w:tc>
          <w:tcPr>
            <w:tcW w:w="506"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lang w:val="en-US" w:eastAsia="zh-CN"/>
              </w:rPr>
              <w:t>录波功能启动条件包括过流故障、线路失压、零序电压、零序电流突变等，可远方及就地设定启动条件参数</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14</w:t>
            </w:r>
          </w:p>
        </w:tc>
        <w:tc>
          <w:tcPr>
            <w:tcW w:w="506"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lang w:val="en-US" w:eastAsia="zh-CN"/>
              </w:rPr>
              <w:t>录波文件格式遵循Comtrade1999标准中定义的格式，采用CFG（配置文件，ASCII文本）和DAT（数据文件，二进制格式）两个文件</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15</w:t>
            </w:r>
          </w:p>
        </w:tc>
        <w:tc>
          <w:tcPr>
            <w:tcW w:w="506"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color w:val="auto"/>
                <w:sz w:val="18"/>
                <w:szCs w:val="18"/>
                <w:highlight w:val="none"/>
              </w:rPr>
              <w:t>通信功能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rPr>
              <w:t>应支持4G、光纤等通信方式，实现遥信、遥测、遥控功能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cs="宋体"/>
                <w:b w:val="0"/>
                <w:bCs w:val="0"/>
                <w:i w:val="0"/>
                <w:iCs w:val="0"/>
                <w:color w:val="auto"/>
                <w:kern w:val="0"/>
                <w:sz w:val="18"/>
                <w:szCs w:val="18"/>
                <w:highlight w:val="none"/>
                <w:u w:val="none"/>
                <w:lang w:val="en-US" w:eastAsia="zh-CN" w:bidi="ar"/>
              </w:rPr>
              <w:t>16</w:t>
            </w:r>
          </w:p>
        </w:tc>
        <w:tc>
          <w:tcPr>
            <w:tcW w:w="506"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color w:val="auto"/>
                <w:sz w:val="18"/>
                <w:szCs w:val="18"/>
                <w:highlight w:val="none"/>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color w:val="auto"/>
                <w:highlight w:val="none"/>
              </w:rPr>
            </w:pPr>
            <w:r>
              <w:rPr>
                <w:rFonts w:hint="eastAsia" w:ascii="Times New Roman" w:hAnsi="Times New Roman" w:eastAsia="宋体" w:cs="宋体"/>
                <w:color w:val="auto"/>
                <w:sz w:val="18"/>
                <w:szCs w:val="18"/>
                <w:highlight w:val="none"/>
              </w:rPr>
              <w:t>★</w:t>
            </w:r>
            <w:r>
              <w:rPr>
                <w:rFonts w:hint="eastAsia" w:ascii="Times New Roman" w:hAnsi="Times New Roman" w:eastAsia="宋体" w:cs="宋体"/>
                <w:color w:val="auto"/>
                <w:sz w:val="18"/>
                <w:szCs w:val="18"/>
                <w:highlight w:val="none"/>
                <w:lang w:val="en-US" w:eastAsia="zh-CN"/>
              </w:rPr>
              <w:t>具备与云南电网配网自动化系统通讯功能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w:t>
            </w:r>
            <w:r>
              <w:rPr>
                <w:rFonts w:hint="eastAsia" w:ascii="Times New Roman" w:hAnsi="Times New Roman" w:cs="宋体"/>
                <w:b w:val="0"/>
                <w:bCs w:val="0"/>
                <w:i w:val="0"/>
                <w:iCs w:val="0"/>
                <w:color w:val="auto"/>
                <w:kern w:val="0"/>
                <w:sz w:val="18"/>
                <w:szCs w:val="18"/>
                <w:highlight w:val="none"/>
                <w:u w:val="none"/>
                <w:lang w:val="en-US" w:eastAsia="zh-CN" w:bidi="ar"/>
              </w:rPr>
              <w:t>7</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对时功能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lang w:val="en-US" w:eastAsia="zh-CN"/>
              </w:rPr>
            </w:pPr>
            <w:r>
              <w:rPr>
                <w:rFonts w:hint="eastAsia" w:ascii="Times New Roman" w:hAnsi="Times New Roman" w:eastAsia="宋体" w:cs="宋体"/>
                <w:b w:val="0"/>
                <w:bCs w:val="0"/>
                <w:color w:val="auto"/>
                <w:sz w:val="18"/>
                <w:szCs w:val="18"/>
                <w:highlight w:val="none"/>
              </w:rPr>
              <w:t>具备主站时钟校时功能，支持北斗、GPS和运营商对时功能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18</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color w:val="auto"/>
                <w:sz w:val="18"/>
                <w:szCs w:val="18"/>
                <w:highlight w:val="none"/>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rPr>
              <w:t>输出电压偏差</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numPr>
                <w:ilvl w:val="255"/>
                <w:numId w:val="0"/>
              </w:numPr>
              <w:kinsoku/>
              <w:wordWrap/>
              <w:overflowPunct/>
              <w:topLinePunct w:val="0"/>
              <w:autoSpaceDE/>
              <w:autoSpaceDN/>
              <w:bidi w:val="0"/>
              <w:adjustRightInd w:val="0"/>
              <w:snapToGrid w:val="0"/>
              <w:spacing w:line="360" w:lineRule="auto"/>
              <w:textAlignment w:val="auto"/>
              <w:rPr>
                <w:rFonts w:hint="eastAsia" w:ascii="Times New Roman" w:hAnsi="Times New Roman" w:eastAsia="宋体" w:cs="宋体"/>
                <w:b w:val="0"/>
                <w:bCs w:val="0"/>
                <w:color w:val="auto"/>
                <w:sz w:val="18"/>
                <w:szCs w:val="18"/>
                <w:highlight w:val="none"/>
              </w:rPr>
            </w:pPr>
            <w:r>
              <w:rPr>
                <w:rFonts w:hint="eastAsia" w:ascii="Times New Roman" w:hAnsi="Times New Roman" w:eastAsia="宋体" w:cs="宋体"/>
                <w:b w:val="0"/>
                <w:bCs w:val="0"/>
                <w:color w:val="auto"/>
                <w:sz w:val="18"/>
                <w:szCs w:val="18"/>
                <w:highlight w:val="none"/>
              </w:rPr>
              <w:t>输出电压偏差≤±</w:t>
            </w:r>
            <w:r>
              <w:rPr>
                <w:rFonts w:hint="eastAsia" w:ascii="Times New Roman" w:hAnsi="Times New Roman" w:eastAsia="宋体" w:cs="宋体"/>
                <w:b w:val="0"/>
                <w:bCs w:val="0"/>
                <w:color w:val="auto"/>
                <w:sz w:val="18"/>
                <w:szCs w:val="18"/>
                <w:highlight w:val="none"/>
                <w:lang w:val="en-US" w:eastAsia="zh-CN"/>
              </w:rPr>
              <w:t>5</w:t>
            </w:r>
            <w:r>
              <w:rPr>
                <w:rFonts w:hint="eastAsia" w:ascii="Times New Roman" w:hAnsi="Times New Roman" w:eastAsia="宋体" w:cs="宋体"/>
                <w:b w:val="0"/>
                <w:bCs w:val="0"/>
                <w:color w:val="auto"/>
                <w:sz w:val="18"/>
                <w:szCs w:val="18"/>
                <w:highlight w:val="none"/>
              </w:rPr>
              <w:t>%</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iCs w:val="0"/>
                <w:color w:val="auto"/>
                <w:kern w:val="0"/>
                <w:sz w:val="18"/>
                <w:szCs w:val="18"/>
                <w:highlight w:val="none"/>
                <w:u w:val="none"/>
                <w:lang w:val="en-US" w:eastAsia="zh-CN" w:bidi="ar"/>
              </w:rPr>
              <w:t>19</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color w:val="auto"/>
                <w:sz w:val="18"/>
                <w:szCs w:val="18"/>
                <w:highlight w:val="none"/>
              </w:rPr>
            </w:pPr>
            <w:r>
              <w:rPr>
                <w:rFonts w:hint="eastAsia" w:ascii="Times New Roman" w:hAnsi="Times New Roman" w:eastAsia="宋体" w:cs="宋体"/>
                <w:color w:val="auto"/>
                <w:highlight w:val="none"/>
              </w:rPr>
              <w:t>★</w:t>
            </w:r>
            <w:r>
              <w:rPr>
                <w:rFonts w:hint="eastAsia" w:ascii="Times New Roman" w:hAnsi="Times New Roman" w:eastAsia="宋体" w:cs="宋体"/>
                <w:b w:val="0"/>
                <w:bCs w:val="0"/>
                <w:color w:val="auto"/>
                <w:sz w:val="18"/>
                <w:szCs w:val="18"/>
                <w:highlight w:val="none"/>
              </w:rPr>
              <w:t>旁路时间</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宋体" w:cs="宋体"/>
                <w:b w:val="0"/>
                <w:bCs w:val="0"/>
                <w:color w:val="auto"/>
                <w:sz w:val="18"/>
                <w:szCs w:val="18"/>
                <w:highlight w:val="none"/>
              </w:rPr>
            </w:pPr>
            <w:r>
              <w:rPr>
                <w:rFonts w:hint="eastAsia" w:ascii="Times New Roman" w:hAnsi="Times New Roman" w:eastAsia="宋体" w:cs="宋体"/>
                <w:b w:val="0"/>
                <w:bCs w:val="0"/>
                <w:color w:val="auto"/>
                <w:sz w:val="18"/>
                <w:szCs w:val="18"/>
                <w:highlight w:val="none"/>
              </w:rPr>
              <w:t>调压装置的旁路间断时间应小于</w:t>
            </w:r>
            <w:r>
              <w:rPr>
                <w:rFonts w:hint="eastAsia" w:ascii="Times New Roman" w:hAnsi="Times New Roman" w:eastAsia="宋体" w:cs="宋体"/>
                <w:b w:val="0"/>
                <w:bCs w:val="0"/>
                <w:color w:val="auto"/>
                <w:sz w:val="18"/>
                <w:szCs w:val="18"/>
                <w:highlight w:val="none"/>
                <w:lang w:val="en-US" w:eastAsia="zh-CN"/>
              </w:rPr>
              <w:t>1</w:t>
            </w:r>
            <w:r>
              <w:rPr>
                <w:rFonts w:hint="eastAsia" w:ascii="Times New Roman" w:hAnsi="Times New Roman" w:eastAsia="宋体" w:cs="宋体"/>
                <w:b w:val="0"/>
                <w:bCs w:val="0"/>
                <w:color w:val="auto"/>
                <w:sz w:val="18"/>
                <w:szCs w:val="18"/>
                <w:highlight w:val="none"/>
              </w:rPr>
              <w:t>s</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宋体"/>
                <w:b w:val="0"/>
                <w:bCs w:val="0"/>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iCs w:val="0"/>
                <w:color w:val="auto"/>
                <w:kern w:val="0"/>
                <w:sz w:val="18"/>
                <w:szCs w:val="21"/>
                <w:highlight w:val="none"/>
                <w:u w:val="none"/>
                <w:lang w:val="en-US" w:eastAsia="zh-CN" w:bidi="ar"/>
              </w:rPr>
              <w:t>20</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s="黑体"/>
                <w:b w:val="0"/>
                <w:bCs w:val="0"/>
                <w:color w:val="auto"/>
                <w:sz w:val="18"/>
                <w:highlight w:val="none"/>
                <w:lang w:val="en-US" w:eastAsia="zh-CN"/>
              </w:rPr>
            </w:pPr>
            <w:r>
              <w:rPr>
                <w:rFonts w:hint="eastAsia" w:ascii="Times New Roman" w:hAnsi="Times New Roman" w:eastAsia="宋体" w:cs="黑体"/>
                <w:b w:val="0"/>
                <w:bCs w:val="0"/>
                <w:color w:val="auto"/>
                <w:sz w:val="18"/>
                <w:highlight w:val="none"/>
              </w:rPr>
              <w:t>输出电压不平衡度</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b w:val="0"/>
                <w:bCs w:val="0"/>
                <w:color w:val="auto"/>
                <w:sz w:val="18"/>
                <w:highlight w:val="none"/>
              </w:rPr>
            </w:pPr>
            <w:r>
              <w:rPr>
                <w:rFonts w:hint="eastAsia" w:ascii="Times New Roman" w:hAnsi="Times New Roman" w:eastAsia="宋体" w:cs="Times New Roman"/>
                <w:b w:val="0"/>
                <w:bCs w:val="0"/>
                <w:color w:val="auto"/>
                <w:sz w:val="18"/>
                <w:highlight w:val="none"/>
              </w:rPr>
              <w:t>三相电压不平衡度：正常运行时≤2%，短时≤4%</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iCs w:val="0"/>
                <w:color w:val="auto"/>
                <w:kern w:val="0"/>
                <w:sz w:val="18"/>
                <w:szCs w:val="21"/>
                <w:highlight w:val="none"/>
                <w:u w:val="none"/>
                <w:lang w:val="en-US" w:eastAsia="zh-CN" w:bidi="ar"/>
              </w:rPr>
              <w:t>21</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s="黑体"/>
                <w:b w:val="0"/>
                <w:bCs w:val="0"/>
                <w:color w:val="auto"/>
                <w:sz w:val="18"/>
                <w:highlight w:val="none"/>
              </w:rPr>
            </w:pPr>
            <w:r>
              <w:rPr>
                <w:rFonts w:hint="eastAsia" w:ascii="Times New Roman" w:hAnsi="Times New Roman" w:eastAsia="宋体" w:cs="黑体"/>
                <w:b w:val="0"/>
                <w:bCs w:val="0"/>
                <w:color w:val="auto"/>
                <w:sz w:val="18"/>
                <w:highlight w:val="none"/>
                <w:lang w:val="en-US" w:eastAsia="zh-CN"/>
              </w:rPr>
              <w:t>测量精度</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b w:val="0"/>
                <w:bCs w:val="0"/>
                <w:color w:val="auto"/>
                <w:sz w:val="18"/>
                <w:highlight w:val="none"/>
                <w:lang w:val="en-US" w:eastAsia="zh-CN"/>
              </w:rPr>
            </w:pPr>
            <w:r>
              <w:rPr>
                <w:rFonts w:hint="eastAsia" w:ascii="Times New Roman" w:hAnsi="Times New Roman" w:eastAsia="宋体" w:cs="Times New Roman"/>
                <w:b w:val="0"/>
                <w:bCs w:val="0"/>
                <w:color w:val="auto"/>
                <w:sz w:val="18"/>
                <w:highlight w:val="none"/>
              </w:rPr>
              <w:t>交流采样电压、电流：0.5级</w:t>
            </w:r>
            <w:r>
              <w:rPr>
                <w:rFonts w:hint="eastAsia" w:ascii="Times New Roman" w:hAnsi="Times New Roman" w:eastAsia="宋体" w:cs="Times New Roman"/>
                <w:b w:val="0"/>
                <w:bCs w:val="0"/>
                <w:color w:val="auto"/>
                <w:sz w:val="18"/>
                <w:highlight w:val="none"/>
                <w:lang w:eastAsia="zh-CN"/>
              </w:rPr>
              <w:t>；</w:t>
            </w:r>
          </w:p>
          <w:p>
            <w:pPr>
              <w:keepNext w:val="0"/>
              <w:keepLines w:val="0"/>
              <w:widowControl/>
              <w:suppressLineNumbers w:val="0"/>
              <w:jc w:val="left"/>
              <w:textAlignment w:val="center"/>
              <w:rPr>
                <w:rFonts w:hint="eastAsia" w:ascii="Times New Roman" w:hAnsi="Times New Roman" w:eastAsia="宋体" w:cs="Times New Roman"/>
                <w:b w:val="0"/>
                <w:bCs w:val="0"/>
                <w:color w:val="auto"/>
                <w:sz w:val="18"/>
                <w:highlight w:val="none"/>
              </w:rPr>
            </w:pPr>
            <w:r>
              <w:rPr>
                <w:rFonts w:hint="eastAsia" w:ascii="Times New Roman" w:hAnsi="Times New Roman" w:eastAsia="宋体" w:cs="Times New Roman"/>
                <w:b w:val="0"/>
                <w:bCs w:val="0"/>
                <w:color w:val="auto"/>
                <w:sz w:val="18"/>
                <w:highlight w:val="none"/>
              </w:rPr>
              <w:t>有功功率、无功功率：1.0级</w:t>
            </w:r>
            <w:r>
              <w:rPr>
                <w:rFonts w:hint="eastAsia" w:ascii="Times New Roman" w:hAnsi="Times New Roman" w:eastAsia="宋体" w:cs="Times New Roman"/>
                <w:b w:val="0"/>
                <w:bCs w:val="0"/>
                <w:color w:val="auto"/>
                <w:sz w:val="18"/>
                <w:highlight w:val="none"/>
                <w:lang w:eastAsia="zh-CN"/>
              </w:rPr>
              <w:t>；</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iCs w:val="0"/>
                <w:color w:val="auto"/>
                <w:kern w:val="0"/>
                <w:sz w:val="18"/>
                <w:szCs w:val="21"/>
                <w:highlight w:val="none"/>
                <w:u w:val="none"/>
                <w:lang w:val="en-US" w:eastAsia="zh-CN" w:bidi="ar"/>
              </w:rPr>
              <w:t>22</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黑体"/>
                <w:b w:val="0"/>
                <w:bCs w:val="0"/>
                <w:color w:val="auto"/>
                <w:kern w:val="2"/>
                <w:sz w:val="18"/>
                <w:szCs w:val="22"/>
                <w:highlight w:val="none"/>
                <w:lang w:val="en-US" w:eastAsia="zh-CN" w:bidi="ar-SA"/>
              </w:rPr>
            </w:pPr>
            <w:r>
              <w:rPr>
                <w:rFonts w:hint="eastAsia" w:ascii="Times New Roman" w:hAnsi="Times New Roman" w:eastAsia="宋体" w:cs="宋体"/>
                <w:color w:val="auto"/>
                <w:highlight w:val="none"/>
              </w:rPr>
              <w:t>★</w:t>
            </w:r>
            <w:r>
              <w:rPr>
                <w:rFonts w:hint="eastAsia" w:ascii="Times New Roman" w:hAnsi="Times New Roman" w:eastAsia="宋体" w:cs="黑体"/>
                <w:b w:val="0"/>
                <w:bCs w:val="0"/>
                <w:color w:val="auto"/>
                <w:sz w:val="18"/>
                <w:highlight w:val="none"/>
                <w:lang w:val="en-US" w:eastAsia="zh-CN"/>
              </w:rPr>
              <w:t>调压范围</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pPr>
              <w:widowControl/>
              <w:jc w:val="both"/>
              <w:textAlignment w:val="center"/>
              <w:rPr>
                <w:rFonts w:hint="eastAsia" w:ascii="Times New Roman" w:hAnsi="Times New Roman" w:eastAsia="宋体" w:cs="Times New Roman"/>
                <w:b w:val="0"/>
                <w:bCs w:val="0"/>
                <w:color w:val="auto"/>
                <w:kern w:val="2"/>
                <w:sz w:val="18"/>
                <w:szCs w:val="22"/>
                <w:highlight w:val="none"/>
                <w:lang w:val="en-US" w:eastAsia="zh-CN" w:bidi="ar-SA"/>
              </w:rPr>
            </w:pPr>
            <w:r>
              <w:rPr>
                <w:rFonts w:ascii="Times New Roman" w:hAnsi="Times New Roman" w:eastAsia="宋体" w:cs="Times New Roman"/>
                <w:b w:val="0"/>
                <w:bCs w:val="0"/>
                <w:color w:val="auto"/>
                <w:kern w:val="0"/>
                <w:sz w:val="18"/>
                <w:szCs w:val="21"/>
                <w:highlight w:val="none"/>
                <w:lang w:bidi="ar"/>
              </w:rPr>
              <w:t>调压范围（%）</w:t>
            </w:r>
            <w:r>
              <w:rPr>
                <w:rFonts w:hint="eastAsia" w:ascii="Times New Roman" w:hAnsi="Times New Roman" w:eastAsia="宋体" w:cs="Times New Roman"/>
                <w:b w:val="0"/>
                <w:bCs w:val="0"/>
                <w:color w:val="auto"/>
                <w:kern w:val="0"/>
                <w:sz w:val="18"/>
                <w:szCs w:val="21"/>
                <w:highlight w:val="none"/>
                <w:lang w:eastAsia="zh-CN" w:bidi="ar"/>
              </w:rPr>
              <w:t>：</w:t>
            </w:r>
            <w:r>
              <w:rPr>
                <w:rFonts w:ascii="Times New Roman" w:hAnsi="Times New Roman" w:eastAsia="宋体" w:cs="Times New Roman"/>
                <w:b w:val="0"/>
                <w:bCs w:val="0"/>
                <w:color w:val="auto"/>
                <w:kern w:val="0"/>
                <w:sz w:val="18"/>
                <w:szCs w:val="21"/>
                <w:highlight w:val="none"/>
                <w:lang w:bidi="ar"/>
              </w:rPr>
              <w:t>-20~+20</w:t>
            </w:r>
            <w:r>
              <w:rPr>
                <w:rFonts w:hint="eastAsia" w:ascii="Times New Roman" w:hAnsi="Times New Roman" w:eastAsia="宋体" w:cs="Times New Roman"/>
                <w:b w:val="0"/>
                <w:bCs w:val="0"/>
                <w:color w:val="auto"/>
                <w:kern w:val="0"/>
                <w:sz w:val="18"/>
                <w:szCs w:val="21"/>
                <w:highlight w:val="none"/>
                <w:lang w:eastAsia="zh-CN" w:bidi="ar"/>
              </w:rPr>
              <w:t>；</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23</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iCs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设计寿命</w:t>
            </w:r>
          </w:p>
        </w:tc>
        <w:tc>
          <w:tcPr>
            <w:tcW w:w="15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both"/>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投标方所供产品必须满足作为一个完整产品所能满足的全部要求，产品设计寿命不小于10年</w:t>
            </w:r>
          </w:p>
        </w:tc>
        <w:tc>
          <w:tcPr>
            <w:tcW w:w="69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Times New Roman" w:hAnsi="Times New Roman" w:eastAsia="宋体" w:cs="宋体"/>
                <w:b w:val="0"/>
                <w:bCs w:val="0"/>
                <w:i w:val="0"/>
                <w:iCs w:val="0"/>
                <w:color w:val="auto"/>
                <w:sz w:val="18"/>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24</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质量保证</w:t>
            </w:r>
          </w:p>
        </w:tc>
        <w:tc>
          <w:tcPr>
            <w:tcW w:w="15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both"/>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投标方应对其整组设备在到货后提供不少于三年的“三包”质量保证。</w:t>
            </w:r>
          </w:p>
        </w:tc>
        <w:tc>
          <w:tcPr>
            <w:tcW w:w="69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62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（由投标人填写）</w:t>
            </w:r>
          </w:p>
        </w:tc>
        <w:tc>
          <w:tcPr>
            <w:tcW w:w="8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Times New Roman" w:hAnsi="Times New Roman" w:eastAsia="宋体" w:cs="宋体"/>
                <w:b w:val="0"/>
                <w:bCs w:val="0"/>
                <w:i w:val="0"/>
                <w:iCs w:val="0"/>
                <w:color w:val="auto"/>
                <w:sz w:val="18"/>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25</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宋体"/>
                <w:b w:val="0"/>
                <w:bCs w:val="0"/>
                <w:i w:val="0"/>
                <w:color w:val="auto"/>
                <w:kern w:val="0"/>
                <w:sz w:val="18"/>
                <w:szCs w:val="21"/>
                <w:highlight w:val="none"/>
                <w:u w:val="none"/>
                <w:lang w:val="en-US" w:eastAsia="zh-CN" w:bidi="ar"/>
              </w:rPr>
            </w:pPr>
            <w:r>
              <w:rPr>
                <w:rFonts w:hint="eastAsia" w:ascii="Times New Roman" w:hAnsi="Times New Roman" w:eastAsia="宋体" w:cs="宋体"/>
                <w:b w:val="0"/>
                <w:bCs w:val="0"/>
                <w:i w:val="0"/>
                <w:color w:val="auto"/>
                <w:kern w:val="0"/>
                <w:sz w:val="18"/>
                <w:szCs w:val="21"/>
                <w:highlight w:val="none"/>
                <w:u w:val="none"/>
                <w:lang w:val="en-US" w:eastAsia="zh-CN" w:bidi="ar"/>
              </w:rPr>
              <w:t>其他</w:t>
            </w:r>
          </w:p>
        </w:tc>
        <w:tc>
          <w:tcPr>
            <w:tcW w:w="1597" w:type="pct"/>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Times New Roman" w:hAnsi="Times New Roman" w:eastAsia="宋体" w:cs="宋体"/>
                <w:b w:val="0"/>
                <w:bCs w:val="0"/>
                <w:i w:val="0"/>
                <w:color w:val="auto"/>
                <w:kern w:val="0"/>
                <w:sz w:val="18"/>
                <w:szCs w:val="21"/>
                <w:highlight w:val="none"/>
                <w:u w:val="none"/>
                <w:lang w:val="en-US" w:eastAsia="zh-CN" w:bidi="ar"/>
              </w:rPr>
            </w:pPr>
          </w:p>
        </w:tc>
        <w:tc>
          <w:tcPr>
            <w:tcW w:w="690"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宋体"/>
                <w:b w:val="0"/>
                <w:bCs w:val="0"/>
                <w:i w:val="0"/>
                <w:color w:val="auto"/>
                <w:kern w:val="0"/>
                <w:sz w:val="18"/>
                <w:szCs w:val="21"/>
                <w:highlight w:val="none"/>
                <w:u w:val="none"/>
                <w:lang w:val="en-US" w:eastAsia="zh-CN" w:bidi="ar"/>
              </w:rPr>
            </w:pPr>
          </w:p>
        </w:tc>
        <w:tc>
          <w:tcPr>
            <w:tcW w:w="622"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宋体"/>
                <w:b w:val="0"/>
                <w:bCs w:val="0"/>
                <w:i w:val="0"/>
                <w:color w:val="auto"/>
                <w:kern w:val="0"/>
                <w:sz w:val="18"/>
                <w:szCs w:val="21"/>
                <w:highlight w:val="none"/>
                <w:u w:val="none"/>
                <w:lang w:val="en-US" w:eastAsia="zh-CN" w:bidi="ar"/>
              </w:rPr>
            </w:pPr>
          </w:p>
        </w:tc>
        <w:tc>
          <w:tcPr>
            <w:tcW w:w="806"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宋体"/>
                <w:b w:val="0"/>
                <w:bCs w:val="0"/>
                <w:i w:val="0"/>
                <w:color w:val="auto"/>
                <w:kern w:val="0"/>
                <w:sz w:val="18"/>
                <w:szCs w:val="21"/>
                <w:highlight w:val="none"/>
                <w:u w:val="none"/>
                <w:lang w:val="en-US" w:eastAsia="zh-CN" w:bidi="ar"/>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Times New Roman" w:hAnsi="Times New Roman" w:eastAsia="宋体" w:cs="宋体"/>
                <w:b w:val="0"/>
                <w:bCs w:val="0"/>
                <w:i w:val="0"/>
                <w:iCs w:val="0"/>
                <w:color w:val="auto"/>
                <w:sz w:val="18"/>
                <w:szCs w:val="21"/>
                <w:highlight w:val="none"/>
                <w:u w:val="none"/>
              </w:rPr>
            </w:pPr>
          </w:p>
        </w:tc>
      </w:tr>
    </w:tbl>
    <w:p>
      <w:pPr>
        <w:keepNext w:val="0"/>
        <w:keepLines w:val="0"/>
        <w:pageBreakBefore w:val="0"/>
        <w:widowControl w:val="0"/>
        <w:kinsoku/>
        <w:wordWrap/>
        <w:overflowPunct/>
        <w:topLinePunct w:val="0"/>
        <w:autoSpaceDE w:val="0"/>
        <w:autoSpaceDN w:val="0"/>
        <w:bidi w:val="0"/>
        <w:adjustRightInd w:val="0"/>
        <w:snapToGrid/>
        <w:spacing w:line="400" w:lineRule="exact"/>
        <w:ind w:right="28"/>
        <w:jc w:val="center"/>
        <w:textAlignment w:val="auto"/>
        <w:rPr>
          <w:rFonts w:hint="eastAsia" w:ascii="Times New Roman" w:hAnsi="Times New Roman" w:eastAsia="宋体" w:cs="宋体"/>
          <w:b/>
          <w:bCs/>
          <w:color w:val="auto"/>
          <w:kern w:val="2"/>
          <w:sz w:val="21"/>
          <w:szCs w:val="21"/>
          <w:highlight w:val="none"/>
          <w:lang w:val="zh-CN" w:eastAsia="zh-CN" w:bidi="ar-SA"/>
        </w:rPr>
      </w:pPr>
      <w:bookmarkStart w:id="260" w:name="_Toc12522"/>
      <w:r>
        <w:rPr>
          <w:rFonts w:hint="eastAsia" w:ascii="Times New Roman" w:hAnsi="Times New Roman" w:eastAsia="宋体" w:cs="宋体"/>
          <w:b/>
          <w:bCs/>
          <w:color w:val="auto"/>
          <w:kern w:val="2"/>
          <w:sz w:val="21"/>
          <w:szCs w:val="21"/>
          <w:highlight w:val="none"/>
          <w:lang w:val="zh-CN" w:eastAsia="zh-CN" w:bidi="ar-SA"/>
        </w:rPr>
        <w:t>表</w:t>
      </w:r>
      <w:r>
        <w:rPr>
          <w:rFonts w:hint="eastAsia" w:ascii="Times New Roman" w:hAnsi="Times New Roman" w:cs="宋体"/>
          <w:b/>
          <w:bCs/>
          <w:color w:val="auto"/>
          <w:kern w:val="2"/>
          <w:sz w:val="21"/>
          <w:szCs w:val="21"/>
          <w:highlight w:val="none"/>
          <w:lang w:val="en-US" w:eastAsia="zh-CN" w:bidi="ar-SA"/>
        </w:rPr>
        <w:t xml:space="preserve">7 </w:t>
      </w:r>
      <w:r>
        <w:rPr>
          <w:rFonts w:hint="eastAsia" w:ascii="Times New Roman" w:hAnsi="Times New Roman" w:eastAsia="宋体" w:cs="宋体"/>
          <w:b/>
          <w:bCs/>
          <w:color w:val="auto"/>
          <w:kern w:val="2"/>
          <w:sz w:val="21"/>
          <w:szCs w:val="21"/>
          <w:highlight w:val="none"/>
          <w:lang w:val="zh-CN" w:eastAsia="zh-CN" w:bidi="ar-SA"/>
        </w:rPr>
        <w:t>投标技术偏差表格（超出技术规范书要求）</w:t>
      </w:r>
      <w:bookmarkEnd w:id="260"/>
    </w:p>
    <w:tbl>
      <w:tblPr>
        <w:tblStyle w:val="46"/>
        <w:tblW w:w="9198" w:type="dxa"/>
        <w:tblInd w:w="-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41"/>
        <w:gridCol w:w="668"/>
        <w:gridCol w:w="1046"/>
        <w:gridCol w:w="1725"/>
        <w:gridCol w:w="3031"/>
        <w:gridCol w:w="932"/>
        <w:gridCol w:w="587"/>
        <w:gridCol w:w="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7" w:hRule="atLeast"/>
        </w:trPr>
        <w:tc>
          <w:tcPr>
            <w:tcW w:w="5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序号</w:t>
            </w:r>
          </w:p>
        </w:tc>
        <w:tc>
          <w:tcPr>
            <w:tcW w:w="6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标的名称</w:t>
            </w:r>
          </w:p>
        </w:tc>
        <w:tc>
          <w:tcPr>
            <w:tcW w:w="10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技术规范书条目号</w:t>
            </w:r>
          </w:p>
        </w:tc>
        <w:tc>
          <w:tcPr>
            <w:tcW w:w="17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技术规范书要求</w:t>
            </w:r>
          </w:p>
        </w:tc>
        <w:tc>
          <w:tcPr>
            <w:tcW w:w="30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技术评审标准</w:t>
            </w: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投标人响应值</w:t>
            </w: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偏差情况</w:t>
            </w:r>
          </w:p>
        </w:tc>
        <w:tc>
          <w:tcPr>
            <w:tcW w:w="6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8" w:hRule="atLeast"/>
        </w:trPr>
        <w:tc>
          <w:tcPr>
            <w:tcW w:w="5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1</w:t>
            </w:r>
          </w:p>
        </w:tc>
        <w:tc>
          <w:tcPr>
            <w:tcW w:w="6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Times New Roman" w:hAnsi="Times New Roman" w:eastAsia="宋体" w:cs="宋体"/>
                <w:i w:val="0"/>
                <w:color w:val="auto"/>
                <w:sz w:val="21"/>
                <w:szCs w:val="21"/>
                <w:highlight w:val="none"/>
                <w:u w:val="none"/>
              </w:rPr>
            </w:pPr>
          </w:p>
        </w:tc>
        <w:tc>
          <w:tcPr>
            <w:tcW w:w="10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Times New Roman" w:hAnsi="Times New Roman" w:eastAsia="宋体" w:cs="宋体"/>
                <w:i w:val="0"/>
                <w:color w:val="auto"/>
                <w:sz w:val="21"/>
                <w:szCs w:val="21"/>
                <w:highlight w:val="none"/>
                <w:u w:val="none"/>
              </w:rPr>
            </w:pPr>
          </w:p>
        </w:tc>
        <w:tc>
          <w:tcPr>
            <w:tcW w:w="17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Times New Roman" w:hAnsi="Times New Roman" w:eastAsia="宋体" w:cs="宋体"/>
                <w:i w:val="0"/>
                <w:color w:val="auto"/>
                <w:sz w:val="21"/>
                <w:szCs w:val="21"/>
                <w:highlight w:val="none"/>
                <w:u w:val="none"/>
              </w:rPr>
            </w:pPr>
          </w:p>
        </w:tc>
        <w:tc>
          <w:tcPr>
            <w:tcW w:w="30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Times New Roman" w:hAnsi="Times New Roman" w:eastAsia="宋体" w:cs="宋体"/>
                <w:i w:val="0"/>
                <w:color w:val="auto"/>
                <w:sz w:val="21"/>
                <w:szCs w:val="21"/>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p>
        </w:tc>
        <w:tc>
          <w:tcPr>
            <w:tcW w:w="5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Times New Roman" w:hAnsi="Times New Roman" w:eastAsia="宋体" w:cs="宋体"/>
                <w:i w:val="0"/>
                <w:color w:val="auto"/>
                <w:sz w:val="21"/>
                <w:szCs w:val="21"/>
                <w:highlight w:val="none"/>
                <w:u w:val="none"/>
              </w:rPr>
            </w:pPr>
          </w:p>
        </w:tc>
        <w:tc>
          <w:tcPr>
            <w:tcW w:w="6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8" w:hRule="atLeast"/>
        </w:trPr>
        <w:tc>
          <w:tcPr>
            <w:tcW w:w="5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auto"/>
                <w:kern w:val="0"/>
                <w:sz w:val="21"/>
                <w:szCs w:val="21"/>
                <w:highlight w:val="none"/>
                <w:u w:val="none"/>
                <w:lang w:val="en-US" w:eastAsia="zh-CN" w:bidi="ar"/>
              </w:rPr>
            </w:pPr>
            <w:r>
              <w:rPr>
                <w:rFonts w:hint="eastAsia" w:ascii="Times New Roman" w:hAnsi="Times New Roman" w:eastAsia="宋体" w:cs="宋体"/>
                <w:color w:val="auto"/>
                <w:sz w:val="21"/>
                <w:szCs w:val="21"/>
                <w:highlight w:val="none"/>
              </w:rPr>
              <w:t>…</w:t>
            </w:r>
          </w:p>
        </w:tc>
        <w:tc>
          <w:tcPr>
            <w:tcW w:w="8657"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Times New Roman" w:hAnsi="Times New Roman" w:eastAsia="宋体" w:cs="宋体"/>
                <w:i w:val="0"/>
                <w:color w:val="auto"/>
                <w:sz w:val="21"/>
                <w:szCs w:val="21"/>
                <w:highlight w:val="none"/>
                <w:u w:val="none"/>
              </w:rPr>
            </w:pPr>
            <w:r>
              <w:rPr>
                <w:rFonts w:hint="eastAsia" w:ascii="Times New Roman" w:hAnsi="Times New Roman" w:eastAsia="宋体" w:cs="宋体"/>
                <w:i w:val="0"/>
                <w:color w:val="auto"/>
                <w:kern w:val="0"/>
                <w:sz w:val="21"/>
                <w:szCs w:val="21"/>
                <w:highlight w:val="none"/>
                <w:u w:val="none"/>
                <w:lang w:val="en-US" w:eastAsia="zh-CN" w:bidi="ar"/>
              </w:rPr>
              <w:t>除以上列明的技术偏差外，其余完全满足技术规范书要求。</w:t>
            </w:r>
          </w:p>
        </w:tc>
      </w:tr>
    </w:tbl>
    <w:p>
      <w:pPr>
        <w:pStyle w:val="2"/>
        <w:rPr>
          <w:rFonts w:ascii="Times New Roman" w:hAnsi="Times New Roman" w:eastAsia="宋体"/>
          <w:color w:val="auto"/>
          <w:highlight w:val="none"/>
        </w:rPr>
      </w:pPr>
    </w:p>
    <w:sectPr>
      <w:footerReference r:id="rId9" w:type="default"/>
      <w:pgSz w:w="11907" w:h="16840"/>
      <w:pgMar w:top="1814" w:right="1247" w:bottom="1531" w:left="1667" w:header="1134" w:footer="107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汉仪大宋简">
    <w:altName w:val="宋体"/>
    <w:panose1 w:val="00000000000000000000"/>
    <w:charset w:val="86"/>
    <w:family w:val="swiss"/>
    <w:pitch w:val="default"/>
    <w:sig w:usb0="00000000" w:usb1="00000000" w:usb2="00000012" w:usb3="00000000" w:csb0="00040000" w:csb1="00000000"/>
  </w:font>
  <w:font w:name="EU-F1">
    <w:altName w:val="黑体"/>
    <w:panose1 w:val="00000000000000000000"/>
    <w:charset w:val="86"/>
    <w:family w:val="script"/>
    <w:pitch w:val="default"/>
    <w:sig w:usb0="00000000" w:usb1="00000000" w:usb2="00000010" w:usb3="00000000" w:csb0="00040000" w:csb1="00000000"/>
  </w:font>
  <w:font w:name="E-F1">
    <w:altName w:val="Malgun Gothic"/>
    <w:panose1 w:val="00000000000000000000"/>
    <w:charset w:val="81"/>
    <w:family w:val="modern"/>
    <w:pitch w:val="default"/>
    <w:sig w:usb0="00000000" w:usb1="00000000" w:usb2="00000033" w:usb3="00000000" w:csb0="00080000" w:csb1="00000000"/>
  </w:font>
  <w:font w:name="仿宋_GB2312">
    <w:panose1 w:val="02010609030101010101"/>
    <w:charset w:val="86"/>
    <w:family w:val="auto"/>
    <w:pitch w:val="default"/>
    <w:sig w:usb0="00000001" w:usb1="080E0000" w:usb2="00000000" w:usb3="00000000" w:csb0="00040000" w:csb1="00000000"/>
  </w:font>
  <w:font w:name="Plotter">
    <w:altName w:val="Times New Roman"/>
    <w:panose1 w:val="00000000000000000000"/>
    <w:charset w:val="00"/>
    <w:family w:val="moder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75</w:t>
    </w:r>
    <w:r>
      <w:fldChar w:fldCharType="end"/>
    </w:r>
  </w:p>
  <w:p>
    <w:pPr>
      <w:pStyle w:val="33"/>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24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hint="eastAsia"/>
      </w:rPr>
      <w:t>中国南方电网</w:t>
    </w:r>
    <w:r>
      <w:rPr>
        <w:rFonts w:hint="eastAsia"/>
        <w:lang w:eastAsia="zh-CN"/>
      </w:rPr>
      <w:t>云南电网有限责任公司昭通供电局</w:t>
    </w:r>
    <w:r>
      <w:t>电能质量监测装置</w:t>
    </w:r>
    <w:r>
      <w:rPr>
        <w:rFonts w:hint="eastAsia"/>
      </w:rPr>
      <w:t>技术标书</w:t>
    </w:r>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2" name="WordPictureWatermark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0007"/>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C6E23"/>
    <w:multiLevelType w:val="multilevel"/>
    <w:tmpl w:val="85FC6E23"/>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8DE34D1D"/>
    <w:multiLevelType w:val="multilevel"/>
    <w:tmpl w:val="8DE34D1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A82642FD"/>
    <w:multiLevelType w:val="multilevel"/>
    <w:tmpl w:val="A82642F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C470032E"/>
    <w:multiLevelType w:val="multilevel"/>
    <w:tmpl w:val="C470032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D04DF28C"/>
    <w:multiLevelType w:val="multilevel"/>
    <w:tmpl w:val="D04DF28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D08CB5BF"/>
    <w:multiLevelType w:val="singleLevel"/>
    <w:tmpl w:val="D08CB5BF"/>
    <w:lvl w:ilvl="0" w:tentative="0">
      <w:start w:val="1"/>
      <w:numFmt w:val="bullet"/>
      <w:lvlText w:val="•"/>
      <w:lvlJc w:val="left"/>
      <w:pPr>
        <w:ind w:left="420" w:hanging="420"/>
      </w:pPr>
      <w:rPr>
        <w:rFonts w:hint="default" w:ascii="Arial" w:hAnsi="Arial" w:cs="Arial"/>
      </w:rPr>
    </w:lvl>
  </w:abstractNum>
  <w:abstractNum w:abstractNumId="6">
    <w:nsid w:val="D0A71E74"/>
    <w:multiLevelType w:val="multilevel"/>
    <w:tmpl w:val="D0A71E74"/>
    <w:lvl w:ilvl="0" w:tentative="0">
      <w:start w:val="4"/>
      <w:numFmt w:val="decimal"/>
      <w:lvlText w:val="%1"/>
      <w:lvlJc w:val="left"/>
      <w:pPr>
        <w:ind w:left="0" w:firstLine="0"/>
      </w:pPr>
      <w:rPr>
        <w:rFonts w:hint="default" w:ascii="宋体" w:hAnsi="宋体" w:eastAsia="宋体" w:cs="宋体"/>
      </w:rPr>
    </w:lvl>
    <w:lvl w:ilvl="1" w:tentative="0">
      <w:start w:val="1"/>
      <w:numFmt w:val="decimal"/>
      <w:lvlText w:val="%1.%2"/>
      <w:lvlJc w:val="left"/>
      <w:pPr>
        <w:ind w:left="0" w:firstLine="0"/>
      </w:pPr>
      <w:rPr>
        <w:rFonts w:hint="default" w:ascii="宋体" w:hAnsi="宋体" w:eastAsia="宋体" w:cs="宋体"/>
      </w:rPr>
    </w:lvl>
    <w:lvl w:ilvl="2" w:tentative="0">
      <w:start w:val="1"/>
      <w:numFmt w:val="decimal"/>
      <w:lvlText w:val="%1.%2.%3"/>
      <w:lvlJc w:val="left"/>
      <w:pPr>
        <w:ind w:left="0" w:firstLine="0"/>
      </w:pPr>
      <w:rPr>
        <w:rFonts w:hint="default" w:ascii="宋体" w:hAnsi="宋体" w:eastAsia="宋体" w:cs="宋体"/>
      </w:rPr>
    </w:lvl>
    <w:lvl w:ilvl="3" w:tentative="0">
      <w:start w:val="1"/>
      <w:numFmt w:val="decimal"/>
      <w:lvlText w:val="%1.%2.%3.%4"/>
      <w:lvlJc w:val="left"/>
      <w:pPr>
        <w:ind w:left="0" w:firstLine="0"/>
      </w:pPr>
      <w:rPr>
        <w:rFonts w:hint="default" w:ascii="宋体" w:hAnsi="宋体" w:eastAsia="宋体" w:cs="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E9DA5AF4"/>
    <w:multiLevelType w:val="multilevel"/>
    <w:tmpl w:val="E9DA5AF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F004EEFE"/>
    <w:multiLevelType w:val="multilevel"/>
    <w:tmpl w:val="F004EEF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F00E06E7"/>
    <w:multiLevelType w:val="multilevel"/>
    <w:tmpl w:val="F00E06E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F30923F5"/>
    <w:multiLevelType w:val="multilevel"/>
    <w:tmpl w:val="F30923F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FFFFFF7C"/>
    <w:multiLevelType w:val="singleLevel"/>
    <w:tmpl w:val="FFFFFF7C"/>
    <w:lvl w:ilvl="0" w:tentative="0">
      <w:start w:val="1"/>
      <w:numFmt w:val="decimal"/>
      <w:pStyle w:val="38"/>
      <w:lvlText w:val="%1."/>
      <w:lvlJc w:val="left"/>
      <w:pPr>
        <w:tabs>
          <w:tab w:val="left" w:pos="2040"/>
        </w:tabs>
        <w:ind w:left="2040" w:hanging="360"/>
      </w:pPr>
    </w:lvl>
  </w:abstractNum>
  <w:abstractNum w:abstractNumId="12">
    <w:nsid w:val="00000026"/>
    <w:multiLevelType w:val="multilevel"/>
    <w:tmpl w:val="00000026"/>
    <w:lvl w:ilvl="0" w:tentative="0">
      <w:start w:val="4"/>
      <w:numFmt w:val="decimal"/>
      <w:lvlText w:val="%1"/>
      <w:lvlJc w:val="left"/>
      <w:pPr>
        <w:ind w:left="375" w:hanging="375"/>
      </w:pPr>
      <w:rPr>
        <w:rFonts w:hint="default"/>
      </w:rPr>
    </w:lvl>
    <w:lvl w:ilvl="1" w:tentative="0">
      <w:start w:val="5"/>
      <w:numFmt w:val="decimal"/>
      <w:lvlText w:val="%1.%2"/>
      <w:lvlJc w:val="left"/>
      <w:pPr>
        <w:ind w:left="375" w:hanging="375"/>
      </w:pPr>
      <w:rPr>
        <w:rFonts w:hint="default"/>
      </w:rPr>
    </w:lvl>
    <w:lvl w:ilvl="2" w:tentative="0">
      <w:start w:val="1"/>
      <w:numFmt w:val="decimal"/>
      <w:pStyle w:val="332"/>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9"/>
      <w:suff w:val="nothing"/>
      <w:lvlText w:val="%1%2.%3　"/>
      <w:lvlJc w:val="left"/>
      <w:pPr>
        <w:ind w:left="0" w:firstLine="0"/>
      </w:pPr>
      <w:rPr>
        <w:rFonts w:hint="eastAsia" w:ascii="黑体" w:hAnsi="Times New Roman" w:eastAsia="黑体"/>
        <w:b w:val="0"/>
        <w:i w:val="0"/>
        <w:sz w:val="21"/>
      </w:rPr>
    </w:lvl>
    <w:lvl w:ilvl="3" w:tentative="0">
      <w:start w:val="1"/>
      <w:numFmt w:val="decimal"/>
      <w:pStyle w:val="115"/>
      <w:suff w:val="nothing"/>
      <w:lvlText w:val="%1%2.%3.%4　"/>
      <w:lvlJc w:val="left"/>
      <w:pPr>
        <w:ind w:left="0" w:firstLine="0"/>
      </w:pPr>
      <w:rPr>
        <w:rFonts w:hint="eastAsia" w:ascii="黑体" w:hAnsi="Times New Roman" w:eastAsia="黑体"/>
        <w:b w:val="0"/>
        <w:i w:val="0"/>
        <w:sz w:val="21"/>
      </w:rPr>
    </w:lvl>
    <w:lvl w:ilvl="4" w:tentative="0">
      <w:start w:val="1"/>
      <w:numFmt w:val="decimal"/>
      <w:pStyle w:val="116"/>
      <w:suff w:val="nothing"/>
      <w:lvlText w:val="%1%2.%3.%4.%5　"/>
      <w:lvlJc w:val="left"/>
      <w:pPr>
        <w:ind w:left="0" w:firstLine="0"/>
      </w:pPr>
      <w:rPr>
        <w:rFonts w:hint="eastAsia" w:ascii="黑体" w:hAnsi="Times New Roman" w:eastAsia="黑体"/>
        <w:b w:val="0"/>
        <w:i w:val="0"/>
        <w:sz w:val="21"/>
      </w:rPr>
    </w:lvl>
    <w:lvl w:ilvl="5" w:tentative="0">
      <w:start w:val="1"/>
      <w:numFmt w:val="decimal"/>
      <w:pStyle w:val="117"/>
      <w:suff w:val="nothing"/>
      <w:lvlText w:val="%1%2.%3.%4.%5.%6　"/>
      <w:lvlJc w:val="left"/>
      <w:pPr>
        <w:ind w:left="0" w:firstLine="0"/>
      </w:pPr>
      <w:rPr>
        <w:rFonts w:hint="eastAsia" w:ascii="黑体" w:hAnsi="Times New Roman" w:eastAsia="黑体"/>
        <w:b w:val="0"/>
        <w:i w:val="0"/>
        <w:sz w:val="21"/>
      </w:rPr>
    </w:lvl>
    <w:lvl w:ilvl="6" w:tentative="0">
      <w:start w:val="1"/>
      <w:numFmt w:val="decimal"/>
      <w:pStyle w:val="11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08E33645"/>
    <w:multiLevelType w:val="singleLevel"/>
    <w:tmpl w:val="08E33645"/>
    <w:lvl w:ilvl="0" w:tentative="0">
      <w:start w:val="2"/>
      <w:numFmt w:val="decimal"/>
      <w:suff w:val="nothing"/>
      <w:lvlText w:val="%1　"/>
      <w:lvlJc w:val="left"/>
    </w:lvl>
  </w:abstractNum>
  <w:abstractNum w:abstractNumId="15">
    <w:nsid w:val="0B9B7337"/>
    <w:multiLevelType w:val="multilevel"/>
    <w:tmpl w:val="0B9B733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C4CC1AC"/>
    <w:multiLevelType w:val="multilevel"/>
    <w:tmpl w:val="0C4CC1AC"/>
    <w:lvl w:ilvl="0" w:tentative="0">
      <w:start w:val="5"/>
      <w:numFmt w:val="decimal"/>
      <w:lvlText w:val="%1"/>
      <w:lvlJc w:val="left"/>
      <w:pPr>
        <w:ind w:left="0" w:firstLine="0"/>
      </w:pPr>
      <w:rPr>
        <w:rFonts w:hint="default" w:ascii="宋体" w:hAnsi="宋体" w:eastAsia="宋体" w:cs="宋体"/>
      </w:rPr>
    </w:lvl>
    <w:lvl w:ilvl="1" w:tentative="0">
      <w:start w:val="3"/>
      <w:numFmt w:val="decimal"/>
      <w:lvlText w:val="%1.%2"/>
      <w:lvlJc w:val="left"/>
      <w:pPr>
        <w:ind w:left="0" w:firstLine="0"/>
      </w:pPr>
      <w:rPr>
        <w:rFonts w:hint="default" w:ascii="宋体" w:hAnsi="宋体" w:eastAsia="宋体" w:cs="宋体"/>
      </w:rPr>
    </w:lvl>
    <w:lvl w:ilvl="2" w:tentative="0">
      <w:start w:val="1"/>
      <w:numFmt w:val="decimal"/>
      <w:lvlText w:val="%1.%2.%3"/>
      <w:lvlJc w:val="left"/>
      <w:pPr>
        <w:ind w:left="0" w:firstLine="0"/>
      </w:pPr>
      <w:rPr>
        <w:rFonts w:hint="default" w:ascii="宋体" w:hAnsi="宋体" w:eastAsia="宋体" w:cs="宋体"/>
      </w:rPr>
    </w:lvl>
    <w:lvl w:ilvl="3" w:tentative="0">
      <w:start w:val="1"/>
      <w:numFmt w:val="decimal"/>
      <w:lvlText w:val="%1.%2.%3.%4"/>
      <w:lvlJc w:val="left"/>
      <w:pPr>
        <w:ind w:left="0" w:firstLine="0"/>
      </w:pPr>
      <w:rPr>
        <w:rFonts w:hint="default" w:ascii="宋体" w:hAnsi="宋体" w:eastAsia="宋体" w:cs="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7">
    <w:nsid w:val="11F401D6"/>
    <w:multiLevelType w:val="multilevel"/>
    <w:tmpl w:val="11F401D6"/>
    <w:lvl w:ilvl="0" w:tentative="0">
      <w:start w:val="1"/>
      <w:numFmt w:val="lowerLetter"/>
      <w:pStyle w:val="341"/>
      <w:lvlText w:val="%1）"/>
      <w:lvlJc w:val="left"/>
      <w:pPr>
        <w:tabs>
          <w:tab w:val="left" w:pos="0"/>
        </w:tabs>
        <w:ind w:left="1140" w:hanging="420"/>
      </w:pPr>
      <w:rPr>
        <w:rFonts w:hint="eastAsia" w:ascii="Times New Roman" w:hAnsi="Times New Roman" w:cs="Times New Roman"/>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25" w:hanging="420"/>
      </w:pPr>
    </w:lvl>
    <w:lvl w:ilvl="2" w:tentative="0">
      <w:start w:val="1"/>
      <w:numFmt w:val="lowerRoman"/>
      <w:lvlText w:val="%3."/>
      <w:lvlJc w:val="right"/>
      <w:pPr>
        <w:ind w:left="615" w:hanging="420"/>
      </w:pPr>
    </w:lvl>
    <w:lvl w:ilvl="3" w:tentative="0">
      <w:start w:val="1"/>
      <w:numFmt w:val="decimal"/>
      <w:lvlText w:val="%4."/>
      <w:lvlJc w:val="left"/>
      <w:pPr>
        <w:ind w:left="1665" w:hanging="420"/>
      </w:pPr>
    </w:lvl>
    <w:lvl w:ilvl="4" w:tentative="0">
      <w:start w:val="1"/>
      <w:numFmt w:val="lowerLetter"/>
      <w:lvlText w:val="%5)"/>
      <w:lvlJc w:val="left"/>
      <w:pPr>
        <w:ind w:left="2085" w:hanging="420"/>
      </w:pPr>
    </w:lvl>
    <w:lvl w:ilvl="5" w:tentative="0">
      <w:start w:val="1"/>
      <w:numFmt w:val="lowerRoman"/>
      <w:lvlText w:val="%6."/>
      <w:lvlJc w:val="right"/>
      <w:pPr>
        <w:ind w:left="2505" w:hanging="420"/>
      </w:pPr>
    </w:lvl>
    <w:lvl w:ilvl="6" w:tentative="0">
      <w:start w:val="1"/>
      <w:numFmt w:val="decimal"/>
      <w:lvlText w:val="%7."/>
      <w:lvlJc w:val="left"/>
      <w:pPr>
        <w:ind w:left="2925" w:hanging="420"/>
      </w:pPr>
    </w:lvl>
    <w:lvl w:ilvl="7" w:tentative="0">
      <w:start w:val="1"/>
      <w:numFmt w:val="lowerLetter"/>
      <w:lvlText w:val="%8)"/>
      <w:lvlJc w:val="left"/>
      <w:pPr>
        <w:ind w:left="3345" w:hanging="420"/>
      </w:pPr>
    </w:lvl>
    <w:lvl w:ilvl="8" w:tentative="0">
      <w:start w:val="1"/>
      <w:numFmt w:val="lowerRoman"/>
      <w:lvlText w:val="%9."/>
      <w:lvlJc w:val="right"/>
      <w:pPr>
        <w:ind w:left="3765" w:hanging="420"/>
      </w:pPr>
    </w:lvl>
  </w:abstractNum>
  <w:abstractNum w:abstractNumId="18">
    <w:nsid w:val="13A26E29"/>
    <w:multiLevelType w:val="multilevel"/>
    <w:tmpl w:val="13A26E29"/>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14575BD0"/>
    <w:multiLevelType w:val="multilevel"/>
    <w:tmpl w:val="14575BD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1B136F61"/>
    <w:multiLevelType w:val="multilevel"/>
    <w:tmpl w:val="1B136F61"/>
    <w:lvl w:ilvl="0" w:tentative="0">
      <w:start w:val="1"/>
      <w:numFmt w:val="none"/>
      <w:pStyle w:val="95"/>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358497AA"/>
    <w:multiLevelType w:val="multilevel"/>
    <w:tmpl w:val="358497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3E66022B"/>
    <w:multiLevelType w:val="multilevel"/>
    <w:tmpl w:val="3E66022B"/>
    <w:lvl w:ilvl="0" w:tentative="0">
      <w:start w:val="1"/>
      <w:numFmt w:val="decimal"/>
      <w:pStyle w:val="344"/>
      <w:lvlText w:val="%1"/>
      <w:lvlJc w:val="center"/>
      <w:pPr>
        <w:ind w:left="420" w:hanging="420"/>
      </w:pPr>
      <w:rPr>
        <w:rFonts w:hint="default" w:ascii="Times New Roman" w:hAnsi="Times New Roman" w:eastAsia="宋体"/>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D6B4498"/>
    <w:multiLevelType w:val="singleLevel"/>
    <w:tmpl w:val="4D6B4498"/>
    <w:lvl w:ilvl="0" w:tentative="0">
      <w:start w:val="1"/>
      <w:numFmt w:val="decimal"/>
      <w:lvlText w:val="%1."/>
      <w:lvlJc w:val="left"/>
      <w:pPr>
        <w:ind w:left="425" w:hanging="425"/>
      </w:pPr>
      <w:rPr>
        <w:rFonts w:hint="default"/>
      </w:rPr>
    </w:lvl>
  </w:abstractNum>
  <w:abstractNum w:abstractNumId="24">
    <w:nsid w:val="56A9543A"/>
    <w:multiLevelType w:val="multilevel"/>
    <w:tmpl w:val="56A9543A"/>
    <w:lvl w:ilvl="0" w:tentative="0">
      <w:start w:val="1"/>
      <w:numFmt w:val="decimal"/>
      <w:suff w:val="space"/>
      <w:lvlText w:val="%1."/>
      <w:lvlJc w:val="left"/>
      <w:pPr>
        <w:ind w:left="0" w:firstLine="0"/>
      </w:pPr>
      <w:rPr>
        <w:rFonts w:hint="default" w:ascii="Arial" w:hAnsi="Arial" w:eastAsia="黑体" w:cs="Arial"/>
        <w:b/>
        <w:i w:val="0"/>
        <w:sz w:val="21"/>
        <w:szCs w:val="21"/>
      </w:rPr>
    </w:lvl>
    <w:lvl w:ilvl="1" w:tentative="0">
      <w:start w:val="1"/>
      <w:numFmt w:val="decimal"/>
      <w:lvlRestart w:val="0"/>
      <w:isLgl/>
      <w:suff w:val="space"/>
      <w:lvlText w:val="%1.%2 "/>
      <w:lvlJc w:val="left"/>
      <w:pPr>
        <w:ind w:left="0" w:firstLine="0"/>
      </w:pPr>
      <w:rPr>
        <w:rFonts w:hint="default" w:ascii="Arial" w:hAnsi="Arial" w:eastAsia="黑体" w:cs="Arial"/>
        <w:b/>
        <w:i w:val="0"/>
        <w:sz w:val="21"/>
        <w:szCs w:val="21"/>
      </w:rPr>
    </w:lvl>
    <w:lvl w:ilvl="2" w:tentative="0">
      <w:start w:val="1"/>
      <w:numFmt w:val="decimal"/>
      <w:isLgl/>
      <w:suff w:val="space"/>
      <w:lvlText w:val="%1.%2.%3 "/>
      <w:lvlJc w:val="left"/>
      <w:pPr>
        <w:ind w:left="0" w:firstLine="0"/>
      </w:pPr>
      <w:rPr>
        <w:rFonts w:hint="default" w:ascii="Arial" w:hAnsi="Arial" w:eastAsia="黑体" w:cs="Arial"/>
        <w:b/>
        <w:i w:val="0"/>
        <w:sz w:val="21"/>
        <w:szCs w:val="28"/>
      </w:rPr>
    </w:lvl>
    <w:lvl w:ilvl="3" w:tentative="0">
      <w:start w:val="1"/>
      <w:numFmt w:val="decimal"/>
      <w:isLgl/>
      <w:suff w:val="space"/>
      <w:lvlText w:val="%1.%2.%3.%4 "/>
      <w:lvlJc w:val="left"/>
      <w:pPr>
        <w:ind w:left="0" w:firstLine="0"/>
      </w:pPr>
      <w:rPr>
        <w:rFonts w:hint="default" w:ascii="Arial" w:hAnsi="Arial" w:eastAsia="黑体" w:cs="Arial"/>
        <w:b/>
        <w:i w:val="0"/>
        <w:sz w:val="21"/>
        <w:szCs w:val="21"/>
      </w:rPr>
    </w:lvl>
    <w:lvl w:ilvl="4" w:tentative="0">
      <w:start w:val="1"/>
      <w:numFmt w:val="decimal"/>
      <w:pStyle w:val="111"/>
      <w:suff w:val="space"/>
      <w:lvlText w:val="%1.%2.%3.%4.%5 "/>
      <w:lvlJc w:val="left"/>
      <w:pPr>
        <w:ind w:left="0" w:firstLine="0"/>
      </w:pPr>
      <w:rPr>
        <w:rFonts w:hint="default" w:ascii="Verdana" w:hAnsi="Verdana" w:eastAsia="黑体"/>
        <w:b/>
        <w:i w:val="0"/>
        <w:sz w:val="21"/>
        <w:szCs w:val="21"/>
      </w:rPr>
    </w:lvl>
    <w:lvl w:ilvl="5" w:tentative="0">
      <w:start w:val="1"/>
      <w:numFmt w:val="decimal"/>
      <w:suff w:val="space"/>
      <w:lvlText w:val="%1.%2.%3.%4.%5.%6"/>
      <w:lvlJc w:val="left"/>
      <w:pPr>
        <w:ind w:left="930" w:firstLine="0"/>
      </w:pPr>
      <w:rPr>
        <w:rFonts w:hint="eastAsia"/>
      </w:rPr>
    </w:lvl>
    <w:lvl w:ilvl="6" w:tentative="0">
      <w:start w:val="1"/>
      <w:numFmt w:val="decimal"/>
      <w:suff w:val="space"/>
      <w:lvlText w:val="%1.%2.%3.%4.%5.%6.%7"/>
      <w:lvlJc w:val="left"/>
      <w:pPr>
        <w:ind w:left="930" w:firstLine="0"/>
      </w:pPr>
      <w:rPr>
        <w:rFonts w:hint="eastAsia"/>
      </w:rPr>
    </w:lvl>
    <w:lvl w:ilvl="7" w:tentative="0">
      <w:start w:val="1"/>
      <w:numFmt w:val="decimal"/>
      <w:suff w:val="space"/>
      <w:lvlText w:val="%1.%2.%3.%4.%5.%6.%7.%8"/>
      <w:lvlJc w:val="left"/>
      <w:pPr>
        <w:ind w:left="930" w:firstLine="0"/>
      </w:pPr>
      <w:rPr>
        <w:rFonts w:hint="eastAsia"/>
      </w:rPr>
    </w:lvl>
    <w:lvl w:ilvl="8" w:tentative="0">
      <w:start w:val="1"/>
      <w:numFmt w:val="decimal"/>
      <w:suff w:val="space"/>
      <w:lvlText w:val="%1.%2.%3.%4.%5.%6.%7.%8.%9"/>
      <w:lvlJc w:val="left"/>
      <w:pPr>
        <w:ind w:left="930" w:firstLine="0"/>
      </w:pPr>
      <w:rPr>
        <w:rFonts w:hint="eastAsia"/>
      </w:rPr>
    </w:lvl>
  </w:abstractNum>
  <w:abstractNum w:abstractNumId="25">
    <w:nsid w:val="5B4FD82A"/>
    <w:multiLevelType w:val="multilevel"/>
    <w:tmpl w:val="5B4FD82A"/>
    <w:lvl w:ilvl="0" w:tentative="0">
      <w:start w:val="5"/>
      <w:numFmt w:val="decimal"/>
      <w:lvlText w:val="%1"/>
      <w:lvlJc w:val="left"/>
      <w:pPr>
        <w:ind w:left="0" w:firstLine="0"/>
      </w:pPr>
      <w:rPr>
        <w:rFonts w:hint="default" w:ascii="宋体" w:hAnsi="宋体" w:eastAsia="宋体" w:cs="宋体"/>
      </w:rPr>
    </w:lvl>
    <w:lvl w:ilvl="1" w:tentative="0">
      <w:start w:val="2"/>
      <w:numFmt w:val="decimal"/>
      <w:lvlText w:val="%1.%2"/>
      <w:lvlJc w:val="left"/>
      <w:pPr>
        <w:ind w:left="0" w:firstLine="0"/>
      </w:pPr>
      <w:rPr>
        <w:rFonts w:hint="default" w:ascii="宋体" w:hAnsi="宋体" w:eastAsia="宋体" w:cs="宋体"/>
      </w:rPr>
    </w:lvl>
    <w:lvl w:ilvl="2" w:tentative="0">
      <w:start w:val="1"/>
      <w:numFmt w:val="decimal"/>
      <w:lvlText w:val="%1.%2.%3"/>
      <w:lvlJc w:val="left"/>
      <w:pPr>
        <w:ind w:left="0" w:firstLine="0"/>
      </w:pPr>
      <w:rPr>
        <w:rFonts w:hint="default" w:ascii="宋体" w:hAnsi="宋体" w:eastAsia="宋体" w:cs="宋体"/>
      </w:rPr>
    </w:lvl>
    <w:lvl w:ilvl="3" w:tentative="0">
      <w:start w:val="1"/>
      <w:numFmt w:val="decimal"/>
      <w:lvlText w:val="%1.%2.%3.%4"/>
      <w:lvlJc w:val="left"/>
      <w:pPr>
        <w:ind w:left="0" w:firstLine="0"/>
      </w:pPr>
      <w:rPr>
        <w:rFonts w:hint="default" w:ascii="宋体" w:hAnsi="宋体" w:eastAsia="宋体" w:cs="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6">
    <w:nsid w:val="5F7E2812"/>
    <w:multiLevelType w:val="multilevel"/>
    <w:tmpl w:val="5F7E281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60986183"/>
    <w:multiLevelType w:val="multilevel"/>
    <w:tmpl w:val="60986183"/>
    <w:lvl w:ilvl="0" w:tentative="0">
      <w:start w:val="5"/>
      <w:numFmt w:val="decimal"/>
      <w:lvlText w:val="%1"/>
      <w:lvlJc w:val="left"/>
      <w:pPr>
        <w:ind w:left="0" w:firstLine="0"/>
      </w:pPr>
      <w:rPr>
        <w:rFonts w:hint="default" w:ascii="宋体" w:hAnsi="宋体" w:eastAsia="宋体" w:cs="宋体"/>
      </w:rPr>
    </w:lvl>
    <w:lvl w:ilvl="1" w:tentative="0">
      <w:start w:val="4"/>
      <w:numFmt w:val="decimal"/>
      <w:lvlText w:val="%1.%2"/>
      <w:lvlJc w:val="left"/>
      <w:pPr>
        <w:ind w:left="0" w:firstLine="0"/>
      </w:pPr>
      <w:rPr>
        <w:rFonts w:hint="default" w:ascii="宋体" w:hAnsi="宋体" w:eastAsia="宋体" w:cs="宋体"/>
      </w:rPr>
    </w:lvl>
    <w:lvl w:ilvl="2" w:tentative="0">
      <w:start w:val="1"/>
      <w:numFmt w:val="decimal"/>
      <w:lvlText w:val="%1.%2.%3"/>
      <w:lvlJc w:val="left"/>
      <w:pPr>
        <w:ind w:left="0" w:firstLine="0"/>
      </w:pPr>
      <w:rPr>
        <w:rFonts w:hint="default" w:ascii="宋体" w:hAnsi="宋体" w:eastAsia="宋体" w:cs="宋体"/>
      </w:rPr>
    </w:lvl>
    <w:lvl w:ilvl="3" w:tentative="0">
      <w:start w:val="1"/>
      <w:numFmt w:val="decimal"/>
      <w:lvlText w:val="%1.%2.%3.%4"/>
      <w:lvlJc w:val="left"/>
      <w:pPr>
        <w:ind w:left="0" w:firstLine="0"/>
      </w:pPr>
      <w:rPr>
        <w:rFonts w:hint="default" w:ascii="宋体" w:hAnsi="宋体" w:eastAsia="宋体" w:cs="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8">
    <w:nsid w:val="6D5EFFE5"/>
    <w:multiLevelType w:val="multilevel"/>
    <w:tmpl w:val="6D5EFFE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6EBD8D7E"/>
    <w:multiLevelType w:val="multilevel"/>
    <w:tmpl w:val="6EBD8D7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8"/>
  </w:num>
  <w:num w:numId="2">
    <w:abstractNumId w:val="11"/>
  </w:num>
  <w:num w:numId="3">
    <w:abstractNumId w:val="20"/>
  </w:num>
  <w:num w:numId="4">
    <w:abstractNumId w:val="24"/>
  </w:num>
  <w:num w:numId="5">
    <w:abstractNumId w:val="13"/>
  </w:num>
  <w:num w:numId="6">
    <w:abstractNumId w:val="12"/>
  </w:num>
  <w:num w:numId="7">
    <w:abstractNumId w:val="17"/>
    <w:lvlOverride w:ilvl="0">
      <w:startOverride w:val="1"/>
    </w:lvlOverride>
  </w:num>
  <w:num w:numId="8">
    <w:abstractNumId w:val="22"/>
  </w:num>
  <w:num w:numId="9">
    <w:abstractNumId w:val="14"/>
  </w:num>
  <w:num w:numId="10">
    <w:abstractNumId w:val="6"/>
  </w:num>
  <w:num w:numId="11">
    <w:abstractNumId w:val="15"/>
  </w:num>
  <w:num w:numId="12">
    <w:abstractNumId w:val="9"/>
  </w:num>
  <w:num w:numId="13">
    <w:abstractNumId w:val="4"/>
  </w:num>
  <w:num w:numId="14">
    <w:abstractNumId w:val="25"/>
  </w:num>
  <w:num w:numId="15">
    <w:abstractNumId w:val="7"/>
  </w:num>
  <w:num w:numId="16">
    <w:abstractNumId w:val="3"/>
  </w:num>
  <w:num w:numId="17">
    <w:abstractNumId w:val="21"/>
  </w:num>
  <w:num w:numId="18">
    <w:abstractNumId w:val="5"/>
  </w:num>
  <w:num w:numId="19">
    <w:abstractNumId w:val="28"/>
  </w:num>
  <w:num w:numId="20">
    <w:abstractNumId w:val="2"/>
  </w:num>
  <w:num w:numId="21">
    <w:abstractNumId w:val="23"/>
  </w:num>
  <w:num w:numId="22">
    <w:abstractNumId w:val="16"/>
  </w:num>
  <w:num w:numId="23">
    <w:abstractNumId w:val="1"/>
  </w:num>
  <w:num w:numId="24">
    <w:abstractNumId w:val="29"/>
  </w:num>
  <w:num w:numId="25">
    <w:abstractNumId w:val="10"/>
  </w:num>
  <w:num w:numId="26">
    <w:abstractNumId w:val="27"/>
  </w:num>
  <w:num w:numId="27">
    <w:abstractNumId w:val="26"/>
  </w:num>
  <w:num w:numId="28">
    <w:abstractNumId w:val="8"/>
  </w:num>
  <w:num w:numId="29">
    <w:abstractNumId w:val="19"/>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2MGExNDJjZmIwZDNlMGVjMTBlN2M5NWNhZjcwYzQifQ=="/>
  </w:docVars>
  <w:rsids>
    <w:rsidRoot w:val="00172A27"/>
    <w:rsid w:val="0000237C"/>
    <w:rsid w:val="000072D7"/>
    <w:rsid w:val="00007AAB"/>
    <w:rsid w:val="00007C3D"/>
    <w:rsid w:val="00007F79"/>
    <w:rsid w:val="00011290"/>
    <w:rsid w:val="0001373D"/>
    <w:rsid w:val="000138A4"/>
    <w:rsid w:val="00014498"/>
    <w:rsid w:val="00015C23"/>
    <w:rsid w:val="00015C25"/>
    <w:rsid w:val="00017B92"/>
    <w:rsid w:val="000219D8"/>
    <w:rsid w:val="00021A1B"/>
    <w:rsid w:val="000233D0"/>
    <w:rsid w:val="0002515B"/>
    <w:rsid w:val="00026BD4"/>
    <w:rsid w:val="00027B73"/>
    <w:rsid w:val="000305AF"/>
    <w:rsid w:val="0003097E"/>
    <w:rsid w:val="00031D3D"/>
    <w:rsid w:val="0003293A"/>
    <w:rsid w:val="00033195"/>
    <w:rsid w:val="00033319"/>
    <w:rsid w:val="00033FFB"/>
    <w:rsid w:val="00034967"/>
    <w:rsid w:val="000359B6"/>
    <w:rsid w:val="00041E23"/>
    <w:rsid w:val="00042673"/>
    <w:rsid w:val="000434D4"/>
    <w:rsid w:val="000476F7"/>
    <w:rsid w:val="00051818"/>
    <w:rsid w:val="00053902"/>
    <w:rsid w:val="0006020D"/>
    <w:rsid w:val="00060F64"/>
    <w:rsid w:val="000611EF"/>
    <w:rsid w:val="00062357"/>
    <w:rsid w:val="0006295B"/>
    <w:rsid w:val="00062AD1"/>
    <w:rsid w:val="0006512D"/>
    <w:rsid w:val="00076223"/>
    <w:rsid w:val="00076251"/>
    <w:rsid w:val="0007709D"/>
    <w:rsid w:val="00080747"/>
    <w:rsid w:val="00081BAB"/>
    <w:rsid w:val="000838EC"/>
    <w:rsid w:val="00083FE1"/>
    <w:rsid w:val="0008433E"/>
    <w:rsid w:val="00084ABE"/>
    <w:rsid w:val="0008575A"/>
    <w:rsid w:val="00085BCD"/>
    <w:rsid w:val="00086923"/>
    <w:rsid w:val="00091747"/>
    <w:rsid w:val="00092075"/>
    <w:rsid w:val="00094BE2"/>
    <w:rsid w:val="00095514"/>
    <w:rsid w:val="000A6F32"/>
    <w:rsid w:val="000B0780"/>
    <w:rsid w:val="000B0B34"/>
    <w:rsid w:val="000B0B7F"/>
    <w:rsid w:val="000B2A96"/>
    <w:rsid w:val="000B2CE8"/>
    <w:rsid w:val="000B4852"/>
    <w:rsid w:val="000B6B26"/>
    <w:rsid w:val="000B70B5"/>
    <w:rsid w:val="000C6547"/>
    <w:rsid w:val="000C784E"/>
    <w:rsid w:val="000C78F8"/>
    <w:rsid w:val="000C7AD6"/>
    <w:rsid w:val="000D0F4F"/>
    <w:rsid w:val="000D2613"/>
    <w:rsid w:val="000D3719"/>
    <w:rsid w:val="000D521D"/>
    <w:rsid w:val="000D721A"/>
    <w:rsid w:val="000E0A5A"/>
    <w:rsid w:val="000E0DB0"/>
    <w:rsid w:val="000E190E"/>
    <w:rsid w:val="000E1F6E"/>
    <w:rsid w:val="000E4C02"/>
    <w:rsid w:val="000F29DA"/>
    <w:rsid w:val="000F2C6C"/>
    <w:rsid w:val="000F4B7E"/>
    <w:rsid w:val="000F50B3"/>
    <w:rsid w:val="00102FCD"/>
    <w:rsid w:val="0010322A"/>
    <w:rsid w:val="00105CE1"/>
    <w:rsid w:val="00105EF1"/>
    <w:rsid w:val="00111D84"/>
    <w:rsid w:val="00113BDE"/>
    <w:rsid w:val="001178BA"/>
    <w:rsid w:val="00120A2C"/>
    <w:rsid w:val="00120D0E"/>
    <w:rsid w:val="00123604"/>
    <w:rsid w:val="001246CC"/>
    <w:rsid w:val="00133531"/>
    <w:rsid w:val="0013501A"/>
    <w:rsid w:val="00136AC3"/>
    <w:rsid w:val="001402DA"/>
    <w:rsid w:val="00142173"/>
    <w:rsid w:val="00145808"/>
    <w:rsid w:val="001458C3"/>
    <w:rsid w:val="00146C35"/>
    <w:rsid w:val="0015024F"/>
    <w:rsid w:val="00153A03"/>
    <w:rsid w:val="00162BB1"/>
    <w:rsid w:val="00172A27"/>
    <w:rsid w:val="00182270"/>
    <w:rsid w:val="00183208"/>
    <w:rsid w:val="001845CC"/>
    <w:rsid w:val="00187140"/>
    <w:rsid w:val="00187A87"/>
    <w:rsid w:val="001920B2"/>
    <w:rsid w:val="00192233"/>
    <w:rsid w:val="001954BA"/>
    <w:rsid w:val="00197CB5"/>
    <w:rsid w:val="001A0C31"/>
    <w:rsid w:val="001A0DD7"/>
    <w:rsid w:val="001A2210"/>
    <w:rsid w:val="001A2AB1"/>
    <w:rsid w:val="001A3AB4"/>
    <w:rsid w:val="001A3B9B"/>
    <w:rsid w:val="001A5391"/>
    <w:rsid w:val="001A65BE"/>
    <w:rsid w:val="001B49A4"/>
    <w:rsid w:val="001B7D67"/>
    <w:rsid w:val="001C1DEC"/>
    <w:rsid w:val="001C3429"/>
    <w:rsid w:val="001C4E26"/>
    <w:rsid w:val="001C70A8"/>
    <w:rsid w:val="001D5918"/>
    <w:rsid w:val="001D63B3"/>
    <w:rsid w:val="001E5696"/>
    <w:rsid w:val="001F2F5F"/>
    <w:rsid w:val="001F4E70"/>
    <w:rsid w:val="001F5954"/>
    <w:rsid w:val="002008DC"/>
    <w:rsid w:val="002025CA"/>
    <w:rsid w:val="00207516"/>
    <w:rsid w:val="002077BC"/>
    <w:rsid w:val="0021084B"/>
    <w:rsid w:val="00214A28"/>
    <w:rsid w:val="0021666F"/>
    <w:rsid w:val="00217CD4"/>
    <w:rsid w:val="0022025E"/>
    <w:rsid w:val="00221C5B"/>
    <w:rsid w:val="0022322F"/>
    <w:rsid w:val="00225508"/>
    <w:rsid w:val="002270AF"/>
    <w:rsid w:val="00230EA1"/>
    <w:rsid w:val="0023120B"/>
    <w:rsid w:val="002340F5"/>
    <w:rsid w:val="0023609B"/>
    <w:rsid w:val="0024084B"/>
    <w:rsid w:val="0024098A"/>
    <w:rsid w:val="00241CB8"/>
    <w:rsid w:val="00243020"/>
    <w:rsid w:val="00246D01"/>
    <w:rsid w:val="002503A9"/>
    <w:rsid w:val="002512A0"/>
    <w:rsid w:val="002518A9"/>
    <w:rsid w:val="00253978"/>
    <w:rsid w:val="00257026"/>
    <w:rsid w:val="0025738B"/>
    <w:rsid w:val="00260C5D"/>
    <w:rsid w:val="00263DCB"/>
    <w:rsid w:val="00264410"/>
    <w:rsid w:val="00264836"/>
    <w:rsid w:val="0026524A"/>
    <w:rsid w:val="00271437"/>
    <w:rsid w:val="00272298"/>
    <w:rsid w:val="00275195"/>
    <w:rsid w:val="00280F10"/>
    <w:rsid w:val="00281B78"/>
    <w:rsid w:val="002861AA"/>
    <w:rsid w:val="0028716A"/>
    <w:rsid w:val="00291462"/>
    <w:rsid w:val="00292A2D"/>
    <w:rsid w:val="00292D12"/>
    <w:rsid w:val="00293EC3"/>
    <w:rsid w:val="002969EE"/>
    <w:rsid w:val="002A0D86"/>
    <w:rsid w:val="002A4C06"/>
    <w:rsid w:val="002A4E7D"/>
    <w:rsid w:val="002A593C"/>
    <w:rsid w:val="002B0FCD"/>
    <w:rsid w:val="002B1627"/>
    <w:rsid w:val="002B411F"/>
    <w:rsid w:val="002B5129"/>
    <w:rsid w:val="002B5181"/>
    <w:rsid w:val="002C0FDC"/>
    <w:rsid w:val="002C1622"/>
    <w:rsid w:val="002C23F5"/>
    <w:rsid w:val="002C46B5"/>
    <w:rsid w:val="002C4F33"/>
    <w:rsid w:val="002C6F16"/>
    <w:rsid w:val="002C7176"/>
    <w:rsid w:val="002D66D3"/>
    <w:rsid w:val="002E289D"/>
    <w:rsid w:val="002E4332"/>
    <w:rsid w:val="002E48BF"/>
    <w:rsid w:val="002E6EB3"/>
    <w:rsid w:val="002F0491"/>
    <w:rsid w:val="002F1088"/>
    <w:rsid w:val="002F1D30"/>
    <w:rsid w:val="002F25BD"/>
    <w:rsid w:val="002F5CED"/>
    <w:rsid w:val="002F7555"/>
    <w:rsid w:val="003009A0"/>
    <w:rsid w:val="00301961"/>
    <w:rsid w:val="00302CB4"/>
    <w:rsid w:val="003041C5"/>
    <w:rsid w:val="0030490E"/>
    <w:rsid w:val="00307F53"/>
    <w:rsid w:val="0031043A"/>
    <w:rsid w:val="00310F5F"/>
    <w:rsid w:val="00314D8F"/>
    <w:rsid w:val="0032192C"/>
    <w:rsid w:val="00325102"/>
    <w:rsid w:val="00327461"/>
    <w:rsid w:val="00332BE1"/>
    <w:rsid w:val="003336BA"/>
    <w:rsid w:val="0033377E"/>
    <w:rsid w:val="003337D9"/>
    <w:rsid w:val="003355ED"/>
    <w:rsid w:val="00335F13"/>
    <w:rsid w:val="00336D84"/>
    <w:rsid w:val="00337B89"/>
    <w:rsid w:val="0034066A"/>
    <w:rsid w:val="003442B3"/>
    <w:rsid w:val="003456C5"/>
    <w:rsid w:val="00345DEE"/>
    <w:rsid w:val="003500A0"/>
    <w:rsid w:val="00352E75"/>
    <w:rsid w:val="00354F11"/>
    <w:rsid w:val="003572D2"/>
    <w:rsid w:val="003609B5"/>
    <w:rsid w:val="00360ADC"/>
    <w:rsid w:val="0036114F"/>
    <w:rsid w:val="00365078"/>
    <w:rsid w:val="00365396"/>
    <w:rsid w:val="00365D6A"/>
    <w:rsid w:val="00366685"/>
    <w:rsid w:val="00367EFF"/>
    <w:rsid w:val="00371CB0"/>
    <w:rsid w:val="00377358"/>
    <w:rsid w:val="00382FED"/>
    <w:rsid w:val="003836B5"/>
    <w:rsid w:val="003840FC"/>
    <w:rsid w:val="00385008"/>
    <w:rsid w:val="00385544"/>
    <w:rsid w:val="003901CA"/>
    <w:rsid w:val="00390305"/>
    <w:rsid w:val="00397C78"/>
    <w:rsid w:val="003A3464"/>
    <w:rsid w:val="003A46E7"/>
    <w:rsid w:val="003A7B5C"/>
    <w:rsid w:val="003B014F"/>
    <w:rsid w:val="003B3F51"/>
    <w:rsid w:val="003B4A4E"/>
    <w:rsid w:val="003B5CEB"/>
    <w:rsid w:val="003B62D2"/>
    <w:rsid w:val="003B7C5C"/>
    <w:rsid w:val="003C08F5"/>
    <w:rsid w:val="003C0C87"/>
    <w:rsid w:val="003C17DD"/>
    <w:rsid w:val="003C1BC4"/>
    <w:rsid w:val="003C2783"/>
    <w:rsid w:val="003C5470"/>
    <w:rsid w:val="003D1C77"/>
    <w:rsid w:val="003D2372"/>
    <w:rsid w:val="003D2738"/>
    <w:rsid w:val="003D5A13"/>
    <w:rsid w:val="003E0B63"/>
    <w:rsid w:val="003E1B2F"/>
    <w:rsid w:val="003E22B9"/>
    <w:rsid w:val="003E501D"/>
    <w:rsid w:val="003F395C"/>
    <w:rsid w:val="003F59F1"/>
    <w:rsid w:val="003F7A68"/>
    <w:rsid w:val="0040111F"/>
    <w:rsid w:val="00402259"/>
    <w:rsid w:val="00404E60"/>
    <w:rsid w:val="0040644F"/>
    <w:rsid w:val="0040678B"/>
    <w:rsid w:val="004078F3"/>
    <w:rsid w:val="00407AEA"/>
    <w:rsid w:val="00410361"/>
    <w:rsid w:val="00412181"/>
    <w:rsid w:val="0041409C"/>
    <w:rsid w:val="00415639"/>
    <w:rsid w:val="0041592D"/>
    <w:rsid w:val="00421C2C"/>
    <w:rsid w:val="00421F90"/>
    <w:rsid w:val="004226CE"/>
    <w:rsid w:val="004256D8"/>
    <w:rsid w:val="00430261"/>
    <w:rsid w:val="00430346"/>
    <w:rsid w:val="00430349"/>
    <w:rsid w:val="00430A1F"/>
    <w:rsid w:val="00430F17"/>
    <w:rsid w:val="0043572F"/>
    <w:rsid w:val="00435A92"/>
    <w:rsid w:val="00437CAF"/>
    <w:rsid w:val="0044104F"/>
    <w:rsid w:val="00442FEF"/>
    <w:rsid w:val="00443E6F"/>
    <w:rsid w:val="00445423"/>
    <w:rsid w:val="00445F8E"/>
    <w:rsid w:val="004478D1"/>
    <w:rsid w:val="00452CBE"/>
    <w:rsid w:val="004550E7"/>
    <w:rsid w:val="00456A78"/>
    <w:rsid w:val="0046250F"/>
    <w:rsid w:val="00470090"/>
    <w:rsid w:val="0047136C"/>
    <w:rsid w:val="00471C57"/>
    <w:rsid w:val="004720D1"/>
    <w:rsid w:val="00473216"/>
    <w:rsid w:val="00474C10"/>
    <w:rsid w:val="00474C80"/>
    <w:rsid w:val="004904B4"/>
    <w:rsid w:val="00491465"/>
    <w:rsid w:val="0049277A"/>
    <w:rsid w:val="00492D6D"/>
    <w:rsid w:val="00493951"/>
    <w:rsid w:val="0049577B"/>
    <w:rsid w:val="004959EB"/>
    <w:rsid w:val="00495B9F"/>
    <w:rsid w:val="004A1ADD"/>
    <w:rsid w:val="004A3628"/>
    <w:rsid w:val="004A36BF"/>
    <w:rsid w:val="004A4124"/>
    <w:rsid w:val="004A4CCC"/>
    <w:rsid w:val="004A6283"/>
    <w:rsid w:val="004A7DD5"/>
    <w:rsid w:val="004B023D"/>
    <w:rsid w:val="004B05D7"/>
    <w:rsid w:val="004B2707"/>
    <w:rsid w:val="004B410A"/>
    <w:rsid w:val="004B471F"/>
    <w:rsid w:val="004B7297"/>
    <w:rsid w:val="004B798E"/>
    <w:rsid w:val="004B7AA8"/>
    <w:rsid w:val="004C48EA"/>
    <w:rsid w:val="004C5FBE"/>
    <w:rsid w:val="004C6499"/>
    <w:rsid w:val="004C6B5C"/>
    <w:rsid w:val="004D1405"/>
    <w:rsid w:val="004D631B"/>
    <w:rsid w:val="004D761A"/>
    <w:rsid w:val="004E1E86"/>
    <w:rsid w:val="004E4F25"/>
    <w:rsid w:val="004E6EDB"/>
    <w:rsid w:val="004F05F3"/>
    <w:rsid w:val="004F15FA"/>
    <w:rsid w:val="004F1633"/>
    <w:rsid w:val="004F3C5C"/>
    <w:rsid w:val="004F410F"/>
    <w:rsid w:val="004F464B"/>
    <w:rsid w:val="004F53FC"/>
    <w:rsid w:val="004F6624"/>
    <w:rsid w:val="005023F7"/>
    <w:rsid w:val="005028E4"/>
    <w:rsid w:val="005041F1"/>
    <w:rsid w:val="00504DE7"/>
    <w:rsid w:val="005077FC"/>
    <w:rsid w:val="00511075"/>
    <w:rsid w:val="005114B0"/>
    <w:rsid w:val="005122C6"/>
    <w:rsid w:val="00514273"/>
    <w:rsid w:val="00521130"/>
    <w:rsid w:val="005223CB"/>
    <w:rsid w:val="005252C8"/>
    <w:rsid w:val="00525D33"/>
    <w:rsid w:val="00531346"/>
    <w:rsid w:val="00531747"/>
    <w:rsid w:val="005335E9"/>
    <w:rsid w:val="005415A5"/>
    <w:rsid w:val="005426CA"/>
    <w:rsid w:val="0054297F"/>
    <w:rsid w:val="00543778"/>
    <w:rsid w:val="00544625"/>
    <w:rsid w:val="00544A77"/>
    <w:rsid w:val="00546E77"/>
    <w:rsid w:val="00551E96"/>
    <w:rsid w:val="00553568"/>
    <w:rsid w:val="00553572"/>
    <w:rsid w:val="00557D5D"/>
    <w:rsid w:val="005624E0"/>
    <w:rsid w:val="005628C6"/>
    <w:rsid w:val="00562CB5"/>
    <w:rsid w:val="0056558A"/>
    <w:rsid w:val="00565B38"/>
    <w:rsid w:val="00565E01"/>
    <w:rsid w:val="00566201"/>
    <w:rsid w:val="00566732"/>
    <w:rsid w:val="00566ADF"/>
    <w:rsid w:val="00571BBA"/>
    <w:rsid w:val="00571E9A"/>
    <w:rsid w:val="0057546A"/>
    <w:rsid w:val="00577586"/>
    <w:rsid w:val="0058039A"/>
    <w:rsid w:val="005828B7"/>
    <w:rsid w:val="0059152B"/>
    <w:rsid w:val="00592D36"/>
    <w:rsid w:val="00593DD3"/>
    <w:rsid w:val="00594866"/>
    <w:rsid w:val="00597064"/>
    <w:rsid w:val="00597A37"/>
    <w:rsid w:val="005A069F"/>
    <w:rsid w:val="005A29D5"/>
    <w:rsid w:val="005A5A85"/>
    <w:rsid w:val="005A6918"/>
    <w:rsid w:val="005A77B7"/>
    <w:rsid w:val="005A7D70"/>
    <w:rsid w:val="005A7D7E"/>
    <w:rsid w:val="005B3753"/>
    <w:rsid w:val="005C1AC1"/>
    <w:rsid w:val="005C2259"/>
    <w:rsid w:val="005C2D9C"/>
    <w:rsid w:val="005C3E9E"/>
    <w:rsid w:val="005C6813"/>
    <w:rsid w:val="005C6C8F"/>
    <w:rsid w:val="005C759E"/>
    <w:rsid w:val="005D2D5C"/>
    <w:rsid w:val="005D2F94"/>
    <w:rsid w:val="005D5EAB"/>
    <w:rsid w:val="005D6CB1"/>
    <w:rsid w:val="005E04AC"/>
    <w:rsid w:val="005E04DB"/>
    <w:rsid w:val="005E20C8"/>
    <w:rsid w:val="005E2180"/>
    <w:rsid w:val="005E3EAB"/>
    <w:rsid w:val="005E6846"/>
    <w:rsid w:val="005E730B"/>
    <w:rsid w:val="005F00A3"/>
    <w:rsid w:val="005F0210"/>
    <w:rsid w:val="005F17D3"/>
    <w:rsid w:val="005F38D1"/>
    <w:rsid w:val="005F48CB"/>
    <w:rsid w:val="005F7DAB"/>
    <w:rsid w:val="006004A5"/>
    <w:rsid w:val="00601958"/>
    <w:rsid w:val="00602025"/>
    <w:rsid w:val="006021CA"/>
    <w:rsid w:val="006030BF"/>
    <w:rsid w:val="0060601C"/>
    <w:rsid w:val="006104AE"/>
    <w:rsid w:val="0061350E"/>
    <w:rsid w:val="00615A1C"/>
    <w:rsid w:val="006168ED"/>
    <w:rsid w:val="00616E3D"/>
    <w:rsid w:val="00621605"/>
    <w:rsid w:val="006234B0"/>
    <w:rsid w:val="00624FAC"/>
    <w:rsid w:val="0062547A"/>
    <w:rsid w:val="00626F36"/>
    <w:rsid w:val="00627DB1"/>
    <w:rsid w:val="00631591"/>
    <w:rsid w:val="0063193A"/>
    <w:rsid w:val="006326D0"/>
    <w:rsid w:val="00633ACD"/>
    <w:rsid w:val="00634D4B"/>
    <w:rsid w:val="00635EC7"/>
    <w:rsid w:val="00640984"/>
    <w:rsid w:val="006410CE"/>
    <w:rsid w:val="0064136F"/>
    <w:rsid w:val="00641952"/>
    <w:rsid w:val="00641B50"/>
    <w:rsid w:val="00645238"/>
    <w:rsid w:val="00645CFB"/>
    <w:rsid w:val="006478DD"/>
    <w:rsid w:val="00654A2E"/>
    <w:rsid w:val="00654F5A"/>
    <w:rsid w:val="006575D8"/>
    <w:rsid w:val="00657BFA"/>
    <w:rsid w:val="00660D42"/>
    <w:rsid w:val="00661323"/>
    <w:rsid w:val="006628F2"/>
    <w:rsid w:val="00662CAC"/>
    <w:rsid w:val="00665E8A"/>
    <w:rsid w:val="00665FC1"/>
    <w:rsid w:val="006713FB"/>
    <w:rsid w:val="006718D5"/>
    <w:rsid w:val="00675B05"/>
    <w:rsid w:val="00677D21"/>
    <w:rsid w:val="0068094C"/>
    <w:rsid w:val="006832C5"/>
    <w:rsid w:val="006840A1"/>
    <w:rsid w:val="00685104"/>
    <w:rsid w:val="00696FC0"/>
    <w:rsid w:val="006A2319"/>
    <w:rsid w:val="006A270D"/>
    <w:rsid w:val="006A4814"/>
    <w:rsid w:val="006A771C"/>
    <w:rsid w:val="006B4F56"/>
    <w:rsid w:val="006B5227"/>
    <w:rsid w:val="006B593D"/>
    <w:rsid w:val="006B63B0"/>
    <w:rsid w:val="006C08A2"/>
    <w:rsid w:val="006C4BE2"/>
    <w:rsid w:val="006C5433"/>
    <w:rsid w:val="006C69DC"/>
    <w:rsid w:val="006D2277"/>
    <w:rsid w:val="006D23DF"/>
    <w:rsid w:val="006D34B7"/>
    <w:rsid w:val="006D619A"/>
    <w:rsid w:val="006E0BB9"/>
    <w:rsid w:val="006E6689"/>
    <w:rsid w:val="006F070A"/>
    <w:rsid w:val="006F4B38"/>
    <w:rsid w:val="006F742B"/>
    <w:rsid w:val="00700F01"/>
    <w:rsid w:val="00702C11"/>
    <w:rsid w:val="00702E04"/>
    <w:rsid w:val="00704DB3"/>
    <w:rsid w:val="00707691"/>
    <w:rsid w:val="0071038F"/>
    <w:rsid w:val="00710B0D"/>
    <w:rsid w:val="007110BA"/>
    <w:rsid w:val="00711591"/>
    <w:rsid w:val="0071496D"/>
    <w:rsid w:val="00717413"/>
    <w:rsid w:val="00722772"/>
    <w:rsid w:val="0072346B"/>
    <w:rsid w:val="007242A1"/>
    <w:rsid w:val="00726446"/>
    <w:rsid w:val="0072647E"/>
    <w:rsid w:val="00730D22"/>
    <w:rsid w:val="00731275"/>
    <w:rsid w:val="00732DA3"/>
    <w:rsid w:val="007330A9"/>
    <w:rsid w:val="007365BA"/>
    <w:rsid w:val="00736C10"/>
    <w:rsid w:val="007401B4"/>
    <w:rsid w:val="00740E2A"/>
    <w:rsid w:val="007422D1"/>
    <w:rsid w:val="007431BE"/>
    <w:rsid w:val="00745E1C"/>
    <w:rsid w:val="007471B3"/>
    <w:rsid w:val="0075125C"/>
    <w:rsid w:val="00753726"/>
    <w:rsid w:val="00760067"/>
    <w:rsid w:val="007600F0"/>
    <w:rsid w:val="00760283"/>
    <w:rsid w:val="00760E13"/>
    <w:rsid w:val="00762964"/>
    <w:rsid w:val="007704CA"/>
    <w:rsid w:val="0077119B"/>
    <w:rsid w:val="00771255"/>
    <w:rsid w:val="007733F5"/>
    <w:rsid w:val="00773845"/>
    <w:rsid w:val="00775441"/>
    <w:rsid w:val="00776366"/>
    <w:rsid w:val="007800CB"/>
    <w:rsid w:val="00781400"/>
    <w:rsid w:val="00783096"/>
    <w:rsid w:val="00784C49"/>
    <w:rsid w:val="00785004"/>
    <w:rsid w:val="00786116"/>
    <w:rsid w:val="00787056"/>
    <w:rsid w:val="00787A17"/>
    <w:rsid w:val="007916B7"/>
    <w:rsid w:val="00793B6E"/>
    <w:rsid w:val="0079510C"/>
    <w:rsid w:val="00795F49"/>
    <w:rsid w:val="007A33B8"/>
    <w:rsid w:val="007A3AFE"/>
    <w:rsid w:val="007A597A"/>
    <w:rsid w:val="007A5B59"/>
    <w:rsid w:val="007A686F"/>
    <w:rsid w:val="007A7EB5"/>
    <w:rsid w:val="007B1F08"/>
    <w:rsid w:val="007B3185"/>
    <w:rsid w:val="007B3291"/>
    <w:rsid w:val="007B5CA1"/>
    <w:rsid w:val="007B6F29"/>
    <w:rsid w:val="007C4426"/>
    <w:rsid w:val="007C4F67"/>
    <w:rsid w:val="007C6624"/>
    <w:rsid w:val="007C7913"/>
    <w:rsid w:val="007D0348"/>
    <w:rsid w:val="007D09DE"/>
    <w:rsid w:val="007D1FEB"/>
    <w:rsid w:val="007D20A6"/>
    <w:rsid w:val="007D542C"/>
    <w:rsid w:val="007D6975"/>
    <w:rsid w:val="007E0555"/>
    <w:rsid w:val="007E2864"/>
    <w:rsid w:val="007E3D4C"/>
    <w:rsid w:val="007E4D3E"/>
    <w:rsid w:val="007F0E62"/>
    <w:rsid w:val="007F289F"/>
    <w:rsid w:val="007F6A50"/>
    <w:rsid w:val="00800AFB"/>
    <w:rsid w:val="00800B93"/>
    <w:rsid w:val="008039DF"/>
    <w:rsid w:val="008041A7"/>
    <w:rsid w:val="0080449E"/>
    <w:rsid w:val="00805D7D"/>
    <w:rsid w:val="008102FB"/>
    <w:rsid w:val="00811DE0"/>
    <w:rsid w:val="00814C4A"/>
    <w:rsid w:val="008156AE"/>
    <w:rsid w:val="00822CCC"/>
    <w:rsid w:val="00822D3D"/>
    <w:rsid w:val="00822F12"/>
    <w:rsid w:val="00823C62"/>
    <w:rsid w:val="008334E5"/>
    <w:rsid w:val="00834BEF"/>
    <w:rsid w:val="00834FE2"/>
    <w:rsid w:val="00845CA1"/>
    <w:rsid w:val="00846EEC"/>
    <w:rsid w:val="00851222"/>
    <w:rsid w:val="008518EF"/>
    <w:rsid w:val="008544D8"/>
    <w:rsid w:val="00856794"/>
    <w:rsid w:val="008579EB"/>
    <w:rsid w:val="00860A25"/>
    <w:rsid w:val="008626AD"/>
    <w:rsid w:val="008636B8"/>
    <w:rsid w:val="00864480"/>
    <w:rsid w:val="00864AA3"/>
    <w:rsid w:val="008654E6"/>
    <w:rsid w:val="00871199"/>
    <w:rsid w:val="008740C9"/>
    <w:rsid w:val="008804B1"/>
    <w:rsid w:val="008809F9"/>
    <w:rsid w:val="00881084"/>
    <w:rsid w:val="0088137E"/>
    <w:rsid w:val="00881E5B"/>
    <w:rsid w:val="00883086"/>
    <w:rsid w:val="008847D6"/>
    <w:rsid w:val="00885175"/>
    <w:rsid w:val="00891420"/>
    <w:rsid w:val="008A5AC4"/>
    <w:rsid w:val="008A61E7"/>
    <w:rsid w:val="008A7637"/>
    <w:rsid w:val="008B0F94"/>
    <w:rsid w:val="008B54FF"/>
    <w:rsid w:val="008C2C91"/>
    <w:rsid w:val="008D2ACC"/>
    <w:rsid w:val="008D744D"/>
    <w:rsid w:val="008D77A0"/>
    <w:rsid w:val="008E0EB1"/>
    <w:rsid w:val="008E3327"/>
    <w:rsid w:val="008E45F5"/>
    <w:rsid w:val="008F1ED8"/>
    <w:rsid w:val="008F3C3D"/>
    <w:rsid w:val="008F5D88"/>
    <w:rsid w:val="00901BE1"/>
    <w:rsid w:val="009022CE"/>
    <w:rsid w:val="00902B58"/>
    <w:rsid w:val="009045DF"/>
    <w:rsid w:val="00905F8D"/>
    <w:rsid w:val="0090687B"/>
    <w:rsid w:val="009078CD"/>
    <w:rsid w:val="00915829"/>
    <w:rsid w:val="00920960"/>
    <w:rsid w:val="00923114"/>
    <w:rsid w:val="009235E1"/>
    <w:rsid w:val="00923A51"/>
    <w:rsid w:val="009257F9"/>
    <w:rsid w:val="00932DA0"/>
    <w:rsid w:val="00933876"/>
    <w:rsid w:val="00934104"/>
    <w:rsid w:val="009343A8"/>
    <w:rsid w:val="00937FB3"/>
    <w:rsid w:val="009432BF"/>
    <w:rsid w:val="009449B5"/>
    <w:rsid w:val="00950F38"/>
    <w:rsid w:val="00960553"/>
    <w:rsid w:val="00960DF7"/>
    <w:rsid w:val="00970025"/>
    <w:rsid w:val="00973297"/>
    <w:rsid w:val="009771EB"/>
    <w:rsid w:val="00981933"/>
    <w:rsid w:val="009831C4"/>
    <w:rsid w:val="009A1A88"/>
    <w:rsid w:val="009A48AF"/>
    <w:rsid w:val="009B099A"/>
    <w:rsid w:val="009B0E63"/>
    <w:rsid w:val="009B5421"/>
    <w:rsid w:val="009B5F59"/>
    <w:rsid w:val="009B6C5D"/>
    <w:rsid w:val="009B6D42"/>
    <w:rsid w:val="009C0C8B"/>
    <w:rsid w:val="009C1F50"/>
    <w:rsid w:val="009C2011"/>
    <w:rsid w:val="009C2237"/>
    <w:rsid w:val="009C3E4F"/>
    <w:rsid w:val="009C68AB"/>
    <w:rsid w:val="009C6B38"/>
    <w:rsid w:val="009D147D"/>
    <w:rsid w:val="009D2A70"/>
    <w:rsid w:val="009D2CD1"/>
    <w:rsid w:val="009D3199"/>
    <w:rsid w:val="009D6A97"/>
    <w:rsid w:val="009E07B9"/>
    <w:rsid w:val="009E1850"/>
    <w:rsid w:val="009E27F9"/>
    <w:rsid w:val="009E3A08"/>
    <w:rsid w:val="009E6BFF"/>
    <w:rsid w:val="009F112F"/>
    <w:rsid w:val="00A017A6"/>
    <w:rsid w:val="00A02CEA"/>
    <w:rsid w:val="00A0489B"/>
    <w:rsid w:val="00A04EA3"/>
    <w:rsid w:val="00A0627A"/>
    <w:rsid w:val="00A0684E"/>
    <w:rsid w:val="00A11180"/>
    <w:rsid w:val="00A1162A"/>
    <w:rsid w:val="00A20AD5"/>
    <w:rsid w:val="00A22276"/>
    <w:rsid w:val="00A228EC"/>
    <w:rsid w:val="00A235E5"/>
    <w:rsid w:val="00A2755D"/>
    <w:rsid w:val="00A27714"/>
    <w:rsid w:val="00A32B18"/>
    <w:rsid w:val="00A35846"/>
    <w:rsid w:val="00A36447"/>
    <w:rsid w:val="00A41CE5"/>
    <w:rsid w:val="00A45063"/>
    <w:rsid w:val="00A50F84"/>
    <w:rsid w:val="00A51CAA"/>
    <w:rsid w:val="00A55023"/>
    <w:rsid w:val="00A5524A"/>
    <w:rsid w:val="00A57E6E"/>
    <w:rsid w:val="00A60D72"/>
    <w:rsid w:val="00A61006"/>
    <w:rsid w:val="00A6147F"/>
    <w:rsid w:val="00A61EC3"/>
    <w:rsid w:val="00A62951"/>
    <w:rsid w:val="00A66A63"/>
    <w:rsid w:val="00A66B3F"/>
    <w:rsid w:val="00A67756"/>
    <w:rsid w:val="00A70486"/>
    <w:rsid w:val="00A70DE8"/>
    <w:rsid w:val="00A7153F"/>
    <w:rsid w:val="00A71920"/>
    <w:rsid w:val="00A74E85"/>
    <w:rsid w:val="00A76A22"/>
    <w:rsid w:val="00A811B4"/>
    <w:rsid w:val="00A81309"/>
    <w:rsid w:val="00A836DD"/>
    <w:rsid w:val="00A83B39"/>
    <w:rsid w:val="00A85AD9"/>
    <w:rsid w:val="00A87AE0"/>
    <w:rsid w:val="00A87F2A"/>
    <w:rsid w:val="00A9112F"/>
    <w:rsid w:val="00A92338"/>
    <w:rsid w:val="00A94E76"/>
    <w:rsid w:val="00A95668"/>
    <w:rsid w:val="00A96AAA"/>
    <w:rsid w:val="00A96D3B"/>
    <w:rsid w:val="00AA055C"/>
    <w:rsid w:val="00AA1B9A"/>
    <w:rsid w:val="00AA373A"/>
    <w:rsid w:val="00AA4D41"/>
    <w:rsid w:val="00AB03EC"/>
    <w:rsid w:val="00AB0F4F"/>
    <w:rsid w:val="00AB240E"/>
    <w:rsid w:val="00AC0697"/>
    <w:rsid w:val="00AC45AB"/>
    <w:rsid w:val="00AC5E88"/>
    <w:rsid w:val="00AC6CBC"/>
    <w:rsid w:val="00AC74C7"/>
    <w:rsid w:val="00AC75BB"/>
    <w:rsid w:val="00AC79C3"/>
    <w:rsid w:val="00AD1D02"/>
    <w:rsid w:val="00AD1E0F"/>
    <w:rsid w:val="00AD3E5C"/>
    <w:rsid w:val="00AE0424"/>
    <w:rsid w:val="00AE2027"/>
    <w:rsid w:val="00AE30B7"/>
    <w:rsid w:val="00AE38B8"/>
    <w:rsid w:val="00AE3DD1"/>
    <w:rsid w:val="00AE6E28"/>
    <w:rsid w:val="00AE78C0"/>
    <w:rsid w:val="00AF0BBC"/>
    <w:rsid w:val="00AF23C6"/>
    <w:rsid w:val="00AF25D0"/>
    <w:rsid w:val="00AF7286"/>
    <w:rsid w:val="00AF76A6"/>
    <w:rsid w:val="00B001FD"/>
    <w:rsid w:val="00B01F0C"/>
    <w:rsid w:val="00B04C81"/>
    <w:rsid w:val="00B07927"/>
    <w:rsid w:val="00B1404B"/>
    <w:rsid w:val="00B142B5"/>
    <w:rsid w:val="00B305AA"/>
    <w:rsid w:val="00B30690"/>
    <w:rsid w:val="00B321E1"/>
    <w:rsid w:val="00B32278"/>
    <w:rsid w:val="00B32653"/>
    <w:rsid w:val="00B333B2"/>
    <w:rsid w:val="00B333EF"/>
    <w:rsid w:val="00B400A8"/>
    <w:rsid w:val="00B4453C"/>
    <w:rsid w:val="00B4733C"/>
    <w:rsid w:val="00B478B9"/>
    <w:rsid w:val="00B51408"/>
    <w:rsid w:val="00B52512"/>
    <w:rsid w:val="00B5270A"/>
    <w:rsid w:val="00B5305D"/>
    <w:rsid w:val="00B5530C"/>
    <w:rsid w:val="00B556B9"/>
    <w:rsid w:val="00B563E8"/>
    <w:rsid w:val="00B57CCF"/>
    <w:rsid w:val="00B60F94"/>
    <w:rsid w:val="00B61FE3"/>
    <w:rsid w:val="00B65698"/>
    <w:rsid w:val="00B65FD2"/>
    <w:rsid w:val="00B66C80"/>
    <w:rsid w:val="00B73075"/>
    <w:rsid w:val="00B7525F"/>
    <w:rsid w:val="00B81EE6"/>
    <w:rsid w:val="00B82067"/>
    <w:rsid w:val="00B835EA"/>
    <w:rsid w:val="00B83AE3"/>
    <w:rsid w:val="00B87265"/>
    <w:rsid w:val="00B87BA9"/>
    <w:rsid w:val="00B90767"/>
    <w:rsid w:val="00B92FB3"/>
    <w:rsid w:val="00B9319A"/>
    <w:rsid w:val="00B974A5"/>
    <w:rsid w:val="00BA2B6A"/>
    <w:rsid w:val="00BA6692"/>
    <w:rsid w:val="00BA6F49"/>
    <w:rsid w:val="00BB2DA4"/>
    <w:rsid w:val="00BB4447"/>
    <w:rsid w:val="00BC0F9E"/>
    <w:rsid w:val="00BC1147"/>
    <w:rsid w:val="00BD0CEC"/>
    <w:rsid w:val="00BD0F84"/>
    <w:rsid w:val="00BD1AFA"/>
    <w:rsid w:val="00BD36A6"/>
    <w:rsid w:val="00BD3AA3"/>
    <w:rsid w:val="00BD7869"/>
    <w:rsid w:val="00BE0037"/>
    <w:rsid w:val="00BE307D"/>
    <w:rsid w:val="00BE3FFD"/>
    <w:rsid w:val="00BE416F"/>
    <w:rsid w:val="00BE65B1"/>
    <w:rsid w:val="00BF0819"/>
    <w:rsid w:val="00BF1AA1"/>
    <w:rsid w:val="00BF1E48"/>
    <w:rsid w:val="00BF1FB2"/>
    <w:rsid w:val="00BF261A"/>
    <w:rsid w:val="00BF27FA"/>
    <w:rsid w:val="00BF4B93"/>
    <w:rsid w:val="00BF6A44"/>
    <w:rsid w:val="00BF6BE9"/>
    <w:rsid w:val="00C00F13"/>
    <w:rsid w:val="00C01E9F"/>
    <w:rsid w:val="00C02164"/>
    <w:rsid w:val="00C02B4B"/>
    <w:rsid w:val="00C06873"/>
    <w:rsid w:val="00C0695F"/>
    <w:rsid w:val="00C10CE7"/>
    <w:rsid w:val="00C111BE"/>
    <w:rsid w:val="00C14B0E"/>
    <w:rsid w:val="00C20A2F"/>
    <w:rsid w:val="00C2160D"/>
    <w:rsid w:val="00C248C6"/>
    <w:rsid w:val="00C34408"/>
    <w:rsid w:val="00C42B59"/>
    <w:rsid w:val="00C44F8E"/>
    <w:rsid w:val="00C4753B"/>
    <w:rsid w:val="00C5028C"/>
    <w:rsid w:val="00C51C10"/>
    <w:rsid w:val="00C531D3"/>
    <w:rsid w:val="00C532DF"/>
    <w:rsid w:val="00C67EE3"/>
    <w:rsid w:val="00C743AA"/>
    <w:rsid w:val="00C744C7"/>
    <w:rsid w:val="00C7558C"/>
    <w:rsid w:val="00C75C71"/>
    <w:rsid w:val="00C7779F"/>
    <w:rsid w:val="00C802CD"/>
    <w:rsid w:val="00C823A1"/>
    <w:rsid w:val="00C8511C"/>
    <w:rsid w:val="00C87707"/>
    <w:rsid w:val="00CA331D"/>
    <w:rsid w:val="00CA3770"/>
    <w:rsid w:val="00CA4B08"/>
    <w:rsid w:val="00CB0C7B"/>
    <w:rsid w:val="00CB3DA7"/>
    <w:rsid w:val="00CB7B51"/>
    <w:rsid w:val="00CD55C3"/>
    <w:rsid w:val="00CD70E4"/>
    <w:rsid w:val="00CE1CC8"/>
    <w:rsid w:val="00CE2023"/>
    <w:rsid w:val="00CE2DA8"/>
    <w:rsid w:val="00CE35E4"/>
    <w:rsid w:val="00CF0870"/>
    <w:rsid w:val="00CF0C00"/>
    <w:rsid w:val="00CF47B7"/>
    <w:rsid w:val="00CF67D3"/>
    <w:rsid w:val="00CF69BD"/>
    <w:rsid w:val="00D009C5"/>
    <w:rsid w:val="00D00F3B"/>
    <w:rsid w:val="00D022A4"/>
    <w:rsid w:val="00D069A4"/>
    <w:rsid w:val="00D07E5F"/>
    <w:rsid w:val="00D07FBC"/>
    <w:rsid w:val="00D118BF"/>
    <w:rsid w:val="00D13AD2"/>
    <w:rsid w:val="00D21B0E"/>
    <w:rsid w:val="00D21BED"/>
    <w:rsid w:val="00D27FD4"/>
    <w:rsid w:val="00D319DE"/>
    <w:rsid w:val="00D32346"/>
    <w:rsid w:val="00D33267"/>
    <w:rsid w:val="00D33584"/>
    <w:rsid w:val="00D36D31"/>
    <w:rsid w:val="00D41F35"/>
    <w:rsid w:val="00D42B00"/>
    <w:rsid w:val="00D43CB5"/>
    <w:rsid w:val="00D4625E"/>
    <w:rsid w:val="00D4774F"/>
    <w:rsid w:val="00D507F4"/>
    <w:rsid w:val="00D50AC0"/>
    <w:rsid w:val="00D510E5"/>
    <w:rsid w:val="00D51692"/>
    <w:rsid w:val="00D54501"/>
    <w:rsid w:val="00D570B5"/>
    <w:rsid w:val="00D608A4"/>
    <w:rsid w:val="00D62C0D"/>
    <w:rsid w:val="00D63D3E"/>
    <w:rsid w:val="00D67814"/>
    <w:rsid w:val="00D7173F"/>
    <w:rsid w:val="00D7193C"/>
    <w:rsid w:val="00D71C50"/>
    <w:rsid w:val="00D7609F"/>
    <w:rsid w:val="00D77DBC"/>
    <w:rsid w:val="00D800BA"/>
    <w:rsid w:val="00D811F4"/>
    <w:rsid w:val="00D81CEA"/>
    <w:rsid w:val="00D82279"/>
    <w:rsid w:val="00D83CD4"/>
    <w:rsid w:val="00D840BF"/>
    <w:rsid w:val="00D84AC8"/>
    <w:rsid w:val="00D84D49"/>
    <w:rsid w:val="00DA24E2"/>
    <w:rsid w:val="00DA2D09"/>
    <w:rsid w:val="00DA4AA0"/>
    <w:rsid w:val="00DA4C74"/>
    <w:rsid w:val="00DA773E"/>
    <w:rsid w:val="00DB1EA7"/>
    <w:rsid w:val="00DB2BCD"/>
    <w:rsid w:val="00DB47BE"/>
    <w:rsid w:val="00DB54DE"/>
    <w:rsid w:val="00DB5B04"/>
    <w:rsid w:val="00DB73F9"/>
    <w:rsid w:val="00DC3AE0"/>
    <w:rsid w:val="00DC6C38"/>
    <w:rsid w:val="00DD1057"/>
    <w:rsid w:val="00DD47EC"/>
    <w:rsid w:val="00DE1277"/>
    <w:rsid w:val="00DE2EA4"/>
    <w:rsid w:val="00DE4D8D"/>
    <w:rsid w:val="00DE5C18"/>
    <w:rsid w:val="00DE6D4A"/>
    <w:rsid w:val="00DF04F8"/>
    <w:rsid w:val="00E02613"/>
    <w:rsid w:val="00E02E17"/>
    <w:rsid w:val="00E072B0"/>
    <w:rsid w:val="00E07F2E"/>
    <w:rsid w:val="00E12D9D"/>
    <w:rsid w:val="00E15086"/>
    <w:rsid w:val="00E1546E"/>
    <w:rsid w:val="00E17EC8"/>
    <w:rsid w:val="00E23D8E"/>
    <w:rsid w:val="00E277F4"/>
    <w:rsid w:val="00E31C70"/>
    <w:rsid w:val="00E37546"/>
    <w:rsid w:val="00E45858"/>
    <w:rsid w:val="00E53D32"/>
    <w:rsid w:val="00E6243D"/>
    <w:rsid w:val="00E633B5"/>
    <w:rsid w:val="00E64F91"/>
    <w:rsid w:val="00E6531B"/>
    <w:rsid w:val="00E7043D"/>
    <w:rsid w:val="00E71B7C"/>
    <w:rsid w:val="00E73371"/>
    <w:rsid w:val="00E742F8"/>
    <w:rsid w:val="00E74D37"/>
    <w:rsid w:val="00E77F2D"/>
    <w:rsid w:val="00E854E9"/>
    <w:rsid w:val="00E86828"/>
    <w:rsid w:val="00E86A5E"/>
    <w:rsid w:val="00E91F7E"/>
    <w:rsid w:val="00E930FD"/>
    <w:rsid w:val="00E94D5B"/>
    <w:rsid w:val="00E9585B"/>
    <w:rsid w:val="00E9628E"/>
    <w:rsid w:val="00EA110C"/>
    <w:rsid w:val="00EA2841"/>
    <w:rsid w:val="00EA4879"/>
    <w:rsid w:val="00EA62E6"/>
    <w:rsid w:val="00EB0C52"/>
    <w:rsid w:val="00EB0D4E"/>
    <w:rsid w:val="00EB407B"/>
    <w:rsid w:val="00EB7883"/>
    <w:rsid w:val="00EC4F9B"/>
    <w:rsid w:val="00EC5086"/>
    <w:rsid w:val="00EC5A73"/>
    <w:rsid w:val="00EC5D71"/>
    <w:rsid w:val="00EC600D"/>
    <w:rsid w:val="00EC6C5D"/>
    <w:rsid w:val="00ED09E2"/>
    <w:rsid w:val="00ED3D19"/>
    <w:rsid w:val="00ED64D2"/>
    <w:rsid w:val="00ED7D21"/>
    <w:rsid w:val="00ED7FAB"/>
    <w:rsid w:val="00EE2FF1"/>
    <w:rsid w:val="00EE38D2"/>
    <w:rsid w:val="00EE5F64"/>
    <w:rsid w:val="00EF49B9"/>
    <w:rsid w:val="00EF786E"/>
    <w:rsid w:val="00F004E5"/>
    <w:rsid w:val="00F024D3"/>
    <w:rsid w:val="00F06402"/>
    <w:rsid w:val="00F07305"/>
    <w:rsid w:val="00F07AAE"/>
    <w:rsid w:val="00F10044"/>
    <w:rsid w:val="00F11F47"/>
    <w:rsid w:val="00F128AE"/>
    <w:rsid w:val="00F15EC4"/>
    <w:rsid w:val="00F20576"/>
    <w:rsid w:val="00F22404"/>
    <w:rsid w:val="00F24087"/>
    <w:rsid w:val="00F267DE"/>
    <w:rsid w:val="00F27A45"/>
    <w:rsid w:val="00F31F23"/>
    <w:rsid w:val="00F31FD0"/>
    <w:rsid w:val="00F32E3F"/>
    <w:rsid w:val="00F34904"/>
    <w:rsid w:val="00F35CA2"/>
    <w:rsid w:val="00F406D9"/>
    <w:rsid w:val="00F4139A"/>
    <w:rsid w:val="00F4213C"/>
    <w:rsid w:val="00F422A4"/>
    <w:rsid w:val="00F42CA8"/>
    <w:rsid w:val="00F4544B"/>
    <w:rsid w:val="00F46D54"/>
    <w:rsid w:val="00F46F13"/>
    <w:rsid w:val="00F474E5"/>
    <w:rsid w:val="00F5297C"/>
    <w:rsid w:val="00F537B0"/>
    <w:rsid w:val="00F54514"/>
    <w:rsid w:val="00F54A03"/>
    <w:rsid w:val="00F565AE"/>
    <w:rsid w:val="00F6277D"/>
    <w:rsid w:val="00F62FB6"/>
    <w:rsid w:val="00F663BB"/>
    <w:rsid w:val="00F73622"/>
    <w:rsid w:val="00F74497"/>
    <w:rsid w:val="00F74978"/>
    <w:rsid w:val="00F74AD1"/>
    <w:rsid w:val="00F74C53"/>
    <w:rsid w:val="00F7677B"/>
    <w:rsid w:val="00F80274"/>
    <w:rsid w:val="00F80967"/>
    <w:rsid w:val="00F82AE6"/>
    <w:rsid w:val="00F84C39"/>
    <w:rsid w:val="00F84E86"/>
    <w:rsid w:val="00F85872"/>
    <w:rsid w:val="00F85B6E"/>
    <w:rsid w:val="00F8718D"/>
    <w:rsid w:val="00F87A4D"/>
    <w:rsid w:val="00F92E97"/>
    <w:rsid w:val="00F9456F"/>
    <w:rsid w:val="00F95542"/>
    <w:rsid w:val="00F95CA0"/>
    <w:rsid w:val="00F97651"/>
    <w:rsid w:val="00F97F1D"/>
    <w:rsid w:val="00FA1030"/>
    <w:rsid w:val="00FA143A"/>
    <w:rsid w:val="00FA3804"/>
    <w:rsid w:val="00FA4A1E"/>
    <w:rsid w:val="00FA74D3"/>
    <w:rsid w:val="00FB109A"/>
    <w:rsid w:val="00FB1C2D"/>
    <w:rsid w:val="00FB2D5F"/>
    <w:rsid w:val="00FB66B3"/>
    <w:rsid w:val="00FC1B3A"/>
    <w:rsid w:val="00FC44BD"/>
    <w:rsid w:val="00FC52BF"/>
    <w:rsid w:val="00FC540D"/>
    <w:rsid w:val="00FD2D66"/>
    <w:rsid w:val="00FE30F8"/>
    <w:rsid w:val="00FE3321"/>
    <w:rsid w:val="00FE7C10"/>
    <w:rsid w:val="00FF06B1"/>
    <w:rsid w:val="00FF59E2"/>
    <w:rsid w:val="00FF63FE"/>
    <w:rsid w:val="00FF79E5"/>
    <w:rsid w:val="012D6B40"/>
    <w:rsid w:val="012F7D47"/>
    <w:rsid w:val="013E6467"/>
    <w:rsid w:val="01926AAD"/>
    <w:rsid w:val="01B650B3"/>
    <w:rsid w:val="01FD16D9"/>
    <w:rsid w:val="02010BAB"/>
    <w:rsid w:val="02234D50"/>
    <w:rsid w:val="02257274"/>
    <w:rsid w:val="027363AA"/>
    <w:rsid w:val="03110412"/>
    <w:rsid w:val="03161A98"/>
    <w:rsid w:val="03740544"/>
    <w:rsid w:val="03D6673A"/>
    <w:rsid w:val="04691F8B"/>
    <w:rsid w:val="04BF4005"/>
    <w:rsid w:val="04FD2BA8"/>
    <w:rsid w:val="050E4543"/>
    <w:rsid w:val="05590568"/>
    <w:rsid w:val="05832EF4"/>
    <w:rsid w:val="058757C5"/>
    <w:rsid w:val="058B1BD2"/>
    <w:rsid w:val="059308E8"/>
    <w:rsid w:val="05A90AB4"/>
    <w:rsid w:val="05DF1E1F"/>
    <w:rsid w:val="05E2560E"/>
    <w:rsid w:val="063D0285"/>
    <w:rsid w:val="06C93929"/>
    <w:rsid w:val="06D9088B"/>
    <w:rsid w:val="06F8256F"/>
    <w:rsid w:val="0743584D"/>
    <w:rsid w:val="074512CA"/>
    <w:rsid w:val="07671349"/>
    <w:rsid w:val="07736856"/>
    <w:rsid w:val="08037B19"/>
    <w:rsid w:val="08302A9C"/>
    <w:rsid w:val="088E0CFF"/>
    <w:rsid w:val="08AB5CCD"/>
    <w:rsid w:val="08E12C56"/>
    <w:rsid w:val="090A1452"/>
    <w:rsid w:val="090C085B"/>
    <w:rsid w:val="0919642D"/>
    <w:rsid w:val="09462801"/>
    <w:rsid w:val="09620A1D"/>
    <w:rsid w:val="099B2745"/>
    <w:rsid w:val="09A136F4"/>
    <w:rsid w:val="0A3728D4"/>
    <w:rsid w:val="0A433AD8"/>
    <w:rsid w:val="0A7A4ABB"/>
    <w:rsid w:val="0AE2636D"/>
    <w:rsid w:val="0AF746ED"/>
    <w:rsid w:val="0B005E45"/>
    <w:rsid w:val="0B226B48"/>
    <w:rsid w:val="0B672BAD"/>
    <w:rsid w:val="0BA21E1F"/>
    <w:rsid w:val="0BF5305C"/>
    <w:rsid w:val="0BFE33CF"/>
    <w:rsid w:val="0C2B6D15"/>
    <w:rsid w:val="0C2F57AF"/>
    <w:rsid w:val="0CB47165"/>
    <w:rsid w:val="0D504C37"/>
    <w:rsid w:val="0D600754"/>
    <w:rsid w:val="0DB62975"/>
    <w:rsid w:val="0DCB0570"/>
    <w:rsid w:val="0DDE3EAE"/>
    <w:rsid w:val="0DEF300C"/>
    <w:rsid w:val="0E1A5D30"/>
    <w:rsid w:val="0E602419"/>
    <w:rsid w:val="0E8B0051"/>
    <w:rsid w:val="0F133ABD"/>
    <w:rsid w:val="0F651041"/>
    <w:rsid w:val="0F825389"/>
    <w:rsid w:val="0F962588"/>
    <w:rsid w:val="0FB53AE4"/>
    <w:rsid w:val="0FC30102"/>
    <w:rsid w:val="0FDE3486"/>
    <w:rsid w:val="1011534D"/>
    <w:rsid w:val="105D56D6"/>
    <w:rsid w:val="10C6636C"/>
    <w:rsid w:val="10EF4E68"/>
    <w:rsid w:val="10F916F6"/>
    <w:rsid w:val="1130464D"/>
    <w:rsid w:val="11326888"/>
    <w:rsid w:val="11472807"/>
    <w:rsid w:val="114C6DA0"/>
    <w:rsid w:val="1151728C"/>
    <w:rsid w:val="11680E90"/>
    <w:rsid w:val="117262A6"/>
    <w:rsid w:val="11D06EFB"/>
    <w:rsid w:val="11F06363"/>
    <w:rsid w:val="120053C3"/>
    <w:rsid w:val="120977CD"/>
    <w:rsid w:val="12463C80"/>
    <w:rsid w:val="127709A6"/>
    <w:rsid w:val="127747A9"/>
    <w:rsid w:val="12B746AE"/>
    <w:rsid w:val="12CB4D4D"/>
    <w:rsid w:val="12ED0A50"/>
    <w:rsid w:val="13066D4F"/>
    <w:rsid w:val="134A3785"/>
    <w:rsid w:val="134E4FF2"/>
    <w:rsid w:val="137A04C1"/>
    <w:rsid w:val="139566D8"/>
    <w:rsid w:val="13CE2A98"/>
    <w:rsid w:val="13DD44DC"/>
    <w:rsid w:val="144148EC"/>
    <w:rsid w:val="1462680E"/>
    <w:rsid w:val="14D577BC"/>
    <w:rsid w:val="14DC557A"/>
    <w:rsid w:val="14F5008E"/>
    <w:rsid w:val="14F850AA"/>
    <w:rsid w:val="150A75C5"/>
    <w:rsid w:val="15D269FD"/>
    <w:rsid w:val="15F22EB6"/>
    <w:rsid w:val="161B710E"/>
    <w:rsid w:val="1629614B"/>
    <w:rsid w:val="164B0E50"/>
    <w:rsid w:val="164B61E1"/>
    <w:rsid w:val="168752C1"/>
    <w:rsid w:val="16EF642F"/>
    <w:rsid w:val="17611B41"/>
    <w:rsid w:val="17940A9C"/>
    <w:rsid w:val="17C92C60"/>
    <w:rsid w:val="17DA1120"/>
    <w:rsid w:val="186B1648"/>
    <w:rsid w:val="18704F25"/>
    <w:rsid w:val="187D6501"/>
    <w:rsid w:val="18F14316"/>
    <w:rsid w:val="19133643"/>
    <w:rsid w:val="192C34B4"/>
    <w:rsid w:val="19323D1C"/>
    <w:rsid w:val="19662C43"/>
    <w:rsid w:val="19687CF0"/>
    <w:rsid w:val="19C0546F"/>
    <w:rsid w:val="1A0C7234"/>
    <w:rsid w:val="1A1E07EF"/>
    <w:rsid w:val="1A2E777B"/>
    <w:rsid w:val="1A5D1EDB"/>
    <w:rsid w:val="1A7715A9"/>
    <w:rsid w:val="1AA0008C"/>
    <w:rsid w:val="1AAB78ED"/>
    <w:rsid w:val="1AC9240E"/>
    <w:rsid w:val="1B6F14CE"/>
    <w:rsid w:val="1B903D2B"/>
    <w:rsid w:val="1C133EA4"/>
    <w:rsid w:val="1C286DF5"/>
    <w:rsid w:val="1D1850AC"/>
    <w:rsid w:val="1D3D335B"/>
    <w:rsid w:val="1D4F456A"/>
    <w:rsid w:val="1D515371"/>
    <w:rsid w:val="1D6645D6"/>
    <w:rsid w:val="1D94222D"/>
    <w:rsid w:val="1D9704DD"/>
    <w:rsid w:val="1DE22942"/>
    <w:rsid w:val="1E4A1994"/>
    <w:rsid w:val="1E994AE5"/>
    <w:rsid w:val="1EAA6E2E"/>
    <w:rsid w:val="1EC1668D"/>
    <w:rsid w:val="1EC63633"/>
    <w:rsid w:val="1EC95561"/>
    <w:rsid w:val="1EEC478E"/>
    <w:rsid w:val="1EF81851"/>
    <w:rsid w:val="1F08744C"/>
    <w:rsid w:val="1F0E393F"/>
    <w:rsid w:val="1F413082"/>
    <w:rsid w:val="1F5D2B6B"/>
    <w:rsid w:val="1F9C4D35"/>
    <w:rsid w:val="1FA66DF9"/>
    <w:rsid w:val="1FEA3D5A"/>
    <w:rsid w:val="1FF7177B"/>
    <w:rsid w:val="200B7E93"/>
    <w:rsid w:val="201E7E9F"/>
    <w:rsid w:val="205C1766"/>
    <w:rsid w:val="2064607D"/>
    <w:rsid w:val="206D1A90"/>
    <w:rsid w:val="20DB6153"/>
    <w:rsid w:val="20F947D1"/>
    <w:rsid w:val="21021C30"/>
    <w:rsid w:val="210C43DF"/>
    <w:rsid w:val="21593C62"/>
    <w:rsid w:val="21642AFA"/>
    <w:rsid w:val="21832ED0"/>
    <w:rsid w:val="21B6762D"/>
    <w:rsid w:val="220C4A2E"/>
    <w:rsid w:val="2288023B"/>
    <w:rsid w:val="228E3786"/>
    <w:rsid w:val="229A45F5"/>
    <w:rsid w:val="22E6580A"/>
    <w:rsid w:val="22F26647"/>
    <w:rsid w:val="22F663E4"/>
    <w:rsid w:val="232B0A25"/>
    <w:rsid w:val="239071E3"/>
    <w:rsid w:val="245606F7"/>
    <w:rsid w:val="245C01AE"/>
    <w:rsid w:val="245F16C1"/>
    <w:rsid w:val="247863A6"/>
    <w:rsid w:val="247C3225"/>
    <w:rsid w:val="24B77FF1"/>
    <w:rsid w:val="24DE7098"/>
    <w:rsid w:val="2503789F"/>
    <w:rsid w:val="252151A4"/>
    <w:rsid w:val="254C51F1"/>
    <w:rsid w:val="25A838DD"/>
    <w:rsid w:val="25B03B97"/>
    <w:rsid w:val="25C128B1"/>
    <w:rsid w:val="25D731B7"/>
    <w:rsid w:val="25DA7D66"/>
    <w:rsid w:val="261B6922"/>
    <w:rsid w:val="261D4E2D"/>
    <w:rsid w:val="261E1866"/>
    <w:rsid w:val="262B7C2B"/>
    <w:rsid w:val="263C5A86"/>
    <w:rsid w:val="26A121BE"/>
    <w:rsid w:val="26A75D62"/>
    <w:rsid w:val="26D04414"/>
    <w:rsid w:val="2738586C"/>
    <w:rsid w:val="276A6D7C"/>
    <w:rsid w:val="276B0985"/>
    <w:rsid w:val="27824383"/>
    <w:rsid w:val="27AA05C1"/>
    <w:rsid w:val="27E968EF"/>
    <w:rsid w:val="27F34545"/>
    <w:rsid w:val="280E0D33"/>
    <w:rsid w:val="28124542"/>
    <w:rsid w:val="282A735E"/>
    <w:rsid w:val="284348D9"/>
    <w:rsid w:val="284565CF"/>
    <w:rsid w:val="284B428F"/>
    <w:rsid w:val="289F186E"/>
    <w:rsid w:val="28A822B8"/>
    <w:rsid w:val="28E27F12"/>
    <w:rsid w:val="290511F3"/>
    <w:rsid w:val="29346D9A"/>
    <w:rsid w:val="2972319F"/>
    <w:rsid w:val="299F4CAA"/>
    <w:rsid w:val="29B608ED"/>
    <w:rsid w:val="2A1C4276"/>
    <w:rsid w:val="2A1E7C25"/>
    <w:rsid w:val="2A3E7A97"/>
    <w:rsid w:val="2A5D46BE"/>
    <w:rsid w:val="2A67654F"/>
    <w:rsid w:val="2B142EEB"/>
    <w:rsid w:val="2B3646CD"/>
    <w:rsid w:val="2B3D4005"/>
    <w:rsid w:val="2B493DC2"/>
    <w:rsid w:val="2B5E3BC7"/>
    <w:rsid w:val="2B6A1159"/>
    <w:rsid w:val="2B9F2A6D"/>
    <w:rsid w:val="2BD27D55"/>
    <w:rsid w:val="2BF115BA"/>
    <w:rsid w:val="2C334E5C"/>
    <w:rsid w:val="2C3650F7"/>
    <w:rsid w:val="2C65668D"/>
    <w:rsid w:val="2CD03F03"/>
    <w:rsid w:val="2CFD65E8"/>
    <w:rsid w:val="2D621C8A"/>
    <w:rsid w:val="2D7E5BE5"/>
    <w:rsid w:val="2D8571A7"/>
    <w:rsid w:val="2DB91BE7"/>
    <w:rsid w:val="2E221928"/>
    <w:rsid w:val="2E6C5B60"/>
    <w:rsid w:val="2EF247E5"/>
    <w:rsid w:val="2EFB7C86"/>
    <w:rsid w:val="2F252491"/>
    <w:rsid w:val="2F276AA0"/>
    <w:rsid w:val="2F327831"/>
    <w:rsid w:val="2F3A3550"/>
    <w:rsid w:val="2F3E1EBE"/>
    <w:rsid w:val="2F4351BE"/>
    <w:rsid w:val="2FE65B77"/>
    <w:rsid w:val="2FE65E83"/>
    <w:rsid w:val="303916EA"/>
    <w:rsid w:val="30940553"/>
    <w:rsid w:val="30CB75F0"/>
    <w:rsid w:val="30E251DD"/>
    <w:rsid w:val="31086F1C"/>
    <w:rsid w:val="318E3977"/>
    <w:rsid w:val="3193368A"/>
    <w:rsid w:val="3193391B"/>
    <w:rsid w:val="31B05536"/>
    <w:rsid w:val="31CB386F"/>
    <w:rsid w:val="31F15A3A"/>
    <w:rsid w:val="32054134"/>
    <w:rsid w:val="322356CC"/>
    <w:rsid w:val="32462286"/>
    <w:rsid w:val="32767C91"/>
    <w:rsid w:val="32951A82"/>
    <w:rsid w:val="329B0680"/>
    <w:rsid w:val="32E63EF7"/>
    <w:rsid w:val="333A285F"/>
    <w:rsid w:val="334C6650"/>
    <w:rsid w:val="33633BEE"/>
    <w:rsid w:val="336858CA"/>
    <w:rsid w:val="338E474A"/>
    <w:rsid w:val="33BA5324"/>
    <w:rsid w:val="33C22957"/>
    <w:rsid w:val="33C907D9"/>
    <w:rsid w:val="33D503C9"/>
    <w:rsid w:val="342E07B4"/>
    <w:rsid w:val="3490290C"/>
    <w:rsid w:val="34AC7ED7"/>
    <w:rsid w:val="34BC66CA"/>
    <w:rsid w:val="35287E97"/>
    <w:rsid w:val="35625308"/>
    <w:rsid w:val="35653B6B"/>
    <w:rsid w:val="359F0BBD"/>
    <w:rsid w:val="35D867E5"/>
    <w:rsid w:val="3613516A"/>
    <w:rsid w:val="3620095F"/>
    <w:rsid w:val="3682713B"/>
    <w:rsid w:val="36831ACF"/>
    <w:rsid w:val="36A92656"/>
    <w:rsid w:val="36B215AF"/>
    <w:rsid w:val="36DA5F85"/>
    <w:rsid w:val="372B18CE"/>
    <w:rsid w:val="376F3FDA"/>
    <w:rsid w:val="37736E4B"/>
    <w:rsid w:val="378D22E6"/>
    <w:rsid w:val="37BA0FE3"/>
    <w:rsid w:val="37E92015"/>
    <w:rsid w:val="37F20895"/>
    <w:rsid w:val="3807290F"/>
    <w:rsid w:val="38082E33"/>
    <w:rsid w:val="38337A98"/>
    <w:rsid w:val="38361D2A"/>
    <w:rsid w:val="38573281"/>
    <w:rsid w:val="38A42A7F"/>
    <w:rsid w:val="38B10F61"/>
    <w:rsid w:val="38DC58C7"/>
    <w:rsid w:val="38F00E7A"/>
    <w:rsid w:val="38FB3CD7"/>
    <w:rsid w:val="3913458B"/>
    <w:rsid w:val="391C0AE6"/>
    <w:rsid w:val="39250608"/>
    <w:rsid w:val="39350035"/>
    <w:rsid w:val="398F40D7"/>
    <w:rsid w:val="39AF6CDC"/>
    <w:rsid w:val="39B0165F"/>
    <w:rsid w:val="39D02DA0"/>
    <w:rsid w:val="39D67377"/>
    <w:rsid w:val="39F96CCE"/>
    <w:rsid w:val="3A3012BA"/>
    <w:rsid w:val="3A315A6D"/>
    <w:rsid w:val="3A5572C4"/>
    <w:rsid w:val="3A74597D"/>
    <w:rsid w:val="3A7D0B44"/>
    <w:rsid w:val="3A852488"/>
    <w:rsid w:val="3AED5C6E"/>
    <w:rsid w:val="3B1261DC"/>
    <w:rsid w:val="3B2935FF"/>
    <w:rsid w:val="3B682D7F"/>
    <w:rsid w:val="3B7D43F3"/>
    <w:rsid w:val="3B8D1ECC"/>
    <w:rsid w:val="3BAA62C0"/>
    <w:rsid w:val="3BC93754"/>
    <w:rsid w:val="3BD247B8"/>
    <w:rsid w:val="3C34587C"/>
    <w:rsid w:val="3C5E76C2"/>
    <w:rsid w:val="3C7305C3"/>
    <w:rsid w:val="3C7F489D"/>
    <w:rsid w:val="3C944640"/>
    <w:rsid w:val="3CA47101"/>
    <w:rsid w:val="3CA47FB4"/>
    <w:rsid w:val="3CB95700"/>
    <w:rsid w:val="3D322642"/>
    <w:rsid w:val="3D537138"/>
    <w:rsid w:val="3D8A4A96"/>
    <w:rsid w:val="3DB475A6"/>
    <w:rsid w:val="3DE44FCB"/>
    <w:rsid w:val="3E224430"/>
    <w:rsid w:val="3E49088E"/>
    <w:rsid w:val="3E6718EC"/>
    <w:rsid w:val="3E7E417D"/>
    <w:rsid w:val="3EC32C97"/>
    <w:rsid w:val="3EC33DB7"/>
    <w:rsid w:val="3EEC793A"/>
    <w:rsid w:val="3F007102"/>
    <w:rsid w:val="3F1A6579"/>
    <w:rsid w:val="3F4577D4"/>
    <w:rsid w:val="3F4D61EF"/>
    <w:rsid w:val="3F577D51"/>
    <w:rsid w:val="3F6206EE"/>
    <w:rsid w:val="3F960635"/>
    <w:rsid w:val="3FC037C1"/>
    <w:rsid w:val="40241004"/>
    <w:rsid w:val="4062232F"/>
    <w:rsid w:val="40992D84"/>
    <w:rsid w:val="40A951DA"/>
    <w:rsid w:val="40B91F7C"/>
    <w:rsid w:val="40C478A0"/>
    <w:rsid w:val="40C61256"/>
    <w:rsid w:val="412734AB"/>
    <w:rsid w:val="414F6825"/>
    <w:rsid w:val="41AB629D"/>
    <w:rsid w:val="41FE471F"/>
    <w:rsid w:val="42424DF2"/>
    <w:rsid w:val="424A59AC"/>
    <w:rsid w:val="425672AA"/>
    <w:rsid w:val="427F2A29"/>
    <w:rsid w:val="428A6EE1"/>
    <w:rsid w:val="42A83EAC"/>
    <w:rsid w:val="42C41614"/>
    <w:rsid w:val="42FC116C"/>
    <w:rsid w:val="4320795A"/>
    <w:rsid w:val="43597649"/>
    <w:rsid w:val="437A5021"/>
    <w:rsid w:val="437F2D4E"/>
    <w:rsid w:val="439062FF"/>
    <w:rsid w:val="439440E3"/>
    <w:rsid w:val="43BA148D"/>
    <w:rsid w:val="44120833"/>
    <w:rsid w:val="44293B84"/>
    <w:rsid w:val="44347943"/>
    <w:rsid w:val="443B7D22"/>
    <w:rsid w:val="444E6C73"/>
    <w:rsid w:val="44623B08"/>
    <w:rsid w:val="44B674E6"/>
    <w:rsid w:val="44E805AD"/>
    <w:rsid w:val="44ED6924"/>
    <w:rsid w:val="44FD55A0"/>
    <w:rsid w:val="450D02B1"/>
    <w:rsid w:val="45587674"/>
    <w:rsid w:val="45666ACB"/>
    <w:rsid w:val="45CC6BF3"/>
    <w:rsid w:val="464247F3"/>
    <w:rsid w:val="465C7717"/>
    <w:rsid w:val="466F4127"/>
    <w:rsid w:val="46741A4B"/>
    <w:rsid w:val="46B347D5"/>
    <w:rsid w:val="46B74024"/>
    <w:rsid w:val="46F854CF"/>
    <w:rsid w:val="46FF1772"/>
    <w:rsid w:val="47212A5B"/>
    <w:rsid w:val="474C5C6E"/>
    <w:rsid w:val="47951DF3"/>
    <w:rsid w:val="47F8044E"/>
    <w:rsid w:val="4824432D"/>
    <w:rsid w:val="48832557"/>
    <w:rsid w:val="48B93933"/>
    <w:rsid w:val="48BE227D"/>
    <w:rsid w:val="48F7291E"/>
    <w:rsid w:val="48FE256E"/>
    <w:rsid w:val="492D522A"/>
    <w:rsid w:val="49413DA2"/>
    <w:rsid w:val="495D1996"/>
    <w:rsid w:val="496F568C"/>
    <w:rsid w:val="497247F4"/>
    <w:rsid w:val="499C3C9E"/>
    <w:rsid w:val="499F40B8"/>
    <w:rsid w:val="49BC0DC1"/>
    <w:rsid w:val="49C36FB0"/>
    <w:rsid w:val="49CC5966"/>
    <w:rsid w:val="49F80245"/>
    <w:rsid w:val="4A18255D"/>
    <w:rsid w:val="4A307D0D"/>
    <w:rsid w:val="4A336EC2"/>
    <w:rsid w:val="4A3444DB"/>
    <w:rsid w:val="4A491615"/>
    <w:rsid w:val="4A6223D0"/>
    <w:rsid w:val="4AAA4BC9"/>
    <w:rsid w:val="4AAB1AE3"/>
    <w:rsid w:val="4AB767AB"/>
    <w:rsid w:val="4ABB6FDE"/>
    <w:rsid w:val="4ABD1B3E"/>
    <w:rsid w:val="4AE57B4C"/>
    <w:rsid w:val="4B445D00"/>
    <w:rsid w:val="4B4D54DC"/>
    <w:rsid w:val="4B9860EE"/>
    <w:rsid w:val="4BD54BBA"/>
    <w:rsid w:val="4BED1AAA"/>
    <w:rsid w:val="4BFB2F63"/>
    <w:rsid w:val="4C034071"/>
    <w:rsid w:val="4C0371E0"/>
    <w:rsid w:val="4C411429"/>
    <w:rsid w:val="4C4C320F"/>
    <w:rsid w:val="4C6739FF"/>
    <w:rsid w:val="4C6E7AB2"/>
    <w:rsid w:val="4C881133"/>
    <w:rsid w:val="4CC10AC5"/>
    <w:rsid w:val="4CC861C2"/>
    <w:rsid w:val="4CD945DE"/>
    <w:rsid w:val="4D113C20"/>
    <w:rsid w:val="4D214F03"/>
    <w:rsid w:val="4D397043"/>
    <w:rsid w:val="4D891AFD"/>
    <w:rsid w:val="4D983469"/>
    <w:rsid w:val="4DAF64B6"/>
    <w:rsid w:val="4DE2301E"/>
    <w:rsid w:val="4DEA2EB7"/>
    <w:rsid w:val="4E071CCD"/>
    <w:rsid w:val="4E133838"/>
    <w:rsid w:val="4E60171A"/>
    <w:rsid w:val="4E762DFA"/>
    <w:rsid w:val="4EA72F3B"/>
    <w:rsid w:val="4EA80295"/>
    <w:rsid w:val="4EBF5E31"/>
    <w:rsid w:val="4F5C7DDB"/>
    <w:rsid w:val="4F67380A"/>
    <w:rsid w:val="4F6E6B8B"/>
    <w:rsid w:val="4F6F6B1A"/>
    <w:rsid w:val="4F8E5A93"/>
    <w:rsid w:val="4FA5734D"/>
    <w:rsid w:val="4FED097A"/>
    <w:rsid w:val="50161ED1"/>
    <w:rsid w:val="50182FBB"/>
    <w:rsid w:val="5031698A"/>
    <w:rsid w:val="50424E13"/>
    <w:rsid w:val="505B0A1D"/>
    <w:rsid w:val="508D3FA9"/>
    <w:rsid w:val="50BA45D1"/>
    <w:rsid w:val="50D171BF"/>
    <w:rsid w:val="50D859E7"/>
    <w:rsid w:val="50D921B5"/>
    <w:rsid w:val="51285FE5"/>
    <w:rsid w:val="51493512"/>
    <w:rsid w:val="51C71A2D"/>
    <w:rsid w:val="51E57E3B"/>
    <w:rsid w:val="520F0C2E"/>
    <w:rsid w:val="52154AF0"/>
    <w:rsid w:val="52415EDB"/>
    <w:rsid w:val="52522351"/>
    <w:rsid w:val="52AC74EE"/>
    <w:rsid w:val="52DA1318"/>
    <w:rsid w:val="52DD4EBC"/>
    <w:rsid w:val="52DD66EE"/>
    <w:rsid w:val="530A64C1"/>
    <w:rsid w:val="53232FB1"/>
    <w:rsid w:val="539D6576"/>
    <w:rsid w:val="53BE24B4"/>
    <w:rsid w:val="542205EC"/>
    <w:rsid w:val="544C34FE"/>
    <w:rsid w:val="54716372"/>
    <w:rsid w:val="54957704"/>
    <w:rsid w:val="549B6FB5"/>
    <w:rsid w:val="549C4E55"/>
    <w:rsid w:val="54A8030E"/>
    <w:rsid w:val="54CC657A"/>
    <w:rsid w:val="54E106D7"/>
    <w:rsid w:val="5508443C"/>
    <w:rsid w:val="55192283"/>
    <w:rsid w:val="552E5679"/>
    <w:rsid w:val="553540BB"/>
    <w:rsid w:val="557D6D58"/>
    <w:rsid w:val="558E1A9A"/>
    <w:rsid w:val="55D432EB"/>
    <w:rsid w:val="56035C0E"/>
    <w:rsid w:val="56281C49"/>
    <w:rsid w:val="56387F54"/>
    <w:rsid w:val="56943217"/>
    <w:rsid w:val="56B90668"/>
    <w:rsid w:val="57125657"/>
    <w:rsid w:val="571E1298"/>
    <w:rsid w:val="57A43C36"/>
    <w:rsid w:val="57E54B1E"/>
    <w:rsid w:val="586079FB"/>
    <w:rsid w:val="58724091"/>
    <w:rsid w:val="58C443DB"/>
    <w:rsid w:val="58CF7E99"/>
    <w:rsid w:val="59367B39"/>
    <w:rsid w:val="59756DBB"/>
    <w:rsid w:val="59810C54"/>
    <w:rsid w:val="59BD3DD8"/>
    <w:rsid w:val="59BD6C99"/>
    <w:rsid w:val="59C46962"/>
    <w:rsid w:val="59CE3C1A"/>
    <w:rsid w:val="5AF85610"/>
    <w:rsid w:val="5AFF0D31"/>
    <w:rsid w:val="5B02129B"/>
    <w:rsid w:val="5B276434"/>
    <w:rsid w:val="5B7F4C14"/>
    <w:rsid w:val="5B92022C"/>
    <w:rsid w:val="5B990C1D"/>
    <w:rsid w:val="5BBA7CB0"/>
    <w:rsid w:val="5C327B4C"/>
    <w:rsid w:val="5C8939F5"/>
    <w:rsid w:val="5D012301"/>
    <w:rsid w:val="5D946CC8"/>
    <w:rsid w:val="5DCF58FD"/>
    <w:rsid w:val="5DE61558"/>
    <w:rsid w:val="5E4830DB"/>
    <w:rsid w:val="5E611AB9"/>
    <w:rsid w:val="5E9722FE"/>
    <w:rsid w:val="5EE90714"/>
    <w:rsid w:val="5F54470C"/>
    <w:rsid w:val="5F662686"/>
    <w:rsid w:val="5F6D308F"/>
    <w:rsid w:val="5F9F7009"/>
    <w:rsid w:val="5FCC202C"/>
    <w:rsid w:val="602326B7"/>
    <w:rsid w:val="602635C0"/>
    <w:rsid w:val="6040348F"/>
    <w:rsid w:val="60492F29"/>
    <w:rsid w:val="605A4CDF"/>
    <w:rsid w:val="60A611D4"/>
    <w:rsid w:val="60E34F3D"/>
    <w:rsid w:val="611A5F2B"/>
    <w:rsid w:val="61262C4E"/>
    <w:rsid w:val="61327B29"/>
    <w:rsid w:val="613B7B2D"/>
    <w:rsid w:val="616C2F26"/>
    <w:rsid w:val="61920473"/>
    <w:rsid w:val="61C25EE7"/>
    <w:rsid w:val="61E415DB"/>
    <w:rsid w:val="6234160C"/>
    <w:rsid w:val="623A1236"/>
    <w:rsid w:val="62756DA9"/>
    <w:rsid w:val="629E4CEF"/>
    <w:rsid w:val="62B1128D"/>
    <w:rsid w:val="62D129D5"/>
    <w:rsid w:val="62D22BC7"/>
    <w:rsid w:val="62D7038C"/>
    <w:rsid w:val="62E27BB5"/>
    <w:rsid w:val="62F76BEB"/>
    <w:rsid w:val="63884B3D"/>
    <w:rsid w:val="63F6427E"/>
    <w:rsid w:val="6434036B"/>
    <w:rsid w:val="6480743A"/>
    <w:rsid w:val="64A952B4"/>
    <w:rsid w:val="64B47B7F"/>
    <w:rsid w:val="64CE3186"/>
    <w:rsid w:val="656543C3"/>
    <w:rsid w:val="65A96B48"/>
    <w:rsid w:val="65E13DD2"/>
    <w:rsid w:val="65FE274F"/>
    <w:rsid w:val="66042517"/>
    <w:rsid w:val="66155FE6"/>
    <w:rsid w:val="66666C92"/>
    <w:rsid w:val="66694617"/>
    <w:rsid w:val="667E64F4"/>
    <w:rsid w:val="66E021BF"/>
    <w:rsid w:val="671B5DE9"/>
    <w:rsid w:val="675553A3"/>
    <w:rsid w:val="678668BF"/>
    <w:rsid w:val="67BA12EE"/>
    <w:rsid w:val="67BD1152"/>
    <w:rsid w:val="67E769E5"/>
    <w:rsid w:val="680C089E"/>
    <w:rsid w:val="6813209C"/>
    <w:rsid w:val="682F3810"/>
    <w:rsid w:val="683527AE"/>
    <w:rsid w:val="683D3F92"/>
    <w:rsid w:val="684D374A"/>
    <w:rsid w:val="68550F5E"/>
    <w:rsid w:val="68902E50"/>
    <w:rsid w:val="689642A7"/>
    <w:rsid w:val="68A52B4A"/>
    <w:rsid w:val="68BE4B9D"/>
    <w:rsid w:val="697422DE"/>
    <w:rsid w:val="697438A9"/>
    <w:rsid w:val="69853FB1"/>
    <w:rsid w:val="69B849BD"/>
    <w:rsid w:val="69BA17A3"/>
    <w:rsid w:val="69BF4DE4"/>
    <w:rsid w:val="69DD11D2"/>
    <w:rsid w:val="69F14F31"/>
    <w:rsid w:val="6A0E0452"/>
    <w:rsid w:val="6A3D3819"/>
    <w:rsid w:val="6A461BBC"/>
    <w:rsid w:val="6A5F36D9"/>
    <w:rsid w:val="6A9042E2"/>
    <w:rsid w:val="6A9739A1"/>
    <w:rsid w:val="6A9A7FFC"/>
    <w:rsid w:val="6AB75CF1"/>
    <w:rsid w:val="6AC778B4"/>
    <w:rsid w:val="6AE472CD"/>
    <w:rsid w:val="6B3841BE"/>
    <w:rsid w:val="6B4131E0"/>
    <w:rsid w:val="6B546E26"/>
    <w:rsid w:val="6B8839B4"/>
    <w:rsid w:val="6C18027B"/>
    <w:rsid w:val="6C3D29BC"/>
    <w:rsid w:val="6C40410E"/>
    <w:rsid w:val="6C486081"/>
    <w:rsid w:val="6C7F02D8"/>
    <w:rsid w:val="6C8173DA"/>
    <w:rsid w:val="6CB32FF4"/>
    <w:rsid w:val="6CD05BAD"/>
    <w:rsid w:val="6D2E5937"/>
    <w:rsid w:val="6D50612C"/>
    <w:rsid w:val="6D6778AE"/>
    <w:rsid w:val="6D7478E6"/>
    <w:rsid w:val="6D8A0F5E"/>
    <w:rsid w:val="6D8D26C7"/>
    <w:rsid w:val="6D960043"/>
    <w:rsid w:val="6DBC2624"/>
    <w:rsid w:val="6DBF4157"/>
    <w:rsid w:val="6DDF3B65"/>
    <w:rsid w:val="6DE00ECB"/>
    <w:rsid w:val="6E0E3376"/>
    <w:rsid w:val="6E365881"/>
    <w:rsid w:val="6E3A6E4F"/>
    <w:rsid w:val="6E632DA5"/>
    <w:rsid w:val="6EAA2FB2"/>
    <w:rsid w:val="6EC07960"/>
    <w:rsid w:val="6EC43EA4"/>
    <w:rsid w:val="6F1F6FDD"/>
    <w:rsid w:val="6F402967"/>
    <w:rsid w:val="6F642008"/>
    <w:rsid w:val="6F7F54DD"/>
    <w:rsid w:val="6FF06EE4"/>
    <w:rsid w:val="701047E0"/>
    <w:rsid w:val="701178C5"/>
    <w:rsid w:val="70807D8B"/>
    <w:rsid w:val="70891F61"/>
    <w:rsid w:val="709060EF"/>
    <w:rsid w:val="709B5837"/>
    <w:rsid w:val="70CB7752"/>
    <w:rsid w:val="70F26055"/>
    <w:rsid w:val="714B2214"/>
    <w:rsid w:val="715F3EBD"/>
    <w:rsid w:val="71DC2AB4"/>
    <w:rsid w:val="720160F9"/>
    <w:rsid w:val="721B4F27"/>
    <w:rsid w:val="721F3ECA"/>
    <w:rsid w:val="725D0790"/>
    <w:rsid w:val="726F53F3"/>
    <w:rsid w:val="728F32A2"/>
    <w:rsid w:val="729C6E5A"/>
    <w:rsid w:val="72B86EF8"/>
    <w:rsid w:val="731614B3"/>
    <w:rsid w:val="733376EE"/>
    <w:rsid w:val="733B70C9"/>
    <w:rsid w:val="73440E66"/>
    <w:rsid w:val="737E61B5"/>
    <w:rsid w:val="73957255"/>
    <w:rsid w:val="73CF417E"/>
    <w:rsid w:val="73D93C4E"/>
    <w:rsid w:val="73E67B30"/>
    <w:rsid w:val="74157AD7"/>
    <w:rsid w:val="745627FF"/>
    <w:rsid w:val="74736A87"/>
    <w:rsid w:val="74B4302E"/>
    <w:rsid w:val="74F87482"/>
    <w:rsid w:val="752F4BE4"/>
    <w:rsid w:val="75307BB4"/>
    <w:rsid w:val="756624CE"/>
    <w:rsid w:val="75674445"/>
    <w:rsid w:val="75792025"/>
    <w:rsid w:val="75B24EF5"/>
    <w:rsid w:val="75B35BF5"/>
    <w:rsid w:val="75C06E39"/>
    <w:rsid w:val="761B0209"/>
    <w:rsid w:val="7639213B"/>
    <w:rsid w:val="764C10CD"/>
    <w:rsid w:val="767B5EA4"/>
    <w:rsid w:val="7699457F"/>
    <w:rsid w:val="76B31179"/>
    <w:rsid w:val="76B74E17"/>
    <w:rsid w:val="76CF6F1A"/>
    <w:rsid w:val="76E01A68"/>
    <w:rsid w:val="77192226"/>
    <w:rsid w:val="77EC50F1"/>
    <w:rsid w:val="77FE327D"/>
    <w:rsid w:val="780525A5"/>
    <w:rsid w:val="780D1D3B"/>
    <w:rsid w:val="78415877"/>
    <w:rsid w:val="78664DB2"/>
    <w:rsid w:val="78864B2A"/>
    <w:rsid w:val="788E2328"/>
    <w:rsid w:val="78B34C4E"/>
    <w:rsid w:val="78F268A7"/>
    <w:rsid w:val="79245ABB"/>
    <w:rsid w:val="79406FCE"/>
    <w:rsid w:val="79515F85"/>
    <w:rsid w:val="79D15849"/>
    <w:rsid w:val="7A136D92"/>
    <w:rsid w:val="7A4E301C"/>
    <w:rsid w:val="7AC346F9"/>
    <w:rsid w:val="7AE43831"/>
    <w:rsid w:val="7B3C3469"/>
    <w:rsid w:val="7B3F18CD"/>
    <w:rsid w:val="7B4339F7"/>
    <w:rsid w:val="7B867B9C"/>
    <w:rsid w:val="7B8D1AF9"/>
    <w:rsid w:val="7BBD48FB"/>
    <w:rsid w:val="7C5503BB"/>
    <w:rsid w:val="7C803A53"/>
    <w:rsid w:val="7CFA6DC7"/>
    <w:rsid w:val="7D1C1762"/>
    <w:rsid w:val="7D9A0909"/>
    <w:rsid w:val="7DB150AC"/>
    <w:rsid w:val="7DDF671F"/>
    <w:rsid w:val="7DF561A3"/>
    <w:rsid w:val="7E154FCA"/>
    <w:rsid w:val="7E3579DF"/>
    <w:rsid w:val="7E5C4966"/>
    <w:rsid w:val="7E671753"/>
    <w:rsid w:val="7EAD4E32"/>
    <w:rsid w:val="7EC04696"/>
    <w:rsid w:val="7EE81E7C"/>
    <w:rsid w:val="7F3177DE"/>
    <w:rsid w:val="7F604179"/>
    <w:rsid w:val="7FAF3E53"/>
    <w:rsid w:val="7FB174C1"/>
    <w:rsid w:val="7FC633C8"/>
    <w:rsid w:val="7FF35E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6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6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spacing w:before="260" w:after="260" w:line="413" w:lineRule="auto"/>
      <w:outlineLvl w:val="2"/>
    </w:pPr>
    <w:rPr>
      <w:b/>
      <w:sz w:val="32"/>
    </w:rPr>
  </w:style>
  <w:style w:type="paragraph" w:styleId="6">
    <w:name w:val="heading 4"/>
    <w:basedOn w:val="1"/>
    <w:next w:val="1"/>
    <w:link w:val="96"/>
    <w:qFormat/>
    <w:uiPriority w:val="0"/>
    <w:pPr>
      <w:keepNext/>
      <w:keepLines/>
      <w:numPr>
        <w:ilvl w:val="3"/>
        <w:numId w:val="1"/>
      </w:numPr>
      <w:topLinePunct/>
      <w:adjustRightInd w:val="0"/>
      <w:snapToGrid w:val="0"/>
      <w:spacing w:beforeLines="50" w:afterLines="50" w:line="480" w:lineRule="exact"/>
      <w:textAlignment w:val="center"/>
      <w:outlineLvl w:val="3"/>
    </w:pPr>
    <w:rPr>
      <w:rFonts w:ascii="Times New Roman" w:hAnsi="Times New Roman"/>
      <w:b/>
      <w:bCs/>
      <w:sz w:val="24"/>
      <w:szCs w:val="24"/>
      <w:lang w:val="sv-SE"/>
    </w:rPr>
  </w:style>
  <w:style w:type="paragraph" w:styleId="7">
    <w:name w:val="heading 5"/>
    <w:basedOn w:val="1"/>
    <w:next w:val="1"/>
    <w:link w:val="97"/>
    <w:qFormat/>
    <w:uiPriority w:val="0"/>
    <w:pPr>
      <w:keepNext/>
      <w:keepLines/>
      <w:numPr>
        <w:ilvl w:val="4"/>
        <w:numId w:val="1"/>
      </w:numPr>
      <w:topLinePunct/>
      <w:adjustRightInd w:val="0"/>
      <w:snapToGrid w:val="0"/>
      <w:spacing w:line="480" w:lineRule="atLeast"/>
      <w:textAlignment w:val="center"/>
      <w:outlineLvl w:val="4"/>
    </w:pPr>
    <w:rPr>
      <w:rFonts w:ascii="Times New Roman" w:hAnsi="Times New Roman"/>
      <w:b/>
      <w:bCs/>
      <w:sz w:val="24"/>
      <w:szCs w:val="28"/>
    </w:rPr>
  </w:style>
  <w:style w:type="paragraph" w:styleId="8">
    <w:name w:val="heading 6"/>
    <w:basedOn w:val="1"/>
    <w:next w:val="1"/>
    <w:link w:val="98"/>
    <w:qFormat/>
    <w:uiPriority w:val="0"/>
    <w:pPr>
      <w:keepNext/>
      <w:keepLines/>
      <w:tabs>
        <w:tab w:val="left" w:pos="1152"/>
      </w:tabs>
      <w:spacing w:before="240" w:after="64" w:line="320" w:lineRule="auto"/>
      <w:ind w:left="1152" w:hanging="1152"/>
      <w:outlineLvl w:val="5"/>
    </w:pPr>
    <w:rPr>
      <w:rFonts w:ascii="Arial" w:hAnsi="Arial" w:eastAsia="黑体"/>
      <w:b/>
      <w:bCs/>
      <w:sz w:val="24"/>
      <w:szCs w:val="24"/>
    </w:rPr>
  </w:style>
  <w:style w:type="paragraph" w:styleId="9">
    <w:name w:val="heading 7"/>
    <w:basedOn w:val="1"/>
    <w:next w:val="1"/>
    <w:link w:val="99"/>
    <w:qFormat/>
    <w:uiPriority w:val="0"/>
    <w:pPr>
      <w:keepNext/>
      <w:keepLines/>
      <w:spacing w:before="240" w:after="64" w:line="320" w:lineRule="auto"/>
      <w:outlineLvl w:val="6"/>
    </w:pPr>
    <w:rPr>
      <w:rFonts w:ascii="Times New Roman" w:hAnsi="Times New Roman"/>
      <w:b/>
      <w:bCs/>
      <w:sz w:val="24"/>
      <w:szCs w:val="24"/>
    </w:rPr>
  </w:style>
  <w:style w:type="paragraph" w:styleId="10">
    <w:name w:val="heading 8"/>
    <w:basedOn w:val="1"/>
    <w:next w:val="1"/>
    <w:link w:val="100"/>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10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2">
    <w:name w:val="toc 7"/>
    <w:basedOn w:val="1"/>
    <w:next w:val="1"/>
    <w:qFormat/>
    <w:uiPriority w:val="0"/>
    <w:pPr>
      <w:ind w:left="1260"/>
      <w:jc w:val="left"/>
    </w:pPr>
    <w:rPr>
      <w:sz w:val="18"/>
      <w:szCs w:val="18"/>
    </w:rPr>
  </w:style>
  <w:style w:type="paragraph" w:styleId="13">
    <w:name w:val="List Bullet 4"/>
    <w:basedOn w:val="1"/>
    <w:qFormat/>
    <w:uiPriority w:val="0"/>
    <w:pPr>
      <w:tabs>
        <w:tab w:val="left" w:pos="1620"/>
      </w:tabs>
      <w:ind w:left="900" w:hanging="420"/>
    </w:pPr>
    <w:rPr>
      <w:rFonts w:ascii="Times New Roman" w:hAnsi="Times New Roman"/>
      <w:szCs w:val="24"/>
    </w:rPr>
  </w:style>
  <w:style w:type="paragraph" w:styleId="14">
    <w:name w:val="List Number"/>
    <w:basedOn w:val="1"/>
    <w:qFormat/>
    <w:uiPriority w:val="0"/>
    <w:pPr>
      <w:tabs>
        <w:tab w:val="left" w:pos="360"/>
      </w:tabs>
    </w:pPr>
    <w:rPr>
      <w:rFonts w:ascii="Times New Roman" w:hAnsi="Times New Roman"/>
      <w:szCs w:val="24"/>
    </w:rPr>
  </w:style>
  <w:style w:type="paragraph" w:styleId="15">
    <w:name w:val="Normal Indent"/>
    <w:basedOn w:val="1"/>
    <w:qFormat/>
    <w:uiPriority w:val="0"/>
    <w:pPr>
      <w:autoSpaceDE w:val="0"/>
      <w:autoSpaceDN w:val="0"/>
      <w:adjustRightInd w:val="0"/>
      <w:snapToGrid w:val="0"/>
      <w:spacing w:line="360" w:lineRule="auto"/>
      <w:ind w:firstLine="420"/>
      <w:textAlignment w:val="baseline"/>
    </w:pPr>
    <w:rPr>
      <w:rFonts w:ascii="Arial" w:hAnsi="Arial"/>
      <w:snapToGrid w:val="0"/>
      <w:color w:val="000000"/>
      <w:kern w:val="24"/>
      <w:sz w:val="24"/>
      <w:szCs w:val="20"/>
    </w:rPr>
  </w:style>
  <w:style w:type="paragraph" w:styleId="16">
    <w:name w:val="caption"/>
    <w:basedOn w:val="1"/>
    <w:next w:val="1"/>
    <w:link w:val="131"/>
    <w:qFormat/>
    <w:uiPriority w:val="0"/>
    <w:pPr>
      <w:spacing w:before="152" w:after="160"/>
    </w:pPr>
    <w:rPr>
      <w:rFonts w:ascii="Arial" w:hAnsi="Arial" w:eastAsia="黑体"/>
      <w:sz w:val="20"/>
      <w:szCs w:val="20"/>
    </w:rPr>
  </w:style>
  <w:style w:type="paragraph" w:styleId="17">
    <w:name w:val="List Bullet"/>
    <w:basedOn w:val="1"/>
    <w:qFormat/>
    <w:uiPriority w:val="0"/>
    <w:pPr>
      <w:tabs>
        <w:tab w:val="left" w:pos="360"/>
      </w:tabs>
    </w:pPr>
    <w:rPr>
      <w:rFonts w:ascii="Times New Roman" w:hAnsi="Times New Roman"/>
      <w:szCs w:val="24"/>
    </w:rPr>
  </w:style>
  <w:style w:type="paragraph" w:styleId="18">
    <w:name w:val="Document Map"/>
    <w:basedOn w:val="1"/>
    <w:link w:val="107"/>
    <w:qFormat/>
    <w:uiPriority w:val="99"/>
    <w:pPr>
      <w:shd w:val="clear" w:color="auto" w:fill="000080"/>
    </w:pPr>
    <w:rPr>
      <w:rFonts w:ascii="Times New Roman" w:hAnsi="Times New Roman"/>
      <w:szCs w:val="24"/>
    </w:rPr>
  </w:style>
  <w:style w:type="paragraph" w:styleId="19">
    <w:name w:val="annotation text"/>
    <w:basedOn w:val="1"/>
    <w:link w:val="73"/>
    <w:unhideWhenUsed/>
    <w:qFormat/>
    <w:uiPriority w:val="0"/>
    <w:pPr>
      <w:jc w:val="left"/>
    </w:pPr>
  </w:style>
  <w:style w:type="paragraph" w:styleId="20">
    <w:name w:val="List Bullet 3"/>
    <w:basedOn w:val="1"/>
    <w:qFormat/>
    <w:uiPriority w:val="0"/>
    <w:pPr>
      <w:tabs>
        <w:tab w:val="left" w:pos="1200"/>
      </w:tabs>
      <w:ind w:left="425" w:hanging="425"/>
    </w:pPr>
    <w:rPr>
      <w:rFonts w:ascii="Times New Roman" w:hAnsi="Times New Roman"/>
      <w:szCs w:val="24"/>
    </w:rPr>
  </w:style>
  <w:style w:type="paragraph" w:styleId="21">
    <w:name w:val="Body Text"/>
    <w:basedOn w:val="1"/>
    <w:link w:val="104"/>
    <w:qFormat/>
    <w:uiPriority w:val="0"/>
    <w:pPr>
      <w:spacing w:after="120"/>
    </w:pPr>
    <w:rPr>
      <w:rFonts w:ascii="Times New Roman" w:hAnsi="Times New Roman"/>
      <w:szCs w:val="24"/>
    </w:rPr>
  </w:style>
  <w:style w:type="paragraph" w:styleId="22">
    <w:name w:val="Body Text Indent"/>
    <w:basedOn w:val="1"/>
    <w:link w:val="330"/>
    <w:unhideWhenUsed/>
    <w:qFormat/>
    <w:uiPriority w:val="99"/>
    <w:pPr>
      <w:spacing w:after="120"/>
      <w:ind w:left="420" w:leftChars="200"/>
    </w:pPr>
    <w:rPr>
      <w:rFonts w:ascii="Times New Roman" w:hAnsi="Times New Roman"/>
      <w:szCs w:val="24"/>
    </w:rPr>
  </w:style>
  <w:style w:type="paragraph" w:styleId="23">
    <w:name w:val="List Bullet 2"/>
    <w:basedOn w:val="1"/>
    <w:qFormat/>
    <w:uiPriority w:val="0"/>
    <w:pPr>
      <w:tabs>
        <w:tab w:val="left" w:pos="780"/>
      </w:tabs>
    </w:pPr>
    <w:rPr>
      <w:rFonts w:ascii="Times New Roman" w:hAnsi="Times New Roman"/>
      <w:szCs w:val="24"/>
    </w:rPr>
  </w:style>
  <w:style w:type="paragraph" w:styleId="24">
    <w:name w:val="toc 5"/>
    <w:basedOn w:val="1"/>
    <w:next w:val="1"/>
    <w:qFormat/>
    <w:uiPriority w:val="0"/>
    <w:pPr>
      <w:ind w:left="840"/>
      <w:jc w:val="left"/>
    </w:pPr>
    <w:rPr>
      <w:sz w:val="18"/>
      <w:szCs w:val="18"/>
    </w:rPr>
  </w:style>
  <w:style w:type="paragraph" w:styleId="25">
    <w:name w:val="toc 3"/>
    <w:basedOn w:val="1"/>
    <w:next w:val="1"/>
    <w:qFormat/>
    <w:uiPriority w:val="39"/>
    <w:pPr>
      <w:ind w:left="840" w:leftChars="400"/>
    </w:pPr>
    <w:rPr>
      <w:rFonts w:ascii="Times New Roman" w:hAnsi="Times New Roman"/>
      <w:szCs w:val="24"/>
    </w:rPr>
  </w:style>
  <w:style w:type="paragraph" w:styleId="26">
    <w:name w:val="Plain Text"/>
    <w:basedOn w:val="1"/>
    <w:link w:val="87"/>
    <w:qFormat/>
    <w:uiPriority w:val="0"/>
    <w:rPr>
      <w:rFonts w:ascii="宋体" w:hAnsi="Courier New"/>
      <w:szCs w:val="20"/>
    </w:rPr>
  </w:style>
  <w:style w:type="paragraph" w:styleId="27">
    <w:name w:val="List Bullet 5"/>
    <w:basedOn w:val="1"/>
    <w:qFormat/>
    <w:uiPriority w:val="0"/>
    <w:pPr>
      <w:tabs>
        <w:tab w:val="left" w:pos="817"/>
        <w:tab w:val="left" w:pos="2040"/>
      </w:tabs>
      <w:ind w:left="817" w:hanging="420"/>
    </w:pPr>
    <w:rPr>
      <w:rFonts w:ascii="Times New Roman" w:hAnsi="Times New Roman"/>
      <w:szCs w:val="24"/>
    </w:rPr>
  </w:style>
  <w:style w:type="paragraph" w:styleId="28">
    <w:name w:val="toc 8"/>
    <w:basedOn w:val="1"/>
    <w:next w:val="1"/>
    <w:qFormat/>
    <w:uiPriority w:val="0"/>
    <w:pPr>
      <w:ind w:left="1470"/>
      <w:jc w:val="left"/>
    </w:pPr>
    <w:rPr>
      <w:sz w:val="18"/>
      <w:szCs w:val="18"/>
    </w:rPr>
  </w:style>
  <w:style w:type="paragraph" w:styleId="29">
    <w:name w:val="Date"/>
    <w:basedOn w:val="1"/>
    <w:next w:val="1"/>
    <w:link w:val="120"/>
    <w:qFormat/>
    <w:uiPriority w:val="99"/>
    <w:pPr>
      <w:ind w:left="100" w:leftChars="2500"/>
    </w:pPr>
    <w:rPr>
      <w:rFonts w:ascii="Times New Roman" w:hAnsi="Times New Roman"/>
      <w:szCs w:val="24"/>
    </w:rPr>
  </w:style>
  <w:style w:type="paragraph" w:styleId="30">
    <w:name w:val="Body Text Indent 2"/>
    <w:basedOn w:val="1"/>
    <w:link w:val="331"/>
    <w:unhideWhenUsed/>
    <w:qFormat/>
    <w:uiPriority w:val="99"/>
    <w:pPr>
      <w:spacing w:after="120" w:line="480" w:lineRule="auto"/>
      <w:ind w:left="420" w:leftChars="200"/>
    </w:pPr>
    <w:rPr>
      <w:rFonts w:ascii="Times New Roman" w:hAnsi="Times New Roman"/>
      <w:szCs w:val="24"/>
    </w:rPr>
  </w:style>
  <w:style w:type="paragraph" w:styleId="31">
    <w:name w:val="endnote text"/>
    <w:basedOn w:val="1"/>
    <w:link w:val="209"/>
    <w:qFormat/>
    <w:uiPriority w:val="0"/>
    <w:pPr>
      <w:snapToGrid w:val="0"/>
      <w:jc w:val="left"/>
    </w:pPr>
    <w:rPr>
      <w:rFonts w:ascii="楷体_GB2312" w:hAnsi="Times New Roman" w:eastAsia="楷体_GB2312"/>
      <w:kern w:val="0"/>
      <w:sz w:val="28"/>
      <w:szCs w:val="20"/>
    </w:rPr>
  </w:style>
  <w:style w:type="paragraph" w:styleId="32">
    <w:name w:val="Balloon Text"/>
    <w:basedOn w:val="1"/>
    <w:link w:val="68"/>
    <w:qFormat/>
    <w:uiPriority w:val="0"/>
    <w:rPr>
      <w:sz w:val="18"/>
      <w:szCs w:val="18"/>
    </w:rPr>
  </w:style>
  <w:style w:type="paragraph" w:styleId="33">
    <w:name w:val="footer"/>
    <w:basedOn w:val="1"/>
    <w:link w:val="63"/>
    <w:qFormat/>
    <w:uiPriority w:val="99"/>
    <w:pPr>
      <w:tabs>
        <w:tab w:val="center" w:pos="4153"/>
        <w:tab w:val="right" w:pos="8306"/>
      </w:tabs>
      <w:snapToGrid w:val="0"/>
      <w:jc w:val="left"/>
    </w:pPr>
    <w:rPr>
      <w:sz w:val="18"/>
      <w:szCs w:val="18"/>
    </w:rPr>
  </w:style>
  <w:style w:type="paragraph" w:styleId="34">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unhideWhenUsed/>
    <w:qFormat/>
    <w:uiPriority w:val="39"/>
    <w:pPr>
      <w:tabs>
        <w:tab w:val="left" w:pos="426"/>
        <w:tab w:val="right" w:leader="dot" w:pos="8296"/>
      </w:tabs>
    </w:pPr>
  </w:style>
  <w:style w:type="paragraph" w:styleId="36">
    <w:name w:val="toc 4"/>
    <w:basedOn w:val="1"/>
    <w:next w:val="1"/>
    <w:qFormat/>
    <w:uiPriority w:val="0"/>
    <w:pPr>
      <w:ind w:left="630"/>
      <w:jc w:val="left"/>
    </w:pPr>
    <w:rPr>
      <w:sz w:val="18"/>
      <w:szCs w:val="18"/>
    </w:rPr>
  </w:style>
  <w:style w:type="paragraph" w:styleId="37">
    <w:name w:val="Subtitle"/>
    <w:basedOn w:val="1"/>
    <w:link w:val="203"/>
    <w:qFormat/>
    <w:uiPriority w:val="0"/>
    <w:pPr>
      <w:spacing w:before="240" w:after="60" w:line="312" w:lineRule="auto"/>
      <w:jc w:val="center"/>
      <w:outlineLvl w:val="1"/>
    </w:pPr>
    <w:rPr>
      <w:rFonts w:ascii="Arial" w:hAnsi="Arial"/>
      <w:b/>
      <w:bCs/>
      <w:kern w:val="28"/>
      <w:sz w:val="32"/>
      <w:szCs w:val="32"/>
    </w:rPr>
  </w:style>
  <w:style w:type="paragraph" w:styleId="38">
    <w:name w:val="List Number 5"/>
    <w:basedOn w:val="1"/>
    <w:qFormat/>
    <w:uiPriority w:val="0"/>
    <w:pPr>
      <w:numPr>
        <w:ilvl w:val="0"/>
        <w:numId w:val="2"/>
      </w:numPr>
    </w:pPr>
    <w:rPr>
      <w:rFonts w:ascii="Times New Roman" w:hAnsi="Times New Roman"/>
      <w:szCs w:val="24"/>
    </w:rPr>
  </w:style>
  <w:style w:type="paragraph" w:styleId="39">
    <w:name w:val="toc 6"/>
    <w:basedOn w:val="1"/>
    <w:next w:val="1"/>
    <w:qFormat/>
    <w:uiPriority w:val="0"/>
    <w:pPr>
      <w:ind w:left="1050"/>
      <w:jc w:val="left"/>
    </w:pPr>
    <w:rPr>
      <w:sz w:val="18"/>
      <w:szCs w:val="18"/>
    </w:rPr>
  </w:style>
  <w:style w:type="paragraph" w:styleId="40">
    <w:name w:val="Body Text Indent 3"/>
    <w:basedOn w:val="1"/>
    <w:link w:val="67"/>
    <w:qFormat/>
    <w:uiPriority w:val="0"/>
    <w:pPr>
      <w:spacing w:after="120"/>
      <w:ind w:left="420" w:leftChars="200"/>
    </w:pPr>
    <w:rPr>
      <w:rFonts w:ascii="Times New Roman" w:hAnsi="Times New Roman"/>
      <w:sz w:val="16"/>
      <w:szCs w:val="16"/>
    </w:rPr>
  </w:style>
  <w:style w:type="paragraph" w:styleId="41">
    <w:name w:val="toc 2"/>
    <w:basedOn w:val="1"/>
    <w:next w:val="1"/>
    <w:unhideWhenUsed/>
    <w:qFormat/>
    <w:uiPriority w:val="39"/>
    <w:pPr>
      <w:tabs>
        <w:tab w:val="left" w:pos="1134"/>
        <w:tab w:val="right" w:leader="dot" w:pos="8296"/>
      </w:tabs>
      <w:ind w:left="420" w:leftChars="200"/>
    </w:pPr>
  </w:style>
  <w:style w:type="paragraph" w:styleId="42">
    <w:name w:val="toc 9"/>
    <w:basedOn w:val="1"/>
    <w:next w:val="1"/>
    <w:qFormat/>
    <w:uiPriority w:val="0"/>
    <w:pPr>
      <w:ind w:left="1680"/>
      <w:jc w:val="left"/>
    </w:pPr>
    <w:rPr>
      <w:sz w:val="18"/>
      <w:szCs w:val="18"/>
    </w:rPr>
  </w:style>
  <w:style w:type="paragraph" w:styleId="43">
    <w:name w:val="Title"/>
    <w:basedOn w:val="1"/>
    <w:link w:val="200"/>
    <w:qFormat/>
    <w:uiPriority w:val="0"/>
    <w:pPr>
      <w:spacing w:before="240" w:after="60"/>
      <w:jc w:val="center"/>
      <w:outlineLvl w:val="0"/>
    </w:pPr>
    <w:rPr>
      <w:rFonts w:ascii="Arial" w:hAnsi="Arial"/>
      <w:b/>
      <w:bCs/>
      <w:sz w:val="32"/>
      <w:szCs w:val="32"/>
    </w:rPr>
  </w:style>
  <w:style w:type="paragraph" w:styleId="44">
    <w:name w:val="annotation subject"/>
    <w:basedOn w:val="19"/>
    <w:next w:val="19"/>
    <w:link w:val="74"/>
    <w:unhideWhenUsed/>
    <w:qFormat/>
    <w:uiPriority w:val="0"/>
    <w:rPr>
      <w:b/>
      <w:bCs/>
    </w:rPr>
  </w:style>
  <w:style w:type="paragraph" w:styleId="45">
    <w:name w:val="Body Text First Indent"/>
    <w:basedOn w:val="21"/>
    <w:link w:val="105"/>
    <w:qFormat/>
    <w:uiPriority w:val="0"/>
    <w:pPr>
      <w:spacing w:line="480" w:lineRule="exact"/>
      <w:ind w:firstLine="420" w:firstLineChars="100"/>
    </w:pPr>
    <w:rPr>
      <w:sz w:val="24"/>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endnote reference"/>
    <w:qFormat/>
    <w:uiPriority w:val="0"/>
    <w:rPr>
      <w:vertAlign w:val="superscript"/>
    </w:rPr>
  </w:style>
  <w:style w:type="character" w:styleId="51">
    <w:name w:val="page number"/>
    <w:qFormat/>
    <w:uiPriority w:val="0"/>
    <w:rPr>
      <w:rFonts w:ascii="Times New Roman" w:hAnsi="Times New Roman" w:eastAsia="宋体"/>
      <w:sz w:val="18"/>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TML Definition"/>
    <w:basedOn w:val="48"/>
    <w:unhideWhenUsed/>
    <w:qFormat/>
    <w:uiPriority w:val="99"/>
  </w:style>
  <w:style w:type="character" w:styleId="55">
    <w:name w:val="HTML Acronym"/>
    <w:basedOn w:val="48"/>
    <w:unhideWhenUsed/>
    <w:qFormat/>
    <w:uiPriority w:val="99"/>
  </w:style>
  <w:style w:type="character" w:styleId="56">
    <w:name w:val="HTML Variable"/>
    <w:basedOn w:val="48"/>
    <w:unhideWhenUsed/>
    <w:qFormat/>
    <w:uiPriority w:val="99"/>
  </w:style>
  <w:style w:type="character" w:styleId="57">
    <w:name w:val="Hyperlink"/>
    <w:unhideWhenUsed/>
    <w:qFormat/>
    <w:uiPriority w:val="99"/>
    <w:rPr>
      <w:color w:val="0000FF"/>
      <w:u w:val="single"/>
    </w:rPr>
  </w:style>
  <w:style w:type="character" w:styleId="58">
    <w:name w:val="HTML Code"/>
    <w:basedOn w:val="48"/>
    <w:unhideWhenUsed/>
    <w:qFormat/>
    <w:uiPriority w:val="99"/>
    <w:rPr>
      <w:rFonts w:ascii="Courier New" w:hAnsi="Courier New"/>
      <w:sz w:val="20"/>
    </w:rPr>
  </w:style>
  <w:style w:type="character" w:styleId="59">
    <w:name w:val="annotation reference"/>
    <w:unhideWhenUsed/>
    <w:qFormat/>
    <w:uiPriority w:val="99"/>
    <w:rPr>
      <w:sz w:val="21"/>
      <w:szCs w:val="21"/>
    </w:rPr>
  </w:style>
  <w:style w:type="character" w:styleId="60">
    <w:name w:val="HTML Cite"/>
    <w:basedOn w:val="48"/>
    <w:unhideWhenUsed/>
    <w:qFormat/>
    <w:uiPriority w:val="99"/>
  </w:style>
  <w:style w:type="character" w:customStyle="1" w:styleId="61">
    <w:name w:val="标题 2 Char"/>
    <w:link w:val="4"/>
    <w:qFormat/>
    <w:uiPriority w:val="0"/>
    <w:rPr>
      <w:rFonts w:ascii="Cambria" w:hAnsi="Cambria" w:eastAsia="宋体" w:cs="Times New Roman"/>
      <w:b/>
      <w:bCs/>
      <w:kern w:val="2"/>
      <w:sz w:val="32"/>
      <w:szCs w:val="32"/>
    </w:rPr>
  </w:style>
  <w:style w:type="character" w:customStyle="1" w:styleId="62">
    <w:name w:val="页眉 Char"/>
    <w:link w:val="34"/>
    <w:qFormat/>
    <w:uiPriority w:val="0"/>
    <w:rPr>
      <w:kern w:val="2"/>
      <w:sz w:val="18"/>
      <w:szCs w:val="18"/>
    </w:rPr>
  </w:style>
  <w:style w:type="character" w:customStyle="1" w:styleId="63">
    <w:name w:val="页脚 Char"/>
    <w:link w:val="33"/>
    <w:qFormat/>
    <w:uiPriority w:val="99"/>
    <w:rPr>
      <w:kern w:val="2"/>
      <w:sz w:val="18"/>
      <w:szCs w:val="18"/>
    </w:rPr>
  </w:style>
  <w:style w:type="character" w:customStyle="1" w:styleId="64">
    <w:name w:val="标题 1 Char"/>
    <w:link w:val="3"/>
    <w:qFormat/>
    <w:uiPriority w:val="0"/>
    <w:rPr>
      <w:b/>
      <w:bCs/>
      <w:kern w:val="44"/>
      <w:sz w:val="44"/>
      <w:szCs w:val="44"/>
    </w:rPr>
  </w:style>
  <w:style w:type="character" w:customStyle="1" w:styleId="65">
    <w:name w:val="一级条标题 Char Char"/>
    <w:link w:val="66"/>
    <w:qFormat/>
    <w:uiPriority w:val="0"/>
    <w:rPr>
      <w:rFonts w:ascii="黑体" w:hAnsi="Times New Roman" w:eastAsia="黑体"/>
      <w:sz w:val="21"/>
    </w:rPr>
  </w:style>
  <w:style w:type="paragraph" w:customStyle="1" w:styleId="66">
    <w:name w:val="一级条标题"/>
    <w:basedOn w:val="1"/>
    <w:next w:val="1"/>
    <w:link w:val="65"/>
    <w:qFormat/>
    <w:uiPriority w:val="0"/>
    <w:pPr>
      <w:widowControl/>
      <w:outlineLvl w:val="2"/>
    </w:pPr>
    <w:rPr>
      <w:rFonts w:ascii="黑体" w:hAnsi="Times New Roman" w:eastAsia="黑体"/>
      <w:kern w:val="0"/>
      <w:szCs w:val="20"/>
    </w:rPr>
  </w:style>
  <w:style w:type="character" w:customStyle="1" w:styleId="67">
    <w:name w:val="正文文本缩进 3 Char"/>
    <w:link w:val="40"/>
    <w:qFormat/>
    <w:uiPriority w:val="0"/>
    <w:rPr>
      <w:rFonts w:ascii="Times New Roman" w:hAnsi="Times New Roman"/>
      <w:kern w:val="2"/>
      <w:sz w:val="16"/>
      <w:szCs w:val="16"/>
    </w:rPr>
  </w:style>
  <w:style w:type="character" w:customStyle="1" w:styleId="68">
    <w:name w:val="批注框文本 Char"/>
    <w:link w:val="32"/>
    <w:qFormat/>
    <w:uiPriority w:val="0"/>
    <w:rPr>
      <w:kern w:val="2"/>
      <w:sz w:val="18"/>
      <w:szCs w:val="18"/>
    </w:rPr>
  </w:style>
  <w:style w:type="paragraph" w:customStyle="1" w:styleId="69">
    <w:name w:val="列出段落1"/>
    <w:basedOn w:val="1"/>
    <w:qFormat/>
    <w:uiPriority w:val="34"/>
    <w:pPr>
      <w:ind w:firstLine="420" w:firstLineChars="200"/>
    </w:pPr>
  </w:style>
  <w:style w:type="paragraph" w:customStyle="1" w:styleId="70">
    <w:name w:val="TOC 标题1"/>
    <w:basedOn w:val="3"/>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文格式"/>
    <w:basedOn w:val="1"/>
    <w:link w:val="72"/>
    <w:qFormat/>
    <w:uiPriority w:val="0"/>
    <w:pPr>
      <w:topLinePunct/>
      <w:ind w:firstLine="420" w:firstLineChars="200"/>
    </w:pPr>
    <w:rPr>
      <w:rFonts w:ascii="宋体" w:hAnsi="宋体"/>
      <w:bCs/>
      <w:szCs w:val="21"/>
    </w:rPr>
  </w:style>
  <w:style w:type="character" w:customStyle="1" w:styleId="72">
    <w:name w:val="正文格式 Char"/>
    <w:link w:val="71"/>
    <w:qFormat/>
    <w:uiPriority w:val="0"/>
    <w:rPr>
      <w:rFonts w:ascii="宋体" w:hAnsi="宋体"/>
      <w:bCs/>
      <w:kern w:val="2"/>
      <w:sz w:val="21"/>
      <w:szCs w:val="21"/>
    </w:rPr>
  </w:style>
  <w:style w:type="character" w:customStyle="1" w:styleId="73">
    <w:name w:val="批注文字 Char"/>
    <w:link w:val="19"/>
    <w:qFormat/>
    <w:uiPriority w:val="0"/>
    <w:rPr>
      <w:kern w:val="2"/>
      <w:sz w:val="21"/>
      <w:szCs w:val="22"/>
    </w:rPr>
  </w:style>
  <w:style w:type="character" w:customStyle="1" w:styleId="74">
    <w:name w:val="批注主题 Char"/>
    <w:link w:val="44"/>
    <w:qFormat/>
    <w:uiPriority w:val="0"/>
    <w:rPr>
      <w:b/>
      <w:bCs/>
      <w:kern w:val="2"/>
      <w:sz w:val="21"/>
      <w:szCs w:val="22"/>
    </w:rPr>
  </w:style>
  <w:style w:type="paragraph" w:customStyle="1" w:styleId="75">
    <w:name w:val="修订1"/>
    <w:hidden/>
    <w:semiHidden/>
    <w:qFormat/>
    <w:uiPriority w:val="99"/>
    <w:rPr>
      <w:rFonts w:ascii="Calibri" w:hAnsi="Calibri" w:eastAsia="宋体" w:cs="Times New Roman"/>
      <w:kern w:val="2"/>
      <w:sz w:val="21"/>
      <w:szCs w:val="22"/>
      <w:lang w:val="en-US" w:eastAsia="zh-CN" w:bidi="ar-SA"/>
    </w:rPr>
  </w:style>
  <w:style w:type="paragraph" w:customStyle="1" w:styleId="76">
    <w:name w:val="段"/>
    <w:link w:val="326"/>
    <w:qFormat/>
    <w:uiPriority w:val="0"/>
    <w:pPr>
      <w:ind w:firstLine="200" w:firstLineChars="200"/>
      <w:jc w:val="both"/>
    </w:pPr>
    <w:rPr>
      <w:rFonts w:ascii="宋体" w:hAnsi="Times New Roman" w:eastAsia="宋体" w:cs="Times New Roman"/>
      <w:sz w:val="21"/>
      <w:lang w:val="en-US" w:eastAsia="zh-CN" w:bidi="ar-SA"/>
    </w:rPr>
  </w:style>
  <w:style w:type="paragraph" w:customStyle="1" w:styleId="77">
    <w:name w:val="目次、标准名称标题"/>
    <w:basedOn w:val="1"/>
    <w:next w:val="76"/>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paragraph" w:customStyle="1" w:styleId="78">
    <w:name w:val="标准书眉_偶数页"/>
    <w:basedOn w:val="79"/>
    <w:next w:val="1"/>
    <w:qFormat/>
    <w:uiPriority w:val="0"/>
    <w:pPr>
      <w:tabs>
        <w:tab w:val="center" w:pos="4154"/>
        <w:tab w:val="right" w:pos="8306"/>
      </w:tabs>
      <w:jc w:val="left"/>
    </w:pPr>
  </w:style>
  <w:style w:type="paragraph" w:customStyle="1" w:styleId="7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2">
    <w:name w:val="标准书眉一"/>
    <w:qFormat/>
    <w:uiPriority w:val="0"/>
    <w:pPr>
      <w:jc w:val="both"/>
    </w:pPr>
    <w:rPr>
      <w:rFonts w:ascii="Times New Roman" w:hAnsi="Times New Roman" w:eastAsia="宋体" w:cs="Times New Roman"/>
      <w:lang w:val="en-US" w:eastAsia="zh-CN" w:bidi="ar-SA"/>
    </w:rPr>
  </w:style>
  <w:style w:type="paragraph" w:customStyle="1" w:styleId="8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4">
    <w:name w:val="前言、引言标题"/>
    <w:next w:val="1"/>
    <w:qFormat/>
    <w:uiPriority w:val="0"/>
    <w:pPr>
      <w:shd w:val="clear" w:color="FFFFFF" w:fill="FFFFFF"/>
      <w:spacing w:before="640" w:after="560"/>
      <w:ind w:left="425" w:hanging="425"/>
      <w:jc w:val="center"/>
      <w:outlineLvl w:val="0"/>
    </w:pPr>
    <w:rPr>
      <w:rFonts w:ascii="黑体" w:hAnsi="Times New Roman" w:eastAsia="黑体" w:cs="Times New Roman"/>
      <w:b/>
      <w:sz w:val="32"/>
      <w:lang w:val="en-US" w:eastAsia="zh-CN" w:bidi="ar-SA"/>
    </w:rPr>
  </w:style>
  <w:style w:type="character" w:customStyle="1" w:styleId="85">
    <w:name w:val="首行缩进 Char"/>
    <w:link w:val="86"/>
    <w:qFormat/>
    <w:uiPriority w:val="0"/>
    <w:rPr>
      <w:rFonts w:eastAsia="方正书宋简体" w:cs="宋体"/>
      <w:kern w:val="2"/>
      <w:sz w:val="21"/>
    </w:rPr>
  </w:style>
  <w:style w:type="paragraph" w:customStyle="1" w:styleId="86">
    <w:name w:val="首行缩进"/>
    <w:basedOn w:val="1"/>
    <w:link w:val="85"/>
    <w:qFormat/>
    <w:uiPriority w:val="0"/>
    <w:pPr>
      <w:spacing w:line="300" w:lineRule="auto"/>
      <w:ind w:firstLine="420" w:firstLineChars="200"/>
    </w:pPr>
    <w:rPr>
      <w:rFonts w:eastAsia="方正书宋简体"/>
      <w:szCs w:val="20"/>
    </w:rPr>
  </w:style>
  <w:style w:type="character" w:customStyle="1" w:styleId="87">
    <w:name w:val="纯文本 Char"/>
    <w:link w:val="26"/>
    <w:qFormat/>
    <w:uiPriority w:val="0"/>
    <w:rPr>
      <w:rFonts w:ascii="宋体" w:hAnsi="Courier New"/>
      <w:kern w:val="2"/>
      <w:sz w:val="21"/>
    </w:rPr>
  </w:style>
  <w:style w:type="character" w:customStyle="1" w:styleId="88">
    <w:name w:val="纯文本 Char1"/>
    <w:semiHidden/>
    <w:qFormat/>
    <w:uiPriority w:val="99"/>
    <w:rPr>
      <w:rFonts w:ascii="宋体" w:hAnsi="Courier New" w:cs="Courier New"/>
      <w:kern w:val="2"/>
      <w:sz w:val="21"/>
      <w:szCs w:val="21"/>
    </w:rPr>
  </w:style>
  <w:style w:type="character" w:customStyle="1" w:styleId="89">
    <w:name w:val="表头 Char"/>
    <w:link w:val="90"/>
    <w:qFormat/>
    <w:uiPriority w:val="0"/>
    <w:rPr>
      <w:rFonts w:eastAsia="黑体"/>
      <w:kern w:val="2"/>
      <w:sz w:val="21"/>
    </w:rPr>
  </w:style>
  <w:style w:type="paragraph" w:customStyle="1" w:styleId="90">
    <w:name w:val="表头"/>
    <w:basedOn w:val="1"/>
    <w:link w:val="89"/>
    <w:qFormat/>
    <w:uiPriority w:val="0"/>
    <w:pPr>
      <w:topLinePunct/>
      <w:spacing w:before="160" w:after="60"/>
      <w:jc w:val="center"/>
    </w:pPr>
    <w:rPr>
      <w:rFonts w:eastAsia="黑体"/>
      <w:szCs w:val="20"/>
    </w:rPr>
  </w:style>
  <w:style w:type="character" w:customStyle="1" w:styleId="91">
    <w:name w:val="二级条标题 Char"/>
    <w:link w:val="92"/>
    <w:qFormat/>
    <w:uiPriority w:val="0"/>
    <w:rPr>
      <w:rFonts w:ascii="黑体" w:eastAsia="黑体"/>
      <w:b/>
      <w:sz w:val="21"/>
    </w:rPr>
  </w:style>
  <w:style w:type="paragraph" w:customStyle="1" w:styleId="92">
    <w:name w:val="二级条标题"/>
    <w:basedOn w:val="1"/>
    <w:next w:val="1"/>
    <w:link w:val="91"/>
    <w:qFormat/>
    <w:uiPriority w:val="0"/>
    <w:pPr>
      <w:widowControl/>
      <w:outlineLvl w:val="3"/>
    </w:pPr>
    <w:rPr>
      <w:rFonts w:ascii="黑体" w:eastAsia="黑体"/>
      <w:b/>
      <w:kern w:val="0"/>
      <w:szCs w:val="20"/>
    </w:rPr>
  </w:style>
  <w:style w:type="paragraph" w:customStyle="1" w:styleId="93">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Char"/>
    <w:basedOn w:val="1"/>
    <w:qFormat/>
    <w:uiPriority w:val="0"/>
    <w:rPr>
      <w:rFonts w:ascii="Times New Roman" w:hAnsi="Times New Roman"/>
      <w:szCs w:val="20"/>
    </w:rPr>
  </w:style>
  <w:style w:type="paragraph" w:customStyle="1" w:styleId="95">
    <w:name w:val="封面标准文稿编辑信息"/>
    <w:qFormat/>
    <w:uiPriority w:val="0"/>
    <w:pPr>
      <w:numPr>
        <w:ilvl w:val="0"/>
        <w:numId w:val="3"/>
      </w:numPr>
      <w:tabs>
        <w:tab w:val="clear" w:pos="360"/>
      </w:tabs>
      <w:spacing w:before="180" w:line="180" w:lineRule="exact"/>
      <w:jc w:val="center"/>
    </w:pPr>
    <w:rPr>
      <w:rFonts w:ascii="宋体" w:hAnsi="Times New Roman" w:eastAsia="宋体" w:cs="Times New Roman"/>
      <w:sz w:val="21"/>
      <w:lang w:val="en-US" w:eastAsia="zh-CN" w:bidi="ar-SA"/>
    </w:rPr>
  </w:style>
  <w:style w:type="character" w:customStyle="1" w:styleId="96">
    <w:name w:val="标题 4 Char"/>
    <w:link w:val="6"/>
    <w:qFormat/>
    <w:uiPriority w:val="0"/>
    <w:rPr>
      <w:rFonts w:ascii="Times New Roman" w:hAnsi="Times New Roman"/>
      <w:b/>
      <w:bCs/>
      <w:kern w:val="2"/>
      <w:sz w:val="24"/>
      <w:szCs w:val="24"/>
      <w:lang w:val="sv-SE"/>
    </w:rPr>
  </w:style>
  <w:style w:type="character" w:customStyle="1" w:styleId="97">
    <w:name w:val="标题 5 Char"/>
    <w:link w:val="7"/>
    <w:qFormat/>
    <w:uiPriority w:val="0"/>
    <w:rPr>
      <w:rFonts w:ascii="Times New Roman" w:hAnsi="Times New Roman"/>
      <w:b/>
      <w:bCs/>
      <w:kern w:val="2"/>
      <w:sz w:val="24"/>
      <w:szCs w:val="28"/>
    </w:rPr>
  </w:style>
  <w:style w:type="character" w:customStyle="1" w:styleId="98">
    <w:name w:val="标题 6 Char"/>
    <w:link w:val="8"/>
    <w:qFormat/>
    <w:uiPriority w:val="0"/>
    <w:rPr>
      <w:rFonts w:ascii="Arial" w:hAnsi="Arial" w:eastAsia="黑体"/>
      <w:b/>
      <w:bCs/>
      <w:kern w:val="2"/>
      <w:sz w:val="24"/>
      <w:szCs w:val="24"/>
    </w:rPr>
  </w:style>
  <w:style w:type="character" w:customStyle="1" w:styleId="99">
    <w:name w:val="标题 7 Char"/>
    <w:link w:val="9"/>
    <w:qFormat/>
    <w:uiPriority w:val="0"/>
    <w:rPr>
      <w:rFonts w:ascii="Times New Roman" w:hAnsi="Times New Roman"/>
      <w:b/>
      <w:bCs/>
      <w:kern w:val="2"/>
      <w:sz w:val="24"/>
      <w:szCs w:val="24"/>
    </w:rPr>
  </w:style>
  <w:style w:type="character" w:customStyle="1" w:styleId="100">
    <w:name w:val="标题 8 Char"/>
    <w:link w:val="10"/>
    <w:qFormat/>
    <w:uiPriority w:val="0"/>
    <w:rPr>
      <w:rFonts w:ascii="Arial" w:hAnsi="Arial" w:eastAsia="黑体"/>
      <w:kern w:val="2"/>
      <w:sz w:val="24"/>
      <w:szCs w:val="24"/>
    </w:rPr>
  </w:style>
  <w:style w:type="character" w:customStyle="1" w:styleId="101">
    <w:name w:val="标题 9 Char"/>
    <w:link w:val="11"/>
    <w:qFormat/>
    <w:uiPriority w:val="0"/>
    <w:rPr>
      <w:rFonts w:ascii="Arial" w:hAnsi="Arial" w:eastAsia="黑体"/>
      <w:kern w:val="2"/>
      <w:sz w:val="21"/>
      <w:szCs w:val="21"/>
    </w:rPr>
  </w:style>
  <w:style w:type="paragraph" w:customStyle="1" w:styleId="102">
    <w:name w:val="Char Char Char Char Char Char Char Char Char Char"/>
    <w:basedOn w:val="1"/>
    <w:qFormat/>
    <w:uiPriority w:val="0"/>
    <w:pPr>
      <w:spacing w:line="360" w:lineRule="auto"/>
    </w:pPr>
    <w:rPr>
      <w:rFonts w:ascii="Tahoma" w:hAnsi="Tahoma"/>
      <w:sz w:val="24"/>
      <w:szCs w:val="20"/>
    </w:rPr>
  </w:style>
  <w:style w:type="paragraph" w:customStyle="1" w:styleId="103">
    <w:name w:val="1级列项"/>
    <w:basedOn w:val="1"/>
    <w:qFormat/>
    <w:uiPriority w:val="0"/>
    <w:pPr>
      <w:adjustRightInd w:val="0"/>
      <w:spacing w:line="480" w:lineRule="exact"/>
      <w:textAlignment w:val="baseline"/>
    </w:pPr>
    <w:rPr>
      <w:rFonts w:ascii="Times New Roman" w:hAnsi="Times New Roman"/>
      <w:sz w:val="24"/>
      <w:szCs w:val="24"/>
    </w:rPr>
  </w:style>
  <w:style w:type="character" w:customStyle="1" w:styleId="104">
    <w:name w:val="正文文本 Char"/>
    <w:link w:val="21"/>
    <w:qFormat/>
    <w:uiPriority w:val="0"/>
    <w:rPr>
      <w:rFonts w:ascii="Times New Roman" w:hAnsi="Times New Roman"/>
      <w:kern w:val="2"/>
      <w:sz w:val="21"/>
      <w:szCs w:val="24"/>
    </w:rPr>
  </w:style>
  <w:style w:type="character" w:customStyle="1" w:styleId="105">
    <w:name w:val="正文首行缩进 Char"/>
    <w:link w:val="45"/>
    <w:qFormat/>
    <w:uiPriority w:val="0"/>
    <w:rPr>
      <w:rFonts w:ascii="Times New Roman" w:hAnsi="Times New Roman"/>
      <w:kern w:val="2"/>
      <w:sz w:val="24"/>
      <w:szCs w:val="24"/>
    </w:rPr>
  </w:style>
  <w:style w:type="paragraph" w:customStyle="1" w:styleId="106">
    <w:name w:val="默认段落字体 Para Char Char Char Char"/>
    <w:basedOn w:val="1"/>
    <w:link w:val="174"/>
    <w:qFormat/>
    <w:uiPriority w:val="0"/>
    <w:rPr>
      <w:rFonts w:ascii="Times New Roman" w:hAnsi="Times New Roman"/>
      <w:szCs w:val="24"/>
    </w:rPr>
  </w:style>
  <w:style w:type="character" w:customStyle="1" w:styleId="107">
    <w:name w:val="文档结构图 Char"/>
    <w:link w:val="18"/>
    <w:qFormat/>
    <w:uiPriority w:val="99"/>
    <w:rPr>
      <w:rFonts w:ascii="Times New Roman" w:hAnsi="Times New Roman"/>
      <w:kern w:val="2"/>
      <w:sz w:val="21"/>
      <w:szCs w:val="24"/>
      <w:shd w:val="clear" w:color="auto" w:fill="000080"/>
    </w:rPr>
  </w:style>
  <w:style w:type="paragraph" w:customStyle="1" w:styleId="108">
    <w:name w:val="附录表标题"/>
    <w:basedOn w:val="1"/>
    <w:next w:val="1"/>
    <w:qFormat/>
    <w:uiPriority w:val="0"/>
    <w:pPr>
      <w:widowControl/>
      <w:tabs>
        <w:tab w:val="left" w:pos="210"/>
        <w:tab w:val="left" w:pos="420"/>
      </w:tabs>
      <w:jc w:val="center"/>
      <w:textAlignment w:val="baseline"/>
    </w:pPr>
    <w:rPr>
      <w:rFonts w:ascii="宋体" w:hAnsi="Times New Roman"/>
      <w:b/>
      <w:kern w:val="21"/>
      <w:szCs w:val="20"/>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样式 (中文) 黑体 二号 行距: 1.5 倍行距"/>
    <w:basedOn w:val="1"/>
    <w:qFormat/>
    <w:uiPriority w:val="0"/>
    <w:pPr>
      <w:spacing w:line="360" w:lineRule="auto"/>
    </w:pPr>
    <w:rPr>
      <w:rFonts w:ascii="Times New Roman" w:hAnsi="Times New Roman"/>
      <w:sz w:val="44"/>
      <w:szCs w:val="20"/>
    </w:rPr>
  </w:style>
  <w:style w:type="paragraph" w:customStyle="1" w:styleId="111">
    <w:name w:val="5"/>
    <w:basedOn w:val="1"/>
    <w:next w:val="15"/>
    <w:qFormat/>
    <w:uiPriority w:val="0"/>
    <w:pPr>
      <w:numPr>
        <w:ilvl w:val="4"/>
        <w:numId w:val="4"/>
      </w:numPr>
      <w:spacing w:line="300" w:lineRule="auto"/>
    </w:pPr>
    <w:rPr>
      <w:rFonts w:ascii="Times New Roman" w:hAnsi="Times New Roman"/>
      <w:sz w:val="24"/>
      <w:szCs w:val="20"/>
    </w:rPr>
  </w:style>
  <w:style w:type="paragraph" w:customStyle="1" w:styleId="112">
    <w:name w:val="章标题"/>
    <w:next w:val="1"/>
    <w:qFormat/>
    <w:uiPriority w:val="0"/>
    <w:pPr>
      <w:tabs>
        <w:tab w:val="left" w:pos="0"/>
      </w:tabs>
      <w:spacing w:beforeLines="50" w:afterLines="50"/>
      <w:jc w:val="both"/>
      <w:outlineLvl w:val="1"/>
    </w:pPr>
    <w:rPr>
      <w:rFonts w:ascii="黑体" w:hAnsi="Times New Roman" w:eastAsia="黑体" w:cs="Times New Roman"/>
      <w:sz w:val="21"/>
      <w:lang w:val="en-US" w:eastAsia="zh-CN" w:bidi="ar-SA"/>
    </w:rPr>
  </w:style>
  <w:style w:type="paragraph" w:customStyle="1" w:styleId="113">
    <w:name w:val="三级条标题"/>
    <w:basedOn w:val="92"/>
    <w:next w:val="1"/>
    <w:link w:val="336"/>
    <w:qFormat/>
    <w:uiPriority w:val="0"/>
    <w:pPr>
      <w:tabs>
        <w:tab w:val="left" w:pos="2781"/>
      </w:tabs>
      <w:ind w:left="2551" w:hanging="850"/>
      <w:outlineLvl w:val="4"/>
    </w:pPr>
    <w:rPr>
      <w:rFonts w:hAnsi="Times New Roman"/>
    </w:rPr>
  </w:style>
  <w:style w:type="paragraph" w:customStyle="1" w:styleId="114">
    <w:name w:val="五级条标题"/>
    <w:basedOn w:val="1"/>
    <w:next w:val="1"/>
    <w:qFormat/>
    <w:uiPriority w:val="0"/>
    <w:pPr>
      <w:widowControl/>
      <w:outlineLvl w:val="6"/>
    </w:pPr>
    <w:rPr>
      <w:rFonts w:ascii="黑体" w:hAnsi="Times New Roman" w:eastAsia="黑体"/>
      <w:kern w:val="0"/>
      <w:szCs w:val="20"/>
    </w:rPr>
  </w:style>
  <w:style w:type="paragraph" w:customStyle="1" w:styleId="115">
    <w:name w:val="二级无标题条"/>
    <w:basedOn w:val="1"/>
    <w:qFormat/>
    <w:uiPriority w:val="0"/>
    <w:pPr>
      <w:numPr>
        <w:ilvl w:val="3"/>
        <w:numId w:val="5"/>
      </w:numPr>
    </w:pPr>
    <w:rPr>
      <w:rFonts w:ascii="Times New Roman" w:hAnsi="Times New Roman"/>
      <w:szCs w:val="24"/>
    </w:rPr>
  </w:style>
  <w:style w:type="paragraph" w:customStyle="1" w:styleId="116">
    <w:name w:val="三级无标题条"/>
    <w:basedOn w:val="1"/>
    <w:qFormat/>
    <w:uiPriority w:val="0"/>
    <w:pPr>
      <w:numPr>
        <w:ilvl w:val="4"/>
        <w:numId w:val="5"/>
      </w:numPr>
    </w:pPr>
    <w:rPr>
      <w:rFonts w:ascii="Times New Roman" w:hAnsi="Times New Roman"/>
      <w:szCs w:val="24"/>
    </w:rPr>
  </w:style>
  <w:style w:type="paragraph" w:customStyle="1" w:styleId="117">
    <w:name w:val="四级无标题条"/>
    <w:basedOn w:val="1"/>
    <w:qFormat/>
    <w:uiPriority w:val="0"/>
    <w:pPr>
      <w:numPr>
        <w:ilvl w:val="5"/>
        <w:numId w:val="5"/>
      </w:numPr>
    </w:pPr>
    <w:rPr>
      <w:rFonts w:ascii="Times New Roman" w:hAnsi="Times New Roman"/>
      <w:szCs w:val="24"/>
    </w:rPr>
  </w:style>
  <w:style w:type="paragraph" w:customStyle="1" w:styleId="118">
    <w:name w:val="五级无标题条"/>
    <w:basedOn w:val="1"/>
    <w:qFormat/>
    <w:uiPriority w:val="0"/>
    <w:pPr>
      <w:numPr>
        <w:ilvl w:val="6"/>
        <w:numId w:val="5"/>
      </w:numPr>
    </w:pPr>
    <w:rPr>
      <w:rFonts w:ascii="Times New Roman" w:hAnsi="Times New Roman"/>
      <w:szCs w:val="24"/>
    </w:rPr>
  </w:style>
  <w:style w:type="paragraph" w:customStyle="1" w:styleId="119">
    <w:name w:val="一级无标题条"/>
    <w:basedOn w:val="1"/>
    <w:qFormat/>
    <w:uiPriority w:val="0"/>
    <w:pPr>
      <w:numPr>
        <w:ilvl w:val="2"/>
        <w:numId w:val="5"/>
      </w:numPr>
    </w:pPr>
    <w:rPr>
      <w:rFonts w:ascii="Times New Roman" w:hAnsi="Times New Roman"/>
      <w:szCs w:val="24"/>
    </w:rPr>
  </w:style>
  <w:style w:type="character" w:customStyle="1" w:styleId="120">
    <w:name w:val="日期 Char"/>
    <w:link w:val="29"/>
    <w:qFormat/>
    <w:uiPriority w:val="99"/>
    <w:rPr>
      <w:rFonts w:ascii="Times New Roman" w:hAnsi="Times New Roman"/>
      <w:kern w:val="2"/>
      <w:sz w:val="21"/>
      <w:szCs w:val="24"/>
    </w:rPr>
  </w:style>
  <w:style w:type="paragraph" w:customStyle="1" w:styleId="121">
    <w:name w:val="四级条标题"/>
    <w:basedOn w:val="113"/>
    <w:next w:val="1"/>
    <w:qFormat/>
    <w:uiPriority w:val="0"/>
    <w:pPr>
      <w:tabs>
        <w:tab w:val="clear" w:pos="2781"/>
      </w:tabs>
      <w:ind w:left="0" w:firstLine="0"/>
      <w:outlineLvl w:val="5"/>
    </w:pPr>
  </w:style>
  <w:style w:type="character" w:customStyle="1" w:styleId="122">
    <w:name w:val="正文文字样式 Char Char"/>
    <w:qFormat/>
    <w:uiPriority w:val="0"/>
    <w:rPr>
      <w:rFonts w:ascii="宋体" w:hAnsi="宋体" w:eastAsia="宋体"/>
      <w:kern w:val="2"/>
      <w:sz w:val="24"/>
      <w:szCs w:val="24"/>
      <w:lang w:val="en-US" w:eastAsia="zh-CN" w:bidi="ar-SA"/>
    </w:rPr>
  </w:style>
  <w:style w:type="character" w:customStyle="1" w:styleId="123">
    <w:name w:val="不明显强调1"/>
    <w:qFormat/>
    <w:uiPriority w:val="19"/>
    <w:rPr>
      <w:i/>
      <w:iCs/>
      <w:color w:val="808080"/>
    </w:rPr>
  </w:style>
  <w:style w:type="paragraph" w:customStyle="1" w:styleId="124">
    <w:name w:val="标题2d"/>
    <w:qFormat/>
    <w:uiPriority w:val="0"/>
    <w:pPr>
      <w:tabs>
        <w:tab w:val="left" w:pos="0"/>
        <w:tab w:val="left" w:pos="817"/>
      </w:tabs>
      <w:spacing w:line="360" w:lineRule="auto"/>
      <w:ind w:left="817" w:hanging="420"/>
      <w:jc w:val="both"/>
    </w:pPr>
    <w:rPr>
      <w:rFonts w:ascii="宋体" w:hAnsi="宋体" w:eastAsia="宋体" w:cs="Times New Roman"/>
      <w:bCs/>
      <w:snapToGrid w:val="0"/>
      <w:sz w:val="24"/>
      <w:szCs w:val="24"/>
      <w:lang w:val="en-US" w:eastAsia="zh-CN" w:bidi="ar-SA"/>
    </w:rPr>
  </w:style>
  <w:style w:type="paragraph" w:customStyle="1" w:styleId="125">
    <w:name w:val="p0"/>
    <w:basedOn w:val="1"/>
    <w:qFormat/>
    <w:uiPriority w:val="0"/>
    <w:pPr>
      <w:widowControl/>
    </w:pPr>
    <w:rPr>
      <w:rFonts w:ascii="宋体" w:hAnsi="宋体" w:cs="宋体"/>
      <w:kern w:val="0"/>
      <w:szCs w:val="21"/>
    </w:rPr>
  </w:style>
  <w:style w:type="paragraph" w:customStyle="1" w:styleId="126">
    <w:name w:val="p16"/>
    <w:basedOn w:val="1"/>
    <w:qFormat/>
    <w:uiPriority w:val="0"/>
    <w:pPr>
      <w:widowControl/>
      <w:topLinePunct/>
      <w:spacing w:line="312" w:lineRule="atLeast"/>
    </w:pPr>
    <w:rPr>
      <w:rFonts w:ascii="宋体" w:hAnsi="宋体" w:cs="宋体"/>
      <w:kern w:val="0"/>
      <w:szCs w:val="21"/>
    </w:rPr>
  </w:style>
  <w:style w:type="paragraph" w:customStyle="1" w:styleId="127">
    <w:name w:val="p17"/>
    <w:basedOn w:val="1"/>
    <w:qFormat/>
    <w:uiPriority w:val="0"/>
    <w:pPr>
      <w:widowControl/>
      <w:spacing w:line="580" w:lineRule="atLeast"/>
      <w:ind w:left="142" w:firstLine="420"/>
    </w:pPr>
    <w:rPr>
      <w:rFonts w:ascii="宋体" w:hAnsi="宋体" w:cs="宋体"/>
      <w:kern w:val="0"/>
      <w:szCs w:val="21"/>
    </w:rPr>
  </w:style>
  <w:style w:type="character" w:customStyle="1" w:styleId="128">
    <w:name w:val="15"/>
    <w:qFormat/>
    <w:uiPriority w:val="0"/>
    <w:rPr>
      <w:rFonts w:hint="default" w:ascii="Times New Roman" w:hAnsi="Times New Roman" w:cs="Times New Roman"/>
    </w:rPr>
  </w:style>
  <w:style w:type="paragraph" w:customStyle="1" w:styleId="129">
    <w:name w:val="p15"/>
    <w:basedOn w:val="1"/>
    <w:qFormat/>
    <w:uiPriority w:val="0"/>
    <w:pPr>
      <w:widowControl/>
    </w:pPr>
    <w:rPr>
      <w:rFonts w:cs="宋体"/>
      <w:kern w:val="0"/>
      <w:szCs w:val="21"/>
    </w:rPr>
  </w:style>
  <w:style w:type="paragraph" w:customStyle="1" w:styleId="130">
    <w:name w:val="术语定义条标题"/>
    <w:basedOn w:val="1"/>
    <w:next w:val="1"/>
    <w:qFormat/>
    <w:uiPriority w:val="0"/>
    <w:pPr>
      <w:widowControl/>
      <w:tabs>
        <w:tab w:val="left" w:pos="420"/>
      </w:tabs>
      <w:jc w:val="left"/>
    </w:pPr>
    <w:rPr>
      <w:rFonts w:ascii="黑体" w:hAnsi="Times New Roman" w:eastAsia="黑体"/>
      <w:b/>
      <w:kern w:val="0"/>
      <w:szCs w:val="20"/>
    </w:rPr>
  </w:style>
  <w:style w:type="character" w:customStyle="1" w:styleId="131">
    <w:name w:val="题注 Char"/>
    <w:link w:val="16"/>
    <w:qFormat/>
    <w:uiPriority w:val="0"/>
    <w:rPr>
      <w:rFonts w:ascii="Arial" w:hAnsi="Arial" w:eastAsia="黑体"/>
      <w:kern w:val="2"/>
    </w:rPr>
  </w:style>
  <w:style w:type="character" w:customStyle="1" w:styleId="132">
    <w:name w:val="HTML 定义1"/>
    <w:qFormat/>
    <w:uiPriority w:val="0"/>
    <w:rPr>
      <w:i/>
      <w:iCs/>
    </w:rPr>
  </w:style>
  <w:style w:type="character" w:customStyle="1" w:styleId="133">
    <w:name w:val="表头 Char Char"/>
    <w:qFormat/>
    <w:uiPriority w:val="0"/>
    <w:rPr>
      <w:rFonts w:eastAsia="黑体"/>
      <w:kern w:val="2"/>
      <w:sz w:val="21"/>
      <w:szCs w:val="21"/>
    </w:rPr>
  </w:style>
  <w:style w:type="character" w:customStyle="1" w:styleId="134">
    <w:name w:val="Char Char2"/>
    <w:qFormat/>
    <w:uiPriority w:val="0"/>
    <w:rPr>
      <w:rFonts w:eastAsia="宋体"/>
      <w:b/>
      <w:bCs/>
      <w:kern w:val="44"/>
      <w:sz w:val="21"/>
      <w:szCs w:val="28"/>
      <w:lang w:val="en-US" w:eastAsia="zh-CN"/>
    </w:rPr>
  </w:style>
  <w:style w:type="character" w:customStyle="1" w:styleId="135">
    <w:name w:val="一级标题 Char Char"/>
    <w:qFormat/>
    <w:uiPriority w:val="0"/>
    <w:rPr>
      <w:rFonts w:ascii="隶书" w:eastAsia="黑体"/>
      <w:b/>
      <w:kern w:val="2"/>
      <w:sz w:val="30"/>
      <w:szCs w:val="32"/>
      <w:lang w:val="en-US" w:eastAsia="zh-CN"/>
    </w:rPr>
  </w:style>
  <w:style w:type="character" w:customStyle="1" w:styleId="136">
    <w:name w:val="jl 正文 Char Char Char Char Char"/>
    <w:link w:val="137"/>
    <w:qFormat/>
    <w:uiPriority w:val="0"/>
    <w:rPr>
      <w:rFonts w:ascii="宋体"/>
      <w:sz w:val="24"/>
      <w:szCs w:val="24"/>
    </w:rPr>
  </w:style>
  <w:style w:type="paragraph" w:customStyle="1" w:styleId="137">
    <w:name w:val="jl 正文"/>
    <w:basedOn w:val="1"/>
    <w:link w:val="136"/>
    <w:qFormat/>
    <w:uiPriority w:val="0"/>
    <w:pPr>
      <w:autoSpaceDE w:val="0"/>
      <w:autoSpaceDN w:val="0"/>
      <w:adjustRightInd w:val="0"/>
      <w:ind w:firstLine="200" w:firstLineChars="200"/>
      <w:jc w:val="left"/>
      <w:textAlignment w:val="baseline"/>
    </w:pPr>
    <w:rPr>
      <w:rFonts w:ascii="宋体"/>
      <w:kern w:val="0"/>
      <w:sz w:val="24"/>
      <w:szCs w:val="24"/>
    </w:rPr>
  </w:style>
  <w:style w:type="character" w:customStyle="1" w:styleId="138">
    <w:name w:val="HTML 代码1"/>
    <w:qFormat/>
    <w:uiPriority w:val="0"/>
    <w:rPr>
      <w:rFonts w:ascii="Courier New" w:hAnsi="Courier New" w:cs="Courier New"/>
      <w:sz w:val="20"/>
      <w:szCs w:val="20"/>
    </w:rPr>
  </w:style>
  <w:style w:type="character" w:customStyle="1" w:styleId="139">
    <w:name w:val="标题 1 Char1"/>
    <w:qFormat/>
    <w:uiPriority w:val="0"/>
    <w:rPr>
      <w:rFonts w:eastAsia="汉仪大宋简"/>
      <w:kern w:val="44"/>
      <w:sz w:val="22"/>
      <w:szCs w:val="22"/>
      <w:lang w:val="en-US" w:eastAsia="zh-CN"/>
    </w:rPr>
  </w:style>
  <w:style w:type="character" w:customStyle="1" w:styleId="140">
    <w:name w:val="样式 Arial"/>
    <w:qFormat/>
    <w:uiPriority w:val="0"/>
    <w:rPr>
      <w:rFonts w:hint="default" w:ascii="Times New Roman" w:hAnsi="Times New Roman" w:eastAsia="宋体" w:cs="Times New Roman"/>
      <w:sz w:val="21"/>
      <w:szCs w:val="21"/>
    </w:rPr>
  </w:style>
  <w:style w:type="character" w:customStyle="1" w:styleId="141">
    <w:name w:val="三级标题 Char Char"/>
    <w:qFormat/>
    <w:uiPriority w:val="0"/>
    <w:rPr>
      <w:rFonts w:eastAsia="宋体"/>
      <w:b/>
      <w:sz w:val="24"/>
      <w:lang w:val="en-US" w:eastAsia="zh-CN"/>
    </w:rPr>
  </w:style>
  <w:style w:type="character" w:customStyle="1" w:styleId="142">
    <w:name w:val="D1 Char Char"/>
    <w:link w:val="143"/>
    <w:qFormat/>
    <w:uiPriority w:val="0"/>
    <w:rPr>
      <w:rFonts w:ascii="EU-F1" w:eastAsia="黑体"/>
      <w:kern w:val="2"/>
      <w:sz w:val="21"/>
      <w:szCs w:val="21"/>
    </w:rPr>
  </w:style>
  <w:style w:type="paragraph" w:customStyle="1" w:styleId="143">
    <w:name w:val="D1"/>
    <w:basedOn w:val="144"/>
    <w:link w:val="142"/>
    <w:qFormat/>
    <w:uiPriority w:val="0"/>
    <w:pPr>
      <w:spacing w:line="480" w:lineRule="auto"/>
    </w:pPr>
  </w:style>
  <w:style w:type="paragraph" w:customStyle="1" w:styleId="144">
    <w:name w:val="附录一"/>
    <w:basedOn w:val="26"/>
    <w:link w:val="148"/>
    <w:qFormat/>
    <w:uiPriority w:val="0"/>
    <w:rPr>
      <w:rFonts w:ascii="EU-F1" w:hAnsi="Calibri" w:eastAsia="黑体"/>
      <w:szCs w:val="21"/>
    </w:rPr>
  </w:style>
  <w:style w:type="character" w:customStyle="1" w:styleId="145">
    <w:name w:val="jl 正文 Char Char Char Char"/>
    <w:link w:val="146"/>
    <w:qFormat/>
    <w:uiPriority w:val="0"/>
    <w:rPr>
      <w:rFonts w:ascii="宋体"/>
      <w:kern w:val="2"/>
      <w:sz w:val="24"/>
      <w:szCs w:val="24"/>
    </w:rPr>
  </w:style>
  <w:style w:type="paragraph" w:customStyle="1" w:styleId="146">
    <w:name w:val="jl 正文 Char Char"/>
    <w:basedOn w:val="1"/>
    <w:link w:val="145"/>
    <w:qFormat/>
    <w:uiPriority w:val="0"/>
    <w:pPr>
      <w:autoSpaceDE w:val="0"/>
      <w:autoSpaceDN w:val="0"/>
      <w:adjustRightInd w:val="0"/>
      <w:ind w:firstLine="200" w:firstLineChars="200"/>
      <w:jc w:val="left"/>
      <w:textAlignment w:val="baseline"/>
    </w:pPr>
    <w:rPr>
      <w:rFonts w:ascii="宋体"/>
      <w:sz w:val="24"/>
      <w:szCs w:val="24"/>
    </w:rPr>
  </w:style>
  <w:style w:type="character" w:customStyle="1" w:styleId="147">
    <w:name w:val="HTML 样本1"/>
    <w:qFormat/>
    <w:uiPriority w:val="0"/>
    <w:rPr>
      <w:rFonts w:ascii="Courier New" w:hAnsi="Courier New" w:cs="Courier New"/>
    </w:rPr>
  </w:style>
  <w:style w:type="character" w:customStyle="1" w:styleId="148">
    <w:name w:val="附录一 Char Char"/>
    <w:link w:val="144"/>
    <w:qFormat/>
    <w:uiPriority w:val="0"/>
    <w:rPr>
      <w:rFonts w:ascii="EU-F1" w:eastAsia="黑体"/>
      <w:kern w:val="2"/>
      <w:sz w:val="21"/>
      <w:szCs w:val="21"/>
    </w:rPr>
  </w:style>
  <w:style w:type="character" w:customStyle="1" w:styleId="149">
    <w:name w:val="图说 Char Char"/>
    <w:link w:val="150"/>
    <w:qFormat/>
    <w:uiPriority w:val="0"/>
    <w:rPr>
      <w:rFonts w:cs="宋体"/>
      <w:kern w:val="2"/>
      <w:sz w:val="18"/>
    </w:rPr>
  </w:style>
  <w:style w:type="paragraph" w:customStyle="1" w:styleId="150">
    <w:name w:val="图说"/>
    <w:basedOn w:val="1"/>
    <w:link w:val="149"/>
    <w:qFormat/>
    <w:uiPriority w:val="0"/>
    <w:pPr>
      <w:topLinePunct/>
      <w:spacing w:before="40" w:after="160"/>
      <w:jc w:val="center"/>
    </w:pPr>
    <w:rPr>
      <w:sz w:val="18"/>
      <w:szCs w:val="20"/>
    </w:rPr>
  </w:style>
  <w:style w:type="character" w:customStyle="1" w:styleId="151">
    <w:name w:val="h1 Char"/>
    <w:qFormat/>
    <w:uiPriority w:val="0"/>
    <w:rPr>
      <w:rFonts w:eastAsia="黑体"/>
      <w:kern w:val="44"/>
      <w:sz w:val="28"/>
      <w:lang w:val="en-US" w:eastAsia="zh-CN"/>
    </w:rPr>
  </w:style>
  <w:style w:type="character" w:customStyle="1" w:styleId="152">
    <w:name w:val="样式6 Char Char"/>
    <w:link w:val="153"/>
    <w:qFormat/>
    <w:uiPriority w:val="0"/>
    <w:rPr>
      <w:rFonts w:eastAsia="黑体"/>
      <w:kern w:val="2"/>
      <w:sz w:val="21"/>
      <w:szCs w:val="21"/>
    </w:rPr>
  </w:style>
  <w:style w:type="paragraph" w:customStyle="1" w:styleId="153">
    <w:name w:val="样式6"/>
    <w:basedOn w:val="1"/>
    <w:link w:val="152"/>
    <w:qFormat/>
    <w:uiPriority w:val="0"/>
    <w:pPr>
      <w:topLinePunct/>
      <w:spacing w:before="160" w:after="60"/>
      <w:jc w:val="center"/>
    </w:pPr>
    <w:rPr>
      <w:rFonts w:eastAsia="黑体"/>
      <w:szCs w:val="21"/>
    </w:rPr>
  </w:style>
  <w:style w:type="character" w:customStyle="1" w:styleId="154">
    <w:name w:val="HTML 变量1"/>
    <w:qFormat/>
    <w:uiPriority w:val="0"/>
    <w:rPr>
      <w:i/>
      <w:iCs/>
    </w:rPr>
  </w:style>
  <w:style w:type="character" w:customStyle="1" w:styleId="155">
    <w:name w:val="行号1"/>
    <w:basedOn w:val="48"/>
    <w:qFormat/>
    <w:uiPriority w:val="0"/>
  </w:style>
  <w:style w:type="character" w:customStyle="1" w:styleId="156">
    <w:name w:val="D3 Char Char"/>
    <w:link w:val="157"/>
    <w:qFormat/>
    <w:uiPriority w:val="0"/>
    <w:rPr>
      <w:rFonts w:ascii="宋体" w:hAnsi="宋体"/>
      <w:b/>
      <w:color w:val="000000"/>
      <w:kern w:val="2"/>
      <w:sz w:val="21"/>
      <w:szCs w:val="21"/>
    </w:rPr>
  </w:style>
  <w:style w:type="paragraph" w:customStyle="1" w:styleId="157">
    <w:name w:val="D3"/>
    <w:basedOn w:val="106"/>
    <w:link w:val="156"/>
    <w:qFormat/>
    <w:uiPriority w:val="0"/>
    <w:pPr>
      <w:topLinePunct/>
      <w:spacing w:line="312" w:lineRule="exact"/>
    </w:pPr>
    <w:rPr>
      <w:rFonts w:ascii="宋体" w:hAnsi="宋体"/>
      <w:b/>
      <w:color w:val="000000"/>
      <w:szCs w:val="21"/>
    </w:rPr>
  </w:style>
  <w:style w:type="character" w:customStyle="1" w:styleId="158">
    <w:name w:val="F1 Char Char"/>
    <w:link w:val="159"/>
    <w:qFormat/>
    <w:uiPriority w:val="0"/>
    <w:rPr>
      <w:rFonts w:ascii="EU-F1" w:eastAsia="黑体"/>
      <w:kern w:val="21"/>
      <w:sz w:val="21"/>
      <w:szCs w:val="21"/>
    </w:rPr>
  </w:style>
  <w:style w:type="paragraph" w:customStyle="1" w:styleId="159">
    <w:name w:val="F1"/>
    <w:basedOn w:val="160"/>
    <w:link w:val="158"/>
    <w:qFormat/>
    <w:uiPriority w:val="0"/>
    <w:pPr>
      <w:topLinePunct/>
      <w:spacing w:line="312" w:lineRule="exact"/>
    </w:pPr>
  </w:style>
  <w:style w:type="paragraph" w:customStyle="1" w:styleId="160">
    <w:name w:val="附录二"/>
    <w:basedOn w:val="26"/>
    <w:link w:val="175"/>
    <w:qFormat/>
    <w:uiPriority w:val="0"/>
    <w:rPr>
      <w:rFonts w:ascii="EU-F1" w:hAnsi="Calibri" w:eastAsia="黑体"/>
      <w:kern w:val="21"/>
      <w:szCs w:val="21"/>
    </w:rPr>
  </w:style>
  <w:style w:type="character" w:customStyle="1" w:styleId="161">
    <w:name w:val="样式1正文（首行缩进两字） Char Char Char"/>
    <w:link w:val="162"/>
    <w:qFormat/>
    <w:uiPriority w:val="0"/>
    <w:rPr>
      <w:rFonts w:ascii="宋体" w:hAnsi="宋体" w:cs="宋体"/>
      <w:kern w:val="2"/>
      <w:sz w:val="21"/>
      <w:szCs w:val="21"/>
    </w:rPr>
  </w:style>
  <w:style w:type="paragraph" w:customStyle="1" w:styleId="162">
    <w:name w:val="样式1正文（首行缩进两字） Char"/>
    <w:basedOn w:val="1"/>
    <w:next w:val="163"/>
    <w:link w:val="161"/>
    <w:qFormat/>
    <w:uiPriority w:val="0"/>
    <w:pPr>
      <w:tabs>
        <w:tab w:val="left" w:pos="3585"/>
      </w:tabs>
      <w:snapToGrid w:val="0"/>
      <w:spacing w:afterLines="10" w:line="312" w:lineRule="exact"/>
    </w:pPr>
    <w:rPr>
      <w:rFonts w:ascii="宋体" w:hAnsi="宋体"/>
      <w:szCs w:val="21"/>
    </w:rPr>
  </w:style>
  <w:style w:type="paragraph" w:customStyle="1" w:styleId="163">
    <w:name w:val="样式 正文（首行缩进两字） Char + Times New Roman"/>
    <w:basedOn w:val="162"/>
    <w:qFormat/>
    <w:uiPriority w:val="0"/>
  </w:style>
  <w:style w:type="character" w:customStyle="1" w:styleId="164">
    <w:name w:val="HTML 键盘1"/>
    <w:qFormat/>
    <w:uiPriority w:val="0"/>
    <w:rPr>
      <w:rFonts w:ascii="Courier New" w:hAnsi="Courier New" w:cs="Courier New"/>
      <w:sz w:val="20"/>
      <w:szCs w:val="20"/>
    </w:rPr>
  </w:style>
  <w:style w:type="character" w:customStyle="1" w:styleId="165">
    <w:name w:val="批注引用1"/>
    <w:qFormat/>
    <w:uiPriority w:val="0"/>
    <w:rPr>
      <w:sz w:val="21"/>
      <w:szCs w:val="21"/>
    </w:rPr>
  </w:style>
  <w:style w:type="character" w:customStyle="1" w:styleId="166">
    <w:name w:val="wang正文 Char Char"/>
    <w:link w:val="167"/>
    <w:qFormat/>
    <w:uiPriority w:val="0"/>
    <w:rPr>
      <w:sz w:val="21"/>
      <w:szCs w:val="24"/>
    </w:rPr>
  </w:style>
  <w:style w:type="paragraph" w:customStyle="1" w:styleId="167">
    <w:name w:val="wang正文"/>
    <w:basedOn w:val="1"/>
    <w:link w:val="166"/>
    <w:qFormat/>
    <w:uiPriority w:val="0"/>
    <w:pPr>
      <w:tabs>
        <w:tab w:val="left" w:pos="6840"/>
      </w:tabs>
      <w:topLinePunct/>
      <w:ind w:firstLine="420"/>
    </w:pPr>
    <w:rPr>
      <w:kern w:val="0"/>
      <w:szCs w:val="24"/>
    </w:rPr>
  </w:style>
  <w:style w:type="character" w:customStyle="1" w:styleId="168">
    <w:name w:val="发布"/>
    <w:qFormat/>
    <w:uiPriority w:val="0"/>
    <w:rPr>
      <w:rFonts w:ascii="黑体" w:eastAsia="黑体"/>
      <w:spacing w:val="22"/>
      <w:w w:val="100"/>
      <w:position w:val="3"/>
      <w:sz w:val="28"/>
    </w:rPr>
  </w:style>
  <w:style w:type="character" w:customStyle="1" w:styleId="169">
    <w:name w:val="朱表头 Char Char"/>
    <w:link w:val="170"/>
    <w:qFormat/>
    <w:uiPriority w:val="0"/>
    <w:rPr>
      <w:rFonts w:ascii="EU-F1" w:eastAsia="黑体"/>
      <w:snapToGrid w:val="0"/>
      <w:kern w:val="2"/>
      <w:sz w:val="21"/>
    </w:rPr>
  </w:style>
  <w:style w:type="paragraph" w:customStyle="1" w:styleId="170">
    <w:name w:val="朱表头"/>
    <w:basedOn w:val="90"/>
    <w:link w:val="169"/>
    <w:qFormat/>
    <w:uiPriority w:val="0"/>
    <w:pPr>
      <w:spacing w:line="312" w:lineRule="exact"/>
    </w:pPr>
    <w:rPr>
      <w:rFonts w:ascii="EU-F1"/>
      <w:snapToGrid w:val="0"/>
    </w:rPr>
  </w:style>
  <w:style w:type="character" w:customStyle="1" w:styleId="171">
    <w:name w:val="jl 三级 Char Char Char"/>
    <w:link w:val="172"/>
    <w:qFormat/>
    <w:uiPriority w:val="0"/>
    <w:rPr>
      <w:rFonts w:ascii="宋体" w:hAnsi="宋体"/>
      <w:b/>
      <w:color w:val="000000"/>
      <w:kern w:val="2"/>
      <w:sz w:val="24"/>
      <w:szCs w:val="24"/>
    </w:rPr>
  </w:style>
  <w:style w:type="paragraph" w:customStyle="1" w:styleId="172">
    <w:name w:val="jl 三级 Char"/>
    <w:basedOn w:val="1"/>
    <w:link w:val="171"/>
    <w:qFormat/>
    <w:uiPriority w:val="0"/>
    <w:pPr>
      <w:autoSpaceDE w:val="0"/>
      <w:autoSpaceDN w:val="0"/>
      <w:adjustRightInd w:val="0"/>
      <w:spacing w:beforeLines="50" w:afterLines="50"/>
      <w:ind w:firstLine="480" w:firstLineChars="200"/>
      <w:jc w:val="left"/>
      <w:textAlignment w:val="baseline"/>
      <w:outlineLvl w:val="2"/>
    </w:pPr>
    <w:rPr>
      <w:rFonts w:ascii="宋体" w:hAnsi="宋体"/>
      <w:b/>
      <w:color w:val="000000"/>
      <w:sz w:val="24"/>
      <w:szCs w:val="24"/>
    </w:rPr>
  </w:style>
  <w:style w:type="character" w:customStyle="1" w:styleId="173">
    <w:name w:val="HTML 引文1"/>
    <w:qFormat/>
    <w:uiPriority w:val="0"/>
    <w:rPr>
      <w:i/>
      <w:iCs/>
    </w:rPr>
  </w:style>
  <w:style w:type="character" w:customStyle="1" w:styleId="174">
    <w:name w:val="默认段落字体 Para Char Char Char Char Char1"/>
    <w:link w:val="106"/>
    <w:qFormat/>
    <w:uiPriority w:val="0"/>
    <w:rPr>
      <w:rFonts w:ascii="Times New Roman" w:hAnsi="Times New Roman"/>
      <w:kern w:val="2"/>
      <w:sz w:val="21"/>
      <w:szCs w:val="24"/>
    </w:rPr>
  </w:style>
  <w:style w:type="character" w:customStyle="1" w:styleId="175">
    <w:name w:val="附录二 Char Char"/>
    <w:link w:val="160"/>
    <w:qFormat/>
    <w:uiPriority w:val="0"/>
    <w:rPr>
      <w:rFonts w:ascii="EU-F1" w:eastAsia="黑体"/>
      <w:kern w:val="21"/>
      <w:sz w:val="21"/>
      <w:szCs w:val="21"/>
    </w:rPr>
  </w:style>
  <w:style w:type="character" w:customStyle="1" w:styleId="176">
    <w:name w:val="表名 Char Char"/>
    <w:link w:val="177"/>
    <w:qFormat/>
    <w:uiPriority w:val="0"/>
    <w:rPr>
      <w:rFonts w:ascii="黑体" w:eastAsia="黑体"/>
      <w:kern w:val="2"/>
      <w:sz w:val="21"/>
    </w:rPr>
  </w:style>
  <w:style w:type="paragraph" w:customStyle="1" w:styleId="177">
    <w:name w:val="表名"/>
    <w:basedOn w:val="1"/>
    <w:link w:val="176"/>
    <w:qFormat/>
    <w:uiPriority w:val="0"/>
    <w:pPr>
      <w:tabs>
        <w:tab w:val="left" w:pos="648"/>
        <w:tab w:val="left" w:pos="817"/>
        <w:tab w:val="left" w:leader="dot" w:pos="1701"/>
        <w:tab w:val="left" w:pos="9072"/>
      </w:tabs>
      <w:spacing w:line="360" w:lineRule="auto"/>
      <w:ind w:left="817" w:hanging="420"/>
      <w:jc w:val="center"/>
    </w:pPr>
    <w:rPr>
      <w:rFonts w:ascii="黑体" w:eastAsia="黑体"/>
      <w:szCs w:val="20"/>
    </w:rPr>
  </w:style>
  <w:style w:type="character" w:customStyle="1" w:styleId="178">
    <w:name w:val="HTML 打字机1"/>
    <w:qFormat/>
    <w:uiPriority w:val="0"/>
    <w:rPr>
      <w:rFonts w:ascii="Courier New" w:hAnsi="Courier New" w:cs="Courier New"/>
      <w:sz w:val="20"/>
      <w:szCs w:val="20"/>
    </w:rPr>
  </w:style>
  <w:style w:type="character" w:customStyle="1" w:styleId="179">
    <w:name w:val="页码1"/>
    <w:basedOn w:val="48"/>
    <w:qFormat/>
    <w:uiPriority w:val="0"/>
  </w:style>
  <w:style w:type="character" w:customStyle="1" w:styleId="180">
    <w:name w:val="EUF Char Char"/>
    <w:link w:val="181"/>
    <w:qFormat/>
    <w:uiPriority w:val="0"/>
    <w:rPr>
      <w:rFonts w:ascii="EU-F1" w:hAnsi="宋体" w:eastAsia="EU-F1"/>
      <w:b/>
      <w:color w:val="000000"/>
      <w:kern w:val="2"/>
      <w:sz w:val="21"/>
      <w:szCs w:val="21"/>
    </w:rPr>
  </w:style>
  <w:style w:type="paragraph" w:customStyle="1" w:styleId="181">
    <w:name w:val="EUF"/>
    <w:basedOn w:val="106"/>
    <w:link w:val="180"/>
    <w:qFormat/>
    <w:uiPriority w:val="0"/>
    <w:pPr>
      <w:topLinePunct/>
      <w:spacing w:line="312" w:lineRule="exact"/>
    </w:pPr>
    <w:rPr>
      <w:rFonts w:ascii="EU-F1" w:hAnsi="宋体" w:eastAsia="EU-F1"/>
      <w:b/>
      <w:color w:val="000000"/>
      <w:szCs w:val="21"/>
    </w:rPr>
  </w:style>
  <w:style w:type="character" w:customStyle="1" w:styleId="182">
    <w:name w:val="D2 Char Char"/>
    <w:link w:val="183"/>
    <w:qFormat/>
    <w:uiPriority w:val="0"/>
    <w:rPr>
      <w:rFonts w:ascii="EU-F1" w:eastAsia="黑体"/>
      <w:kern w:val="21"/>
      <w:sz w:val="21"/>
      <w:szCs w:val="21"/>
    </w:rPr>
  </w:style>
  <w:style w:type="paragraph" w:customStyle="1" w:styleId="183">
    <w:name w:val="D2"/>
    <w:basedOn w:val="160"/>
    <w:link w:val="182"/>
    <w:qFormat/>
    <w:uiPriority w:val="0"/>
    <w:pPr>
      <w:spacing w:line="312" w:lineRule="exact"/>
    </w:pPr>
  </w:style>
  <w:style w:type="character" w:customStyle="1" w:styleId="184">
    <w:name w:val="01 Char Char"/>
    <w:link w:val="185"/>
    <w:qFormat/>
    <w:uiPriority w:val="0"/>
    <w:rPr>
      <w:rFonts w:ascii="宋体" w:hAnsi="宋体" w:cs="宋体"/>
      <w:kern w:val="2"/>
      <w:sz w:val="21"/>
      <w:szCs w:val="21"/>
    </w:rPr>
  </w:style>
  <w:style w:type="paragraph" w:customStyle="1" w:styleId="185">
    <w:name w:val="01"/>
    <w:basedOn w:val="162"/>
    <w:link w:val="184"/>
    <w:qFormat/>
    <w:uiPriority w:val="0"/>
  </w:style>
  <w:style w:type="character" w:customStyle="1" w:styleId="186">
    <w:name w:val="标题 2 Char1"/>
    <w:qFormat/>
    <w:uiPriority w:val="0"/>
    <w:rPr>
      <w:rFonts w:eastAsia="黑体"/>
      <w:bCs/>
      <w:kern w:val="2"/>
      <w:sz w:val="21"/>
      <w:szCs w:val="21"/>
      <w:lang w:val="en-US" w:eastAsia="zh-CN"/>
    </w:rPr>
  </w:style>
  <w:style w:type="character" w:customStyle="1" w:styleId="187">
    <w:name w:val="HTML 缩写1"/>
    <w:basedOn w:val="48"/>
    <w:qFormat/>
    <w:uiPriority w:val="0"/>
  </w:style>
  <w:style w:type="character" w:customStyle="1" w:styleId="188">
    <w:name w:val="标题 1 Char Char"/>
    <w:qFormat/>
    <w:uiPriority w:val="0"/>
    <w:rPr>
      <w:rFonts w:eastAsia="宋体"/>
      <w:b/>
      <w:kern w:val="44"/>
      <w:sz w:val="44"/>
      <w:lang w:val="en-US" w:eastAsia="zh-CN"/>
    </w:rPr>
  </w:style>
  <w:style w:type="character" w:customStyle="1" w:styleId="189">
    <w:name w:val="正文格式 Char Char"/>
    <w:qFormat/>
    <w:uiPriority w:val="0"/>
    <w:rPr>
      <w:rFonts w:ascii="宋体" w:hAnsi="宋体"/>
      <w:bCs/>
      <w:kern w:val="2"/>
      <w:sz w:val="21"/>
      <w:szCs w:val="21"/>
    </w:rPr>
  </w:style>
  <w:style w:type="character" w:customStyle="1" w:styleId="190">
    <w:name w:val="h Char"/>
    <w:qFormat/>
    <w:uiPriority w:val="0"/>
    <w:rPr>
      <w:rFonts w:eastAsia="宋体"/>
      <w:kern w:val="2"/>
      <w:sz w:val="18"/>
      <w:szCs w:val="18"/>
      <w:lang w:val="en-US" w:eastAsia="zh-CN"/>
    </w:rPr>
  </w:style>
  <w:style w:type="character" w:customStyle="1" w:styleId="191">
    <w:name w:val="17"/>
    <w:qFormat/>
    <w:uiPriority w:val="0"/>
    <w:rPr>
      <w:rFonts w:hint="eastAsia" w:ascii="EU-F1" w:eastAsia="EU-F1"/>
      <w:sz w:val="21"/>
      <w:szCs w:val="21"/>
    </w:rPr>
  </w:style>
  <w:style w:type="paragraph" w:customStyle="1" w:styleId="192">
    <w:name w:val="列表 21"/>
    <w:basedOn w:val="1"/>
    <w:qFormat/>
    <w:uiPriority w:val="0"/>
    <w:pPr>
      <w:ind w:left="840" w:hanging="420"/>
    </w:pPr>
    <w:rPr>
      <w:rFonts w:ascii="Times New Roman" w:hAnsi="Times New Roman"/>
      <w:szCs w:val="24"/>
    </w:rPr>
  </w:style>
  <w:style w:type="paragraph" w:customStyle="1" w:styleId="193">
    <w:name w:val="样式2"/>
    <w:basedOn w:val="4"/>
    <w:qFormat/>
    <w:uiPriority w:val="0"/>
    <w:pPr>
      <w:tabs>
        <w:tab w:val="left" w:pos="567"/>
        <w:tab w:val="left" w:pos="850"/>
      </w:tabs>
      <w:topLinePunct/>
      <w:spacing w:before="0" w:after="0" w:line="960" w:lineRule="auto"/>
      <w:ind w:firstLine="420"/>
      <w:jc w:val="left"/>
    </w:pPr>
    <w:rPr>
      <w:rFonts w:ascii="Times New Roman" w:hAnsi="Times New Roman" w:eastAsia="黑体"/>
      <w:bCs w:val="0"/>
      <w:sz w:val="36"/>
      <w:szCs w:val="36"/>
    </w:rPr>
  </w:style>
  <w:style w:type="paragraph" w:customStyle="1" w:styleId="194">
    <w:name w:val="Char Char Char Char Char Char Char"/>
    <w:basedOn w:val="1"/>
    <w:qFormat/>
    <w:uiPriority w:val="0"/>
    <w:rPr>
      <w:rFonts w:ascii="Times New Roman" w:hAnsi="Times New Roman"/>
      <w:szCs w:val="24"/>
    </w:rPr>
  </w:style>
  <w:style w:type="paragraph" w:customStyle="1" w:styleId="195">
    <w:name w:val="列表 41"/>
    <w:basedOn w:val="1"/>
    <w:qFormat/>
    <w:uiPriority w:val="0"/>
    <w:pPr>
      <w:ind w:left="1680" w:hanging="420"/>
    </w:pPr>
    <w:rPr>
      <w:rFonts w:ascii="Times New Roman" w:hAnsi="Times New Roman"/>
      <w:szCs w:val="24"/>
    </w:rPr>
  </w:style>
  <w:style w:type="paragraph" w:customStyle="1" w:styleId="196">
    <w:name w:val="样式1"/>
    <w:basedOn w:val="1"/>
    <w:qFormat/>
    <w:uiPriority w:val="0"/>
    <w:pPr>
      <w:keepNext/>
      <w:keepLines/>
      <w:topLinePunct/>
      <w:spacing w:line="1200" w:lineRule="auto"/>
      <w:jc w:val="center"/>
      <w:outlineLvl w:val="0"/>
    </w:pPr>
    <w:rPr>
      <w:rFonts w:ascii="Times New Roman" w:hAnsi="Times New Roman" w:cs="宋体"/>
      <w:b/>
      <w:kern w:val="44"/>
      <w:sz w:val="52"/>
      <w:szCs w:val="52"/>
    </w:rPr>
  </w:style>
  <w:style w:type="paragraph" w:customStyle="1" w:styleId="197">
    <w:name w:val="寄信人地址1"/>
    <w:basedOn w:val="1"/>
    <w:qFormat/>
    <w:uiPriority w:val="0"/>
    <w:pPr>
      <w:snapToGrid w:val="0"/>
    </w:pPr>
    <w:rPr>
      <w:rFonts w:ascii="Arial" w:hAnsi="Arial" w:cs="Arial"/>
      <w:szCs w:val="24"/>
    </w:rPr>
  </w:style>
  <w:style w:type="paragraph" w:customStyle="1" w:styleId="198">
    <w:name w:val="样式3"/>
    <w:basedOn w:val="5"/>
    <w:qFormat/>
    <w:uiPriority w:val="0"/>
    <w:pPr>
      <w:tabs>
        <w:tab w:val="left" w:pos="709"/>
      </w:tabs>
      <w:topLinePunct/>
      <w:spacing w:before="0" w:after="0" w:line="720" w:lineRule="auto"/>
      <w:jc w:val="left"/>
    </w:pPr>
    <w:rPr>
      <w:rFonts w:ascii="Arial" w:hAnsi="Arial" w:eastAsia="黑体"/>
      <w:b w:val="0"/>
      <w:sz w:val="30"/>
      <w:szCs w:val="30"/>
    </w:rPr>
  </w:style>
  <w:style w:type="paragraph" w:customStyle="1" w:styleId="199">
    <w:name w:val="称呼1"/>
    <w:basedOn w:val="1"/>
    <w:next w:val="1"/>
    <w:qFormat/>
    <w:uiPriority w:val="0"/>
    <w:rPr>
      <w:rFonts w:ascii="Times New Roman" w:hAnsi="Times New Roman"/>
      <w:szCs w:val="24"/>
    </w:rPr>
  </w:style>
  <w:style w:type="character" w:customStyle="1" w:styleId="200">
    <w:name w:val="标题 Char"/>
    <w:link w:val="43"/>
    <w:qFormat/>
    <w:uiPriority w:val="0"/>
    <w:rPr>
      <w:rFonts w:ascii="Arial" w:hAnsi="Arial" w:cs="Arial"/>
      <w:b/>
      <w:bCs/>
      <w:kern w:val="2"/>
      <w:sz w:val="32"/>
      <w:szCs w:val="32"/>
    </w:rPr>
  </w:style>
  <w:style w:type="paragraph" w:customStyle="1" w:styleId="201">
    <w:name w:val="样式4"/>
    <w:basedOn w:val="6"/>
    <w:qFormat/>
    <w:uiPriority w:val="0"/>
    <w:pPr>
      <w:numPr>
        <w:ilvl w:val="0"/>
        <w:numId w:val="0"/>
      </w:numPr>
      <w:adjustRightInd/>
      <w:snapToGrid/>
      <w:spacing w:beforeLines="0" w:afterLines="0" w:line="480" w:lineRule="auto"/>
      <w:ind w:firstLine="420"/>
      <w:textAlignment w:val="auto"/>
    </w:pPr>
    <w:rPr>
      <w:rFonts w:eastAsia="楷体_GB2312"/>
      <w:b w:val="0"/>
      <w:bCs w:val="0"/>
      <w:szCs w:val="20"/>
      <w:lang w:val="en-US"/>
    </w:rPr>
  </w:style>
  <w:style w:type="paragraph" w:customStyle="1" w:styleId="202">
    <w:name w:val="标题 3 + 小四 段前: 0 磅 段后: 0 磅 行距: 1.5 倍行距"/>
    <w:basedOn w:val="5"/>
    <w:next w:val="5"/>
    <w:qFormat/>
    <w:uiPriority w:val="0"/>
    <w:pPr>
      <w:spacing w:before="0" w:after="0" w:line="360" w:lineRule="auto"/>
    </w:pPr>
    <w:rPr>
      <w:rFonts w:ascii="Times New Roman" w:hAnsi="Times New Roman" w:cs="宋体"/>
      <w:bCs/>
      <w:sz w:val="24"/>
      <w:szCs w:val="20"/>
    </w:rPr>
  </w:style>
  <w:style w:type="character" w:customStyle="1" w:styleId="203">
    <w:name w:val="副标题 Char"/>
    <w:link w:val="37"/>
    <w:qFormat/>
    <w:uiPriority w:val="0"/>
    <w:rPr>
      <w:rFonts w:ascii="Arial" w:hAnsi="Arial" w:cs="Arial"/>
      <w:b/>
      <w:bCs/>
      <w:kern w:val="28"/>
      <w:sz w:val="32"/>
      <w:szCs w:val="32"/>
    </w:rPr>
  </w:style>
  <w:style w:type="paragraph" w:customStyle="1" w:styleId="204">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205">
    <w:name w:val="HTML 预设格式1"/>
    <w:basedOn w:val="1"/>
    <w:qFormat/>
    <w:uiPriority w:val="0"/>
    <w:rPr>
      <w:rFonts w:ascii="Courier New" w:hAnsi="Courier New" w:cs="Courier New"/>
      <w:sz w:val="20"/>
      <w:szCs w:val="20"/>
    </w:rPr>
  </w:style>
  <w:style w:type="paragraph" w:customStyle="1" w:styleId="206">
    <w:name w:val="HTML 地址1"/>
    <w:basedOn w:val="1"/>
    <w:qFormat/>
    <w:uiPriority w:val="0"/>
    <w:rPr>
      <w:rFonts w:ascii="Times New Roman" w:hAnsi="Times New Roman"/>
      <w:i/>
      <w:iCs/>
      <w:szCs w:val="24"/>
    </w:rPr>
  </w:style>
  <w:style w:type="paragraph" w:customStyle="1" w:styleId="207">
    <w:name w:val="列表1"/>
    <w:basedOn w:val="1"/>
    <w:qFormat/>
    <w:uiPriority w:val="0"/>
    <w:pPr>
      <w:ind w:left="420" w:hanging="420"/>
    </w:pPr>
    <w:rPr>
      <w:rFonts w:ascii="Times New Roman" w:hAnsi="Times New Roman"/>
      <w:szCs w:val="24"/>
    </w:rPr>
  </w:style>
  <w:style w:type="paragraph" w:customStyle="1" w:styleId="208">
    <w:name w:val="结束语1"/>
    <w:basedOn w:val="1"/>
    <w:qFormat/>
    <w:uiPriority w:val="0"/>
    <w:pPr>
      <w:ind w:left="4320"/>
    </w:pPr>
    <w:rPr>
      <w:rFonts w:ascii="Times New Roman" w:hAnsi="Times New Roman"/>
      <w:szCs w:val="24"/>
    </w:rPr>
  </w:style>
  <w:style w:type="character" w:customStyle="1" w:styleId="209">
    <w:name w:val="尾注文本 Char"/>
    <w:link w:val="31"/>
    <w:qFormat/>
    <w:uiPriority w:val="0"/>
    <w:rPr>
      <w:rFonts w:ascii="楷体_GB2312" w:hAnsi="Times New Roman" w:eastAsia="楷体_GB2312"/>
      <w:sz w:val="28"/>
    </w:rPr>
  </w:style>
  <w:style w:type="paragraph" w:customStyle="1" w:styleId="210">
    <w:name w:val="电子邮件签名1"/>
    <w:basedOn w:val="1"/>
    <w:qFormat/>
    <w:uiPriority w:val="0"/>
    <w:rPr>
      <w:rFonts w:ascii="Times New Roman" w:hAnsi="Times New Roman"/>
      <w:szCs w:val="24"/>
    </w:rPr>
  </w:style>
  <w:style w:type="paragraph" w:customStyle="1" w:styleId="211">
    <w:name w:val="列表 31"/>
    <w:basedOn w:val="1"/>
    <w:qFormat/>
    <w:uiPriority w:val="0"/>
    <w:pPr>
      <w:ind w:left="1260" w:hanging="420"/>
    </w:pPr>
    <w:rPr>
      <w:rFonts w:ascii="Times New Roman" w:hAnsi="Times New Roman"/>
      <w:szCs w:val="24"/>
    </w:rPr>
  </w:style>
  <w:style w:type="paragraph" w:customStyle="1" w:styleId="212">
    <w:name w:val="列表接续 41"/>
    <w:basedOn w:val="1"/>
    <w:qFormat/>
    <w:uiPriority w:val="0"/>
    <w:pPr>
      <w:spacing w:after="120"/>
      <w:ind w:left="1680"/>
    </w:pPr>
    <w:rPr>
      <w:rFonts w:ascii="Times New Roman" w:hAnsi="Times New Roman"/>
      <w:szCs w:val="24"/>
    </w:rPr>
  </w:style>
  <w:style w:type="paragraph" w:customStyle="1" w:styleId="213">
    <w:name w:val="收信人地址1"/>
    <w:basedOn w:val="1"/>
    <w:qFormat/>
    <w:uiPriority w:val="0"/>
    <w:pPr>
      <w:snapToGrid w:val="0"/>
      <w:ind w:left="2880"/>
    </w:pPr>
    <w:rPr>
      <w:rFonts w:ascii="Arial" w:hAnsi="Arial" w:cs="Arial"/>
      <w:sz w:val="24"/>
      <w:szCs w:val="24"/>
    </w:rPr>
  </w:style>
  <w:style w:type="paragraph" w:customStyle="1" w:styleId="214">
    <w:name w:val="样式 样式 标题 2 + 段前: 0.5 行 段后: 0.5 行 + 首行缩进:  2 字符 段前: 0.5 行 段后: 0..."/>
    <w:basedOn w:val="1"/>
    <w:qFormat/>
    <w:uiPriority w:val="0"/>
    <w:pPr>
      <w:keepNext/>
      <w:keepLines/>
      <w:topLinePunct/>
      <w:adjustRightInd w:val="0"/>
      <w:spacing w:beforeLines="50" w:afterLines="50"/>
      <w:jc w:val="left"/>
      <w:outlineLvl w:val="1"/>
    </w:pPr>
    <w:rPr>
      <w:rFonts w:ascii="Times New Roman" w:hAnsi="Times New Roman" w:eastAsia="黑体"/>
      <w:kern w:val="0"/>
      <w:szCs w:val="21"/>
    </w:rPr>
  </w:style>
  <w:style w:type="paragraph" w:customStyle="1" w:styleId="215">
    <w:name w:val="批注主题1"/>
    <w:basedOn w:val="19"/>
    <w:next w:val="19"/>
    <w:qFormat/>
    <w:uiPriority w:val="0"/>
    <w:pPr>
      <w:topLinePunct/>
      <w:adjustRightInd w:val="0"/>
      <w:spacing w:line="312" w:lineRule="atLeast"/>
      <w:textAlignment w:val="baseline"/>
    </w:pPr>
    <w:rPr>
      <w:rFonts w:ascii="Times New Roman" w:hAnsi="Times New Roman"/>
      <w:b/>
      <w:bCs/>
      <w:kern w:val="44"/>
      <w:szCs w:val="21"/>
    </w:rPr>
  </w:style>
  <w:style w:type="paragraph" w:customStyle="1" w:styleId="21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21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218">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1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221">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2">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22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225">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4"/>
    </w:rPr>
  </w:style>
  <w:style w:type="paragraph" w:customStyle="1" w:styleId="226">
    <w:name w:val="样式 wang正文 + 首行缩进:  2 字符1"/>
    <w:basedOn w:val="167"/>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227">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228">
    <w:name w:val="p18"/>
    <w:basedOn w:val="1"/>
    <w:qFormat/>
    <w:uiPriority w:val="0"/>
    <w:pPr>
      <w:widowControl/>
      <w:spacing w:line="300" w:lineRule="atLeast"/>
    </w:pPr>
    <w:rPr>
      <w:rFonts w:ascii="EU-F1" w:hAnsi="宋体" w:eastAsia="EU-F1" w:cs="宋体"/>
      <w:kern w:val="0"/>
      <w:szCs w:val="21"/>
    </w:rPr>
  </w:style>
  <w:style w:type="paragraph" w:customStyle="1" w:styleId="229">
    <w:name w:val="列表 51"/>
    <w:basedOn w:val="1"/>
    <w:qFormat/>
    <w:uiPriority w:val="0"/>
    <w:pPr>
      <w:ind w:left="2100" w:hanging="420"/>
    </w:pPr>
    <w:rPr>
      <w:rFonts w:ascii="Times New Roman" w:hAnsi="Times New Roman"/>
      <w:szCs w:val="24"/>
    </w:rPr>
  </w:style>
  <w:style w:type="paragraph" w:customStyle="1" w:styleId="230">
    <w:name w:val="列表编号 41"/>
    <w:basedOn w:val="1"/>
    <w:qFormat/>
    <w:uiPriority w:val="0"/>
    <w:pPr>
      <w:tabs>
        <w:tab w:val="left" w:pos="817"/>
        <w:tab w:val="left" w:pos="1620"/>
      </w:tabs>
      <w:ind w:left="817" w:hanging="420"/>
    </w:pPr>
    <w:rPr>
      <w:rFonts w:ascii="Times New Roman" w:hAnsi="Times New Roman"/>
      <w:szCs w:val="24"/>
    </w:rPr>
  </w:style>
  <w:style w:type="paragraph" w:customStyle="1" w:styleId="231">
    <w:name w:val="文本块1"/>
    <w:basedOn w:val="1"/>
    <w:qFormat/>
    <w:uiPriority w:val="0"/>
    <w:pPr>
      <w:spacing w:after="120"/>
      <w:ind w:left="1440" w:right="1440"/>
    </w:pPr>
    <w:rPr>
      <w:rFonts w:ascii="Times New Roman" w:hAnsi="Times New Roman"/>
      <w:szCs w:val="24"/>
    </w:rPr>
  </w:style>
  <w:style w:type="paragraph" w:customStyle="1" w:styleId="232">
    <w:name w:val="正文首行缩进1"/>
    <w:basedOn w:val="21"/>
    <w:qFormat/>
    <w:uiPriority w:val="0"/>
    <w:pPr>
      <w:ind w:firstLine="420"/>
    </w:pPr>
  </w:style>
  <w:style w:type="paragraph" w:customStyle="1" w:styleId="233">
    <w:name w:val="正文文本 21"/>
    <w:basedOn w:val="1"/>
    <w:qFormat/>
    <w:uiPriority w:val="0"/>
    <w:pPr>
      <w:spacing w:after="120" w:line="480" w:lineRule="auto"/>
    </w:pPr>
    <w:rPr>
      <w:rFonts w:ascii="Times New Roman" w:hAnsi="Times New Roman"/>
      <w:szCs w:val="24"/>
    </w:rPr>
  </w:style>
  <w:style w:type="paragraph" w:customStyle="1" w:styleId="234">
    <w:name w:val="注释标题1"/>
    <w:basedOn w:val="1"/>
    <w:next w:val="1"/>
    <w:qFormat/>
    <w:uiPriority w:val="0"/>
    <w:pPr>
      <w:jc w:val="center"/>
    </w:pPr>
    <w:rPr>
      <w:rFonts w:ascii="Times New Roman" w:hAnsi="Times New Roman"/>
      <w:szCs w:val="24"/>
    </w:rPr>
  </w:style>
  <w:style w:type="paragraph" w:customStyle="1" w:styleId="235">
    <w:name w:val="表文"/>
    <w:basedOn w:val="1"/>
    <w:qFormat/>
    <w:uiPriority w:val="0"/>
    <w:pPr>
      <w:topLinePunct/>
      <w:spacing w:before="40" w:after="40"/>
    </w:pPr>
    <w:rPr>
      <w:rFonts w:ascii="Times New Roman" w:hAnsi="Times New Roman"/>
      <w:sz w:val="18"/>
      <w:szCs w:val="18"/>
    </w:rPr>
  </w:style>
  <w:style w:type="paragraph" w:customStyle="1" w:styleId="236">
    <w:name w:val="B"/>
    <w:basedOn w:val="90"/>
    <w:link w:val="324"/>
    <w:qFormat/>
    <w:uiPriority w:val="0"/>
    <w:pPr>
      <w:tabs>
        <w:tab w:val="center" w:pos="4706"/>
        <w:tab w:val="right" w:pos="9044"/>
      </w:tabs>
      <w:spacing w:line="312" w:lineRule="exact"/>
    </w:pPr>
    <w:rPr>
      <w:rFonts w:ascii="E-F1" w:hAnsi="Times New Roman"/>
      <w:szCs w:val="21"/>
    </w:rPr>
  </w:style>
  <w:style w:type="paragraph" w:customStyle="1" w:styleId="23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38">
    <w:name w:val="Char3"/>
    <w:basedOn w:val="1"/>
    <w:qFormat/>
    <w:uiPriority w:val="0"/>
    <w:rPr>
      <w:rFonts w:ascii="宋体" w:hAnsi="宋体"/>
      <w:b/>
      <w:color w:val="000000"/>
      <w:sz w:val="24"/>
      <w:szCs w:val="24"/>
    </w:rPr>
  </w:style>
  <w:style w:type="paragraph" w:customStyle="1" w:styleId="239">
    <w:name w:val="_列表编号1"/>
    <w:basedOn w:val="14"/>
    <w:qFormat/>
    <w:uiPriority w:val="0"/>
    <w:pPr>
      <w:widowControl/>
      <w:tabs>
        <w:tab w:val="left" w:pos="800"/>
      </w:tabs>
      <w:snapToGrid w:val="0"/>
      <w:spacing w:line="276" w:lineRule="auto"/>
      <w:ind w:left="800" w:hanging="400"/>
    </w:pPr>
    <w:rPr>
      <w:rFonts w:ascii="Arial" w:hAnsi="Arial"/>
      <w:kern w:val="0"/>
      <w:szCs w:val="18"/>
    </w:rPr>
  </w:style>
  <w:style w:type="paragraph" w:customStyle="1" w:styleId="240">
    <w:name w:val="001"/>
    <w:basedOn w:val="241"/>
    <w:qFormat/>
    <w:uiPriority w:val="0"/>
  </w:style>
  <w:style w:type="paragraph" w:customStyle="1" w:styleId="241">
    <w:name w:val="00"/>
    <w:basedOn w:val="1"/>
    <w:qFormat/>
    <w:uiPriority w:val="0"/>
    <w:pPr>
      <w:overflowPunct w:val="0"/>
      <w:topLinePunct/>
      <w:spacing w:line="312" w:lineRule="exact"/>
    </w:pPr>
    <w:rPr>
      <w:rFonts w:ascii="Times New Roman" w:hAnsi="Times New Roman"/>
      <w:szCs w:val="24"/>
    </w:rPr>
  </w:style>
  <w:style w:type="paragraph" w:customStyle="1" w:styleId="242">
    <w:name w:val="列表编号 21"/>
    <w:basedOn w:val="1"/>
    <w:qFormat/>
    <w:uiPriority w:val="0"/>
    <w:pPr>
      <w:tabs>
        <w:tab w:val="left" w:pos="780"/>
        <w:tab w:val="left" w:pos="817"/>
      </w:tabs>
      <w:ind w:left="817" w:hanging="420"/>
    </w:pPr>
    <w:rPr>
      <w:rFonts w:ascii="Times New Roman" w:hAnsi="Times New Roman"/>
      <w:szCs w:val="24"/>
    </w:rPr>
  </w:style>
  <w:style w:type="paragraph" w:customStyle="1" w:styleId="243">
    <w:name w:val="签名1"/>
    <w:basedOn w:val="1"/>
    <w:qFormat/>
    <w:uiPriority w:val="0"/>
    <w:pPr>
      <w:ind w:left="4320"/>
    </w:pPr>
    <w:rPr>
      <w:rFonts w:ascii="Times New Roman" w:hAnsi="Times New Roman"/>
      <w:szCs w:val="24"/>
    </w:rPr>
  </w:style>
  <w:style w:type="paragraph" w:customStyle="1" w:styleId="244">
    <w:name w:val="正文首行缩进 21"/>
    <w:basedOn w:val="245"/>
    <w:qFormat/>
    <w:uiPriority w:val="0"/>
    <w:pPr>
      <w:ind w:firstLine="420"/>
    </w:pPr>
  </w:style>
  <w:style w:type="paragraph" w:customStyle="1" w:styleId="245">
    <w:name w:val="正文文本缩进1"/>
    <w:basedOn w:val="1"/>
    <w:qFormat/>
    <w:uiPriority w:val="0"/>
    <w:pPr>
      <w:spacing w:after="120"/>
      <w:ind w:left="420"/>
    </w:pPr>
    <w:rPr>
      <w:rFonts w:ascii="Times New Roman" w:hAnsi="Times New Roman"/>
      <w:szCs w:val="24"/>
    </w:rPr>
  </w:style>
  <w:style w:type="paragraph" w:customStyle="1" w:styleId="246">
    <w:name w:val="正文文本缩进 31"/>
    <w:basedOn w:val="1"/>
    <w:qFormat/>
    <w:uiPriority w:val="0"/>
    <w:pPr>
      <w:spacing w:after="120"/>
      <w:ind w:left="420"/>
    </w:pPr>
    <w:rPr>
      <w:rFonts w:ascii="Times New Roman" w:hAnsi="Times New Roman"/>
      <w:sz w:val="16"/>
      <w:szCs w:val="16"/>
    </w:rPr>
  </w:style>
  <w:style w:type="paragraph" w:customStyle="1" w:styleId="247">
    <w:name w:val="样式 Arial 首行缩进:  2 字符"/>
    <w:basedOn w:val="1"/>
    <w:qFormat/>
    <w:uiPriority w:val="0"/>
    <w:pPr>
      <w:topLinePunct/>
      <w:ind w:firstLine="403" w:firstLineChars="200"/>
    </w:pPr>
    <w:rPr>
      <w:rFonts w:ascii="Times New Roman" w:hAnsi="Times New Roman"/>
      <w:szCs w:val="21"/>
    </w:rPr>
  </w:style>
  <w:style w:type="paragraph" w:customStyle="1" w:styleId="248">
    <w:name w:val="节小标题"/>
    <w:basedOn w:val="10"/>
    <w:qFormat/>
    <w:uiPriority w:val="0"/>
    <w:p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249">
    <w:name w:val="索引 11"/>
    <w:basedOn w:val="1"/>
    <w:next w:val="1"/>
    <w:qFormat/>
    <w:uiPriority w:val="0"/>
    <w:rPr>
      <w:rFonts w:ascii="Times New Roman" w:hAnsi="Times New Roman"/>
      <w:szCs w:val="24"/>
    </w:rPr>
  </w:style>
  <w:style w:type="paragraph" w:customStyle="1" w:styleId="250">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251">
    <w:name w:val="03"/>
    <w:basedOn w:val="185"/>
    <w:qFormat/>
    <w:uiPriority w:val="0"/>
    <w:pPr>
      <w:overflowPunct w:val="0"/>
      <w:topLinePunct/>
      <w:snapToGrid/>
      <w:spacing w:line="240" w:lineRule="auto"/>
      <w:ind w:firstLine="867" w:firstLineChars="413"/>
    </w:pPr>
  </w:style>
  <w:style w:type="paragraph" w:customStyle="1" w:styleId="252">
    <w:name w:val="a"/>
    <w:basedOn w:val="1"/>
    <w:qFormat/>
    <w:uiPriority w:val="0"/>
    <w:pPr>
      <w:keepNext/>
      <w:keepLines/>
      <w:tabs>
        <w:tab w:val="left" w:pos="210"/>
        <w:tab w:val="left" w:pos="425"/>
      </w:tabs>
      <w:spacing w:before="50" w:after="50"/>
      <w:ind w:left="840" w:hanging="420"/>
      <w:outlineLvl w:val="0"/>
    </w:pPr>
    <w:rPr>
      <w:rFonts w:ascii="宋体" w:hAnsi="宋体" w:eastAsia="黑体"/>
      <w:kern w:val="0"/>
      <w:sz w:val="30"/>
      <w:szCs w:val="20"/>
    </w:rPr>
  </w:style>
  <w:style w:type="paragraph" w:customStyle="1" w:styleId="253">
    <w:name w:val="列表编号 31"/>
    <w:basedOn w:val="1"/>
    <w:qFormat/>
    <w:uiPriority w:val="0"/>
    <w:pPr>
      <w:tabs>
        <w:tab w:val="left" w:pos="1200"/>
      </w:tabs>
      <w:ind w:left="840" w:hanging="420"/>
    </w:pPr>
    <w:rPr>
      <w:rFonts w:ascii="Times New Roman" w:hAnsi="Times New Roman"/>
      <w:szCs w:val="24"/>
    </w:rPr>
  </w:style>
  <w:style w:type="paragraph" w:customStyle="1" w:styleId="254">
    <w:name w:val="日期1"/>
    <w:basedOn w:val="1"/>
    <w:next w:val="1"/>
    <w:qFormat/>
    <w:uiPriority w:val="0"/>
    <w:rPr>
      <w:rFonts w:ascii="Times New Roman" w:hAnsi="Times New Roman"/>
      <w:szCs w:val="24"/>
    </w:rPr>
  </w:style>
  <w:style w:type="paragraph" w:customStyle="1" w:styleId="255">
    <w:name w:val="正文缩进2"/>
    <w:basedOn w:val="1"/>
    <w:qFormat/>
    <w:uiPriority w:val="0"/>
    <w:pPr>
      <w:ind w:firstLine="420"/>
    </w:pPr>
    <w:rPr>
      <w:rFonts w:ascii="Times New Roman" w:hAnsi="Times New Roman"/>
      <w:szCs w:val="24"/>
    </w:rPr>
  </w:style>
  <w:style w:type="paragraph" w:customStyle="1" w:styleId="256">
    <w:name w:val="Char1"/>
    <w:basedOn w:val="1"/>
    <w:qFormat/>
    <w:uiPriority w:val="0"/>
    <w:pPr>
      <w:topLinePunct/>
    </w:pPr>
    <w:rPr>
      <w:rFonts w:ascii="Times New Roman" w:hAnsi="Times New Roman"/>
      <w:szCs w:val="21"/>
    </w:rPr>
  </w:style>
  <w:style w:type="paragraph" w:customStyle="1" w:styleId="257">
    <w:name w:val="样式 标题 1 + 首行缩进:  2 字符 段前: 1 行 段后: 1 行"/>
    <w:basedOn w:val="3"/>
    <w:qFormat/>
    <w:uiPriority w:val="0"/>
    <w:pPr>
      <w:topLinePunct/>
      <w:spacing w:beforeLines="100" w:afterLines="100" w:line="240" w:lineRule="auto"/>
    </w:pPr>
    <w:rPr>
      <w:rFonts w:ascii="Times New Roman" w:hAnsi="Times New Roman" w:eastAsia="黑体"/>
      <w:b w:val="0"/>
      <w:bCs w:val="0"/>
      <w:sz w:val="21"/>
      <w:szCs w:val="28"/>
    </w:rPr>
  </w:style>
  <w:style w:type="paragraph" w:customStyle="1" w:styleId="258">
    <w:name w:val="索引标题1"/>
    <w:basedOn w:val="1"/>
    <w:next w:val="249"/>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25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260">
    <w:name w:val="图表目录1"/>
    <w:basedOn w:val="1"/>
    <w:next w:val="1"/>
    <w:qFormat/>
    <w:uiPriority w:val="0"/>
    <w:pPr>
      <w:ind w:left="200" w:leftChars="200" w:hanging="200" w:hangingChars="200"/>
    </w:pPr>
    <w:rPr>
      <w:rFonts w:ascii="Times New Roman" w:hAnsi="Times New Roman"/>
      <w:szCs w:val="24"/>
    </w:rPr>
  </w:style>
  <w:style w:type="paragraph" w:customStyle="1" w:styleId="261">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262">
    <w:name w:val="Char Char1 Char Char Char"/>
    <w:basedOn w:val="263"/>
    <w:qFormat/>
    <w:uiPriority w:val="0"/>
    <w:rPr>
      <w:rFonts w:ascii="Tahoma" w:hAnsi="Tahoma"/>
      <w:sz w:val="24"/>
    </w:rPr>
  </w:style>
  <w:style w:type="paragraph" w:customStyle="1" w:styleId="263">
    <w:name w:val="文档结构图1"/>
    <w:basedOn w:val="1"/>
    <w:qFormat/>
    <w:uiPriority w:val="0"/>
    <w:pPr>
      <w:shd w:val="clear" w:color="auto" w:fill="000080"/>
    </w:pPr>
    <w:rPr>
      <w:rFonts w:ascii="Times New Roman" w:hAnsi="Times New Roman"/>
      <w:szCs w:val="24"/>
    </w:rPr>
  </w:style>
  <w:style w:type="paragraph" w:customStyle="1" w:styleId="264">
    <w:name w:val="_标准条文"/>
    <w:basedOn w:val="1"/>
    <w:qFormat/>
    <w:uiPriority w:val="0"/>
    <w:pPr>
      <w:overflowPunct w:val="0"/>
      <w:snapToGrid w:val="0"/>
      <w:spacing w:line="276" w:lineRule="auto"/>
      <w:ind w:firstLine="420" w:firstLineChars="200"/>
    </w:pPr>
    <w:rPr>
      <w:rFonts w:ascii="Arial" w:hAnsi="Arial" w:cs="宋体"/>
      <w:szCs w:val="20"/>
    </w:rPr>
  </w:style>
  <w:style w:type="paragraph" w:customStyle="1" w:styleId="265">
    <w:name w:val="_表格条文"/>
    <w:basedOn w:val="1"/>
    <w:qFormat/>
    <w:uiPriority w:val="0"/>
    <w:pPr>
      <w:spacing w:line="276" w:lineRule="auto"/>
    </w:pPr>
    <w:rPr>
      <w:rFonts w:ascii="Arial" w:hAnsi="Arial"/>
      <w:color w:val="000000"/>
      <w:sz w:val="18"/>
      <w:szCs w:val="21"/>
    </w:rPr>
  </w:style>
  <w:style w:type="paragraph" w:customStyle="1" w:styleId="266">
    <w:name w:val="02"/>
    <w:basedOn w:val="185"/>
    <w:qFormat/>
    <w:uiPriority w:val="0"/>
    <w:pPr>
      <w:overflowPunct w:val="0"/>
      <w:topLinePunct/>
      <w:snapToGrid/>
      <w:spacing w:line="240" w:lineRule="auto"/>
      <w:ind w:left="867" w:leftChars="200" w:hanging="447" w:hangingChars="213"/>
    </w:pPr>
    <w:rPr>
      <w:rFonts w:hAnsi="Times New Roman"/>
    </w:rPr>
  </w:style>
  <w:style w:type="paragraph" w:customStyle="1" w:styleId="267">
    <w:name w:val="V"/>
    <w:basedOn w:val="236"/>
    <w:qFormat/>
    <w:uiPriority w:val="0"/>
  </w:style>
  <w:style w:type="paragraph" w:customStyle="1" w:styleId="268">
    <w:name w:val="p20"/>
    <w:basedOn w:val="1"/>
    <w:qFormat/>
    <w:uiPriority w:val="0"/>
    <w:pPr>
      <w:widowControl/>
      <w:topLinePunct/>
      <w:spacing w:line="300" w:lineRule="atLeast"/>
    </w:pPr>
    <w:rPr>
      <w:rFonts w:ascii="Times New Roman" w:hAnsi="Times New Roman"/>
      <w:kern w:val="0"/>
      <w:szCs w:val="21"/>
    </w:rPr>
  </w:style>
  <w:style w:type="paragraph" w:customStyle="1" w:styleId="269">
    <w:name w:val="列表接续1"/>
    <w:basedOn w:val="1"/>
    <w:qFormat/>
    <w:uiPriority w:val="0"/>
    <w:pPr>
      <w:spacing w:after="120"/>
      <w:ind w:left="420"/>
    </w:pPr>
    <w:rPr>
      <w:rFonts w:ascii="Times New Roman" w:hAnsi="Times New Roman"/>
      <w:szCs w:val="24"/>
    </w:rPr>
  </w:style>
  <w:style w:type="paragraph" w:customStyle="1" w:styleId="270">
    <w:name w:val="列表编号 51"/>
    <w:basedOn w:val="1"/>
    <w:qFormat/>
    <w:uiPriority w:val="0"/>
    <w:pPr>
      <w:tabs>
        <w:tab w:val="left" w:pos="2040"/>
      </w:tabs>
      <w:ind w:left="840" w:hanging="420"/>
    </w:pPr>
    <w:rPr>
      <w:rFonts w:ascii="Times New Roman" w:hAnsi="Times New Roman"/>
      <w:szCs w:val="24"/>
    </w:rPr>
  </w:style>
  <w:style w:type="paragraph" w:customStyle="1" w:styleId="271">
    <w:name w:val="正文文本 31"/>
    <w:basedOn w:val="1"/>
    <w:qFormat/>
    <w:uiPriority w:val="0"/>
    <w:pPr>
      <w:spacing w:after="120"/>
    </w:pPr>
    <w:rPr>
      <w:rFonts w:ascii="Times New Roman" w:hAnsi="Times New Roman"/>
      <w:sz w:val="16"/>
      <w:szCs w:val="16"/>
    </w:rPr>
  </w:style>
  <w:style w:type="paragraph" w:customStyle="1" w:styleId="272">
    <w:name w:val="样式7"/>
    <w:basedOn w:val="1"/>
    <w:qFormat/>
    <w:uiPriority w:val="0"/>
    <w:pPr>
      <w:snapToGrid w:val="0"/>
    </w:pPr>
    <w:rPr>
      <w:rFonts w:ascii="Times New Roman" w:hAnsi="Times New Roman"/>
      <w:szCs w:val="24"/>
    </w:rPr>
  </w:style>
  <w:style w:type="paragraph" w:customStyle="1" w:styleId="273">
    <w:name w:val="样式 首行缩进:  0 厘米 行距: 单倍行距 Char"/>
    <w:basedOn w:val="1"/>
    <w:qFormat/>
    <w:uiPriority w:val="0"/>
    <w:pPr>
      <w:topLinePunct/>
      <w:adjustRightInd w:val="0"/>
      <w:textAlignment w:val="baseline"/>
    </w:pPr>
    <w:rPr>
      <w:rFonts w:ascii="Times New Roman" w:hAnsi="Times New Roman"/>
      <w:kern w:val="0"/>
      <w:szCs w:val="21"/>
    </w:rPr>
  </w:style>
  <w:style w:type="paragraph" w:customStyle="1" w:styleId="27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75">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276">
    <w:name w:val="０１"/>
    <w:basedOn w:val="162"/>
    <w:qFormat/>
    <w:uiPriority w:val="0"/>
  </w:style>
  <w:style w:type="paragraph" w:customStyle="1" w:styleId="277">
    <w:name w:val="修订11"/>
    <w:qFormat/>
    <w:uiPriority w:val="0"/>
    <w:rPr>
      <w:rFonts w:ascii="Times New Roman" w:hAnsi="Times New Roman" w:eastAsia="宋体" w:cs="Times New Roman"/>
      <w:kern w:val="2"/>
      <w:sz w:val="21"/>
      <w:szCs w:val="24"/>
      <w:lang w:val="en-US" w:eastAsia="zh-CN" w:bidi="ar-SA"/>
    </w:rPr>
  </w:style>
  <w:style w:type="paragraph" w:customStyle="1" w:styleId="278">
    <w:name w:val="列表接续 21"/>
    <w:basedOn w:val="1"/>
    <w:qFormat/>
    <w:uiPriority w:val="0"/>
    <w:pPr>
      <w:spacing w:after="120"/>
      <w:ind w:left="840"/>
    </w:pPr>
    <w:rPr>
      <w:rFonts w:ascii="Times New Roman" w:hAnsi="Times New Roman"/>
      <w:szCs w:val="24"/>
    </w:rPr>
  </w:style>
  <w:style w:type="paragraph" w:customStyle="1" w:styleId="279">
    <w:name w:val="普通(网站)1"/>
    <w:basedOn w:val="1"/>
    <w:qFormat/>
    <w:uiPriority w:val="0"/>
    <w:rPr>
      <w:rFonts w:ascii="Times New Roman" w:hAnsi="Times New Roman"/>
      <w:sz w:val="24"/>
      <w:szCs w:val="24"/>
    </w:rPr>
  </w:style>
  <w:style w:type="paragraph" w:customStyle="1" w:styleId="280">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customStyle="1" w:styleId="281">
    <w:name w:val="正文文本缩进 21"/>
    <w:basedOn w:val="1"/>
    <w:qFormat/>
    <w:uiPriority w:val="0"/>
    <w:pPr>
      <w:spacing w:after="120" w:line="480" w:lineRule="auto"/>
      <w:ind w:left="420"/>
    </w:pPr>
    <w:rPr>
      <w:rFonts w:ascii="Times New Roman" w:hAnsi="Times New Roman"/>
      <w:szCs w:val="24"/>
    </w:rPr>
  </w:style>
  <w:style w:type="paragraph" w:customStyle="1" w:styleId="282">
    <w:name w:val="t"/>
    <w:basedOn w:val="26"/>
    <w:qFormat/>
    <w:uiPriority w:val="0"/>
  </w:style>
  <w:style w:type="paragraph" w:customStyle="1" w:styleId="28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28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28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6">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28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8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9">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9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291">
    <w:name w:val="样式 标题 2 + 黑体 段前: 10.25 磅 段后: 10.25 磅 行距: 单倍行距"/>
    <w:basedOn w:val="4"/>
    <w:qFormat/>
    <w:uiPriority w:val="0"/>
    <w:pPr>
      <w:adjustRightInd w:val="0"/>
      <w:spacing w:beforeLines="50" w:afterLines="50" w:line="240" w:lineRule="auto"/>
      <w:jc w:val="left"/>
      <w:textAlignment w:val="baseline"/>
    </w:pPr>
    <w:rPr>
      <w:rFonts w:ascii="黑体" w:hAnsi="黑体" w:eastAsia="黑体"/>
      <w:b w:val="0"/>
      <w:bCs w:val="0"/>
      <w:kern w:val="0"/>
      <w:sz w:val="21"/>
      <w:szCs w:val="20"/>
    </w:rPr>
  </w:style>
  <w:style w:type="paragraph" w:customStyle="1" w:styleId="292">
    <w:name w:val="二级标题"/>
    <w:basedOn w:val="4"/>
    <w:qFormat/>
    <w:uiPriority w:val="0"/>
    <w:pPr>
      <w:tabs>
        <w:tab w:val="left" w:pos="6840"/>
      </w:tabs>
      <w:autoSpaceDE w:val="0"/>
      <w:autoSpaceDN w:val="0"/>
      <w:adjustRightInd w:val="0"/>
      <w:spacing w:beforeLines="100" w:afterLines="50" w:line="240" w:lineRule="auto"/>
      <w:ind w:firstLine="200" w:firstLineChars="200"/>
      <w:textAlignment w:val="baseline"/>
    </w:pPr>
    <w:rPr>
      <w:rFonts w:ascii="Arial" w:hAnsi="Arial" w:eastAsia="黑体"/>
      <w:kern w:val="0"/>
      <w:sz w:val="24"/>
      <w:szCs w:val="24"/>
    </w:rPr>
  </w:style>
  <w:style w:type="paragraph" w:customStyle="1" w:styleId="293">
    <w:name w:val="名称"/>
    <w:basedOn w:val="1"/>
    <w:next w:val="76"/>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294">
    <w:name w:val="列表接续 31"/>
    <w:basedOn w:val="1"/>
    <w:qFormat/>
    <w:uiPriority w:val="0"/>
    <w:pPr>
      <w:spacing w:after="120"/>
      <w:ind w:left="1260"/>
    </w:pPr>
    <w:rPr>
      <w:rFonts w:ascii="Times New Roman" w:hAnsi="Times New Roman"/>
      <w:szCs w:val="24"/>
    </w:rPr>
  </w:style>
  <w:style w:type="paragraph" w:customStyle="1" w:styleId="295">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29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9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29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29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0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0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30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03">
    <w:name w:val="图形标题"/>
    <w:basedOn w:val="16"/>
    <w:qFormat/>
    <w:uiPriority w:val="0"/>
    <w:pPr>
      <w:spacing w:before="0" w:after="0"/>
      <w:jc w:val="center"/>
    </w:pPr>
    <w:rPr>
      <w:rFonts w:ascii="宋体" w:hAnsi="Plotter" w:eastAsia="宋体"/>
      <w:sz w:val="21"/>
    </w:rPr>
  </w:style>
  <w:style w:type="paragraph" w:customStyle="1" w:styleId="304">
    <w:name w:val="三级标题"/>
    <w:basedOn w:val="5"/>
    <w:qFormat/>
    <w:uiPriority w:val="0"/>
    <w:pPr>
      <w:adjustRightInd w:val="0"/>
      <w:spacing w:beforeLines="50" w:afterLines="50" w:line="240" w:lineRule="auto"/>
      <w:ind w:firstLine="200" w:firstLineChars="200"/>
      <w:jc w:val="left"/>
      <w:textAlignment w:val="baseline"/>
    </w:pPr>
    <w:rPr>
      <w:rFonts w:ascii="Times New Roman" w:hAnsi="Times New Roman"/>
      <w:kern w:val="0"/>
      <w:sz w:val="24"/>
      <w:szCs w:val="20"/>
    </w:rPr>
  </w:style>
  <w:style w:type="paragraph" w:customStyle="1" w:styleId="305">
    <w:name w:val="列出段落11"/>
    <w:basedOn w:val="1"/>
    <w:qFormat/>
    <w:uiPriority w:val="0"/>
    <w:pPr>
      <w:spacing w:line="580" w:lineRule="exact"/>
      <w:ind w:left="142" w:firstLine="420" w:firstLineChars="200"/>
    </w:pPr>
    <w:rPr>
      <w:rFonts w:ascii="Times New Roman" w:hAnsi="Times New Roman"/>
      <w:szCs w:val="24"/>
    </w:rPr>
  </w:style>
  <w:style w:type="paragraph" w:customStyle="1" w:styleId="306">
    <w:name w:val="p21"/>
    <w:basedOn w:val="1"/>
    <w:qFormat/>
    <w:uiPriority w:val="0"/>
    <w:pPr>
      <w:widowControl/>
      <w:spacing w:line="300" w:lineRule="atLeast"/>
    </w:pPr>
    <w:rPr>
      <w:rFonts w:ascii="宋体" w:hAnsi="宋体" w:cs="宋体"/>
      <w:kern w:val="0"/>
      <w:szCs w:val="21"/>
    </w:rPr>
  </w:style>
  <w:style w:type="paragraph" w:customStyle="1" w:styleId="307">
    <w:name w:val="列表接续 51"/>
    <w:basedOn w:val="1"/>
    <w:qFormat/>
    <w:uiPriority w:val="0"/>
    <w:pPr>
      <w:spacing w:after="120"/>
      <w:ind w:left="2100"/>
    </w:pPr>
    <w:rPr>
      <w:rFonts w:ascii="Times New Roman" w:hAnsi="Times New Roman"/>
      <w:szCs w:val="24"/>
    </w:rPr>
  </w:style>
  <w:style w:type="paragraph" w:customStyle="1" w:styleId="308">
    <w:name w:val="附录"/>
    <w:basedOn w:val="3"/>
    <w:qFormat/>
    <w:uiPriority w:val="0"/>
    <w:pPr>
      <w:topLinePunct/>
      <w:spacing w:before="0" w:after="0" w:line="960" w:lineRule="auto"/>
      <w:ind w:firstLine="420"/>
      <w:jc w:val="center"/>
      <w:textAlignment w:val="baseline"/>
    </w:pPr>
    <w:rPr>
      <w:rFonts w:ascii="Times New Roman" w:hAnsi="Times New Roman" w:eastAsia="黑体"/>
      <w:b w:val="0"/>
      <w:bCs w:val="0"/>
      <w:kern w:val="2"/>
      <w:sz w:val="28"/>
      <w:szCs w:val="28"/>
    </w:rPr>
  </w:style>
  <w:style w:type="paragraph" w:customStyle="1" w:styleId="309">
    <w:name w:val="表格内字体字号"/>
    <w:basedOn w:val="1"/>
    <w:qFormat/>
    <w:uiPriority w:val="0"/>
    <w:pPr>
      <w:topLinePunct/>
      <w:snapToGrid w:val="0"/>
      <w:spacing w:beforeLines="20" w:afterLines="20"/>
      <w:ind w:left="30" w:leftChars="30" w:right="30" w:rightChars="30"/>
      <w:jc w:val="center"/>
    </w:pPr>
    <w:rPr>
      <w:rFonts w:ascii="Times New Roman" w:hAnsi="Times New Roman"/>
      <w:sz w:val="18"/>
      <w:szCs w:val="18"/>
    </w:rPr>
  </w:style>
  <w:style w:type="paragraph" w:customStyle="1" w:styleId="310">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1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31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31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15">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1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7">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8">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319">
    <w:name w:val="D4"/>
    <w:basedOn w:val="167"/>
    <w:qFormat/>
    <w:uiPriority w:val="0"/>
    <w:pPr>
      <w:tabs>
        <w:tab w:val="clear" w:pos="6840"/>
      </w:tabs>
      <w:overflowPunct w:val="0"/>
      <w:spacing w:line="312" w:lineRule="exact"/>
      <w:ind w:left="840" w:leftChars="200" w:hanging="420" w:hangingChars="200"/>
    </w:pPr>
  </w:style>
  <w:style w:type="paragraph" w:customStyle="1" w:styleId="320">
    <w:name w:val="一级标题"/>
    <w:basedOn w:val="3"/>
    <w:qFormat/>
    <w:uiPriority w:val="0"/>
    <w:pPr>
      <w:keepLines w:val="0"/>
      <w:tabs>
        <w:tab w:val="left" w:pos="6840"/>
      </w:tabs>
      <w:spacing w:beforeLines="100" w:afterLines="150" w:line="240" w:lineRule="auto"/>
      <w:jc w:val="center"/>
    </w:pPr>
    <w:rPr>
      <w:rFonts w:ascii="隶书" w:hAnsi="Times New Roman" w:eastAsia="黑体"/>
      <w:bCs w:val="0"/>
      <w:kern w:val="2"/>
      <w:sz w:val="30"/>
      <w:szCs w:val="32"/>
    </w:rPr>
  </w:style>
  <w:style w:type="paragraph" w:customStyle="1" w:styleId="321">
    <w:name w:val="Char Char Char Char Char2 Char2"/>
    <w:basedOn w:val="1"/>
    <w:qFormat/>
    <w:uiPriority w:val="0"/>
    <w:rPr>
      <w:rFonts w:ascii="Times New Roman" w:hAnsi="Times New Roman"/>
      <w:szCs w:val="20"/>
    </w:rPr>
  </w:style>
  <w:style w:type="paragraph" w:customStyle="1" w:styleId="322">
    <w:name w:val="默认段落字体 Para Char Char Char Char Char + Times New Roman"/>
    <w:qFormat/>
    <w:uiPriority w:val="0"/>
    <w:pPr>
      <w:overflowPunct w:val="0"/>
      <w:topLinePunct/>
    </w:pPr>
    <w:rPr>
      <w:rFonts w:ascii="Times New Roman" w:hAnsi="Times New Roman" w:eastAsia="宋体" w:cs="Times New Roman"/>
      <w:sz w:val="21"/>
      <w:szCs w:val="21"/>
      <w:lang w:val="en-US" w:eastAsia="zh-CN" w:bidi="ar-SA"/>
    </w:rPr>
  </w:style>
  <w:style w:type="paragraph" w:customStyle="1" w:styleId="323">
    <w:name w:val="p19"/>
    <w:basedOn w:val="1"/>
    <w:qFormat/>
    <w:uiPriority w:val="0"/>
    <w:pPr>
      <w:widowControl/>
    </w:pPr>
    <w:rPr>
      <w:rFonts w:ascii="宋体" w:hAnsi="宋体" w:cs="宋体"/>
      <w:kern w:val="0"/>
      <w:szCs w:val="21"/>
    </w:rPr>
  </w:style>
  <w:style w:type="character" w:customStyle="1" w:styleId="324">
    <w:name w:val="B Char"/>
    <w:link w:val="236"/>
    <w:qFormat/>
    <w:uiPriority w:val="0"/>
    <w:rPr>
      <w:rFonts w:ascii="E-F1" w:hAnsi="Times New Roman" w:eastAsia="黑体"/>
      <w:kern w:val="2"/>
      <w:sz w:val="21"/>
      <w:szCs w:val="21"/>
    </w:rPr>
  </w:style>
  <w:style w:type="character" w:customStyle="1" w:styleId="325">
    <w:name w:val="三级标题 Char"/>
    <w:semiHidden/>
    <w:qFormat/>
    <w:uiPriority w:val="0"/>
    <w:rPr>
      <w:rFonts w:eastAsia="宋体"/>
      <w:b/>
      <w:sz w:val="24"/>
      <w:lang w:val="en-US" w:eastAsia="zh-CN" w:bidi="ar-SA"/>
    </w:rPr>
  </w:style>
  <w:style w:type="character" w:customStyle="1" w:styleId="326">
    <w:name w:val="段 Char"/>
    <w:link w:val="76"/>
    <w:qFormat/>
    <w:uiPriority w:val="0"/>
    <w:rPr>
      <w:rFonts w:ascii="宋体" w:hAnsi="Times New Roman"/>
      <w:sz w:val="21"/>
      <w:lang w:bidi="ar-SA"/>
    </w:rPr>
  </w:style>
  <w:style w:type="character" w:customStyle="1" w:styleId="327">
    <w:name w:val="批注主题 Char1"/>
    <w:qFormat/>
    <w:uiPriority w:val="99"/>
    <w:rPr>
      <w:b/>
      <w:bCs/>
      <w:kern w:val="2"/>
      <w:sz w:val="21"/>
      <w:szCs w:val="24"/>
    </w:rPr>
  </w:style>
  <w:style w:type="paragraph" w:customStyle="1" w:styleId="328">
    <w:name w:val="JSTJ正文"/>
    <w:basedOn w:val="1"/>
    <w:qFormat/>
    <w:uiPriority w:val="0"/>
    <w:pPr>
      <w:tabs>
        <w:tab w:val="left" w:pos="742"/>
      </w:tabs>
      <w:autoSpaceDE w:val="0"/>
      <w:autoSpaceDN w:val="0"/>
      <w:adjustRightInd w:val="0"/>
      <w:snapToGrid w:val="0"/>
      <w:ind w:firstLine="480" w:firstLineChars="200"/>
      <w:textAlignment w:val="baseline"/>
    </w:pPr>
    <w:rPr>
      <w:rFonts w:ascii="宋体" w:hAnsi="宋体"/>
      <w:color w:val="0000FF"/>
      <w:kern w:val="0"/>
      <w:sz w:val="24"/>
      <w:szCs w:val="24"/>
    </w:rPr>
  </w:style>
  <w:style w:type="paragraph" w:customStyle="1" w:styleId="329">
    <w:name w:val="表格内文字"/>
    <w:qFormat/>
    <w:uiPriority w:val="0"/>
    <w:pPr>
      <w:adjustRightInd w:val="0"/>
      <w:snapToGrid w:val="0"/>
      <w:jc w:val="center"/>
    </w:pPr>
    <w:rPr>
      <w:rFonts w:ascii="黑体" w:hAnsi="Arial" w:eastAsia="宋体" w:cs="Times New Roman"/>
      <w:bCs/>
      <w:sz w:val="18"/>
      <w:szCs w:val="32"/>
      <w:lang w:val="en-US" w:eastAsia="zh-CN" w:bidi="ar-SA"/>
    </w:rPr>
  </w:style>
  <w:style w:type="character" w:customStyle="1" w:styleId="330">
    <w:name w:val="正文文本缩进 Char"/>
    <w:link w:val="22"/>
    <w:qFormat/>
    <w:uiPriority w:val="99"/>
    <w:rPr>
      <w:rFonts w:ascii="Times New Roman" w:hAnsi="Times New Roman"/>
      <w:kern w:val="2"/>
      <w:sz w:val="21"/>
      <w:szCs w:val="24"/>
    </w:rPr>
  </w:style>
  <w:style w:type="character" w:customStyle="1" w:styleId="331">
    <w:name w:val="正文文本缩进 2 Char"/>
    <w:link w:val="30"/>
    <w:qFormat/>
    <w:uiPriority w:val="99"/>
    <w:rPr>
      <w:rFonts w:ascii="Times New Roman" w:hAnsi="Times New Roman"/>
      <w:kern w:val="2"/>
      <w:sz w:val="21"/>
      <w:szCs w:val="24"/>
    </w:rPr>
  </w:style>
  <w:style w:type="paragraph" w:customStyle="1" w:styleId="332">
    <w:name w:val="样式 样式 样式 样式9 + 段前: 1 行 段后: 1 行 + 段前: 1 行 段后: 1 行 + 段前: 1 行 段后: ..."/>
    <w:basedOn w:val="1"/>
    <w:qFormat/>
    <w:uiPriority w:val="0"/>
    <w:pPr>
      <w:keepNext/>
      <w:keepLines/>
      <w:widowControl/>
      <w:numPr>
        <w:ilvl w:val="2"/>
        <w:numId w:val="6"/>
      </w:numPr>
      <w:spacing w:beforeLines="50" w:afterLines="50"/>
      <w:jc w:val="left"/>
      <w:outlineLvl w:val="2"/>
    </w:pPr>
    <w:rPr>
      <w:rFonts w:ascii="宋体"/>
      <w:b/>
      <w:kern w:val="0"/>
      <w:sz w:val="32"/>
      <w:szCs w:val="24"/>
    </w:rPr>
  </w:style>
  <w:style w:type="character" w:customStyle="1" w:styleId="333">
    <w:name w:val="一级条标题 Char"/>
    <w:qFormat/>
    <w:uiPriority w:val="0"/>
    <w:rPr>
      <w:rFonts w:ascii="黑体" w:hAnsi="Times New Roman" w:eastAsia="黑体" w:cs="Times New Roman"/>
      <w:kern w:val="0"/>
      <w:szCs w:val="20"/>
    </w:rPr>
  </w:style>
  <w:style w:type="paragraph" w:customStyle="1" w:styleId="334">
    <w:name w:val="正文表标题"/>
    <w:next w:val="76"/>
    <w:qFormat/>
    <w:uiPriority w:val="0"/>
    <w:pPr>
      <w:tabs>
        <w:tab w:val="left" w:pos="360"/>
        <w:tab w:val="left" w:pos="678"/>
      </w:tabs>
      <w:ind w:left="678" w:hanging="468"/>
      <w:jc w:val="center"/>
    </w:pPr>
    <w:rPr>
      <w:rFonts w:ascii="黑体" w:hAnsi="Times New Roman" w:eastAsia="黑体" w:cs="Times New Roman"/>
      <w:sz w:val="21"/>
      <w:lang w:val="en-US" w:eastAsia="zh-CN" w:bidi="ar-SA"/>
    </w:rPr>
  </w:style>
  <w:style w:type="paragraph" w:customStyle="1" w:styleId="335">
    <w:name w:val="表格"/>
    <w:basedOn w:val="1"/>
    <w:qFormat/>
    <w:uiPriority w:val="0"/>
    <w:pPr>
      <w:spacing w:line="360" w:lineRule="auto"/>
      <w:jc w:val="center"/>
    </w:pPr>
    <w:rPr>
      <w:rFonts w:ascii="宋体" w:hAnsi="宋体"/>
      <w:color w:val="000000"/>
      <w:sz w:val="24"/>
      <w:szCs w:val="18"/>
    </w:rPr>
  </w:style>
  <w:style w:type="character" w:customStyle="1" w:styleId="336">
    <w:name w:val="三级条标题 Char"/>
    <w:link w:val="113"/>
    <w:qFormat/>
    <w:uiPriority w:val="0"/>
    <w:rPr>
      <w:rFonts w:ascii="黑体" w:hAnsi="Times New Roman" w:eastAsia="黑体"/>
      <w:b/>
      <w:sz w:val="21"/>
    </w:rPr>
  </w:style>
  <w:style w:type="character" w:customStyle="1" w:styleId="337">
    <w:name w:val="首行缩进 Char Char"/>
    <w:qFormat/>
    <w:uiPriority w:val="0"/>
    <w:rPr>
      <w:rFonts w:eastAsia="方正书宋简体" w:cs="宋体"/>
    </w:rPr>
  </w:style>
  <w:style w:type="paragraph" w:customStyle="1" w:styleId="338">
    <w:name w:val="列出段落2"/>
    <w:basedOn w:val="1"/>
    <w:unhideWhenUsed/>
    <w:qFormat/>
    <w:uiPriority w:val="99"/>
    <w:pPr>
      <w:ind w:firstLine="420" w:firstLineChars="200"/>
    </w:pPr>
  </w:style>
  <w:style w:type="paragraph" w:customStyle="1" w:styleId="339">
    <w:name w:val="列出段落3"/>
    <w:basedOn w:val="1"/>
    <w:qFormat/>
    <w:uiPriority w:val="99"/>
    <w:pPr>
      <w:ind w:firstLine="420" w:firstLineChars="200"/>
    </w:pPr>
  </w:style>
  <w:style w:type="paragraph" w:customStyle="1" w:styleId="340">
    <w:name w:val="正文(表格)"/>
    <w:semiHidden/>
    <w:qFormat/>
    <w:uiPriority w:val="0"/>
    <w:pPr>
      <w:snapToGrid w:val="0"/>
      <w:jc w:val="center"/>
    </w:pPr>
    <w:rPr>
      <w:rFonts w:ascii="Times New Roman" w:hAnsi="Times New Roman" w:eastAsia="宋体" w:cs="Arial"/>
      <w:spacing w:val="8"/>
      <w:sz w:val="18"/>
      <w:szCs w:val="18"/>
      <w:lang w:val="en-GB" w:eastAsia="zh-CN" w:bidi="ar-SA"/>
    </w:rPr>
  </w:style>
  <w:style w:type="paragraph" w:customStyle="1" w:styleId="341">
    <w:name w:val="正文(编号)"/>
    <w:basedOn w:val="342"/>
    <w:semiHidden/>
    <w:qFormat/>
    <w:uiPriority w:val="0"/>
    <w:pPr>
      <w:numPr>
        <w:ilvl w:val="0"/>
        <w:numId w:val="7"/>
      </w:numPr>
      <w:outlineLvl w:val="5"/>
    </w:pPr>
  </w:style>
  <w:style w:type="paragraph" w:customStyle="1" w:styleId="342">
    <w:name w:val="无缩进正文"/>
    <w:semiHidden/>
    <w:qFormat/>
    <w:uiPriority w:val="0"/>
    <w:rPr>
      <w:rFonts w:ascii="Times New Roman" w:hAnsi="Times New Roman" w:eastAsia="宋体" w:cs="Times New Roman"/>
      <w:kern w:val="2"/>
      <w:sz w:val="21"/>
      <w:szCs w:val="22"/>
      <w:lang w:val="en-US" w:eastAsia="zh-CN" w:bidi="ar-SA"/>
    </w:rPr>
  </w:style>
  <w:style w:type="paragraph" w:customStyle="1" w:styleId="343">
    <w:name w:val="正文注释"/>
    <w:basedOn w:val="342"/>
    <w:next w:val="1"/>
    <w:semiHidden/>
    <w:qFormat/>
    <w:uiPriority w:val="0"/>
    <w:pPr>
      <w:ind w:left="400" w:leftChars="200" w:hanging="200" w:hangingChars="200"/>
    </w:pPr>
    <w:rPr>
      <w:rFonts w:ascii="Tahoma" w:hAnsi="Tahoma"/>
      <w:spacing w:val="8"/>
      <w:sz w:val="18"/>
      <w:szCs w:val="21"/>
    </w:rPr>
  </w:style>
  <w:style w:type="paragraph" w:customStyle="1" w:styleId="344">
    <w:name w:val="表格(编号)"/>
    <w:basedOn w:val="340"/>
    <w:semiHidden/>
    <w:qFormat/>
    <w:uiPriority w:val="0"/>
    <w:pPr>
      <w:numPr>
        <w:ilvl w:val="0"/>
        <w:numId w:val="8"/>
      </w:numPr>
      <w:ind w:left="0" w:firstLine="0"/>
    </w:pPr>
  </w:style>
  <w:style w:type="character" w:customStyle="1" w:styleId="345">
    <w:name w:val="l-selected2"/>
    <w:basedOn w:val="48"/>
    <w:qFormat/>
    <w:uiPriority w:val="0"/>
    <w:rPr>
      <w:color w:val="355686"/>
      <w:bdr w:val="single" w:color="DAB364" w:sz="6" w:space="0"/>
      <w:shd w:val="clear" w:color="auto" w:fill="FFFFFF"/>
    </w:rPr>
  </w:style>
  <w:style w:type="character" w:customStyle="1" w:styleId="346">
    <w:name w:val="l-over"/>
    <w:basedOn w:val="48"/>
    <w:qFormat/>
    <w:uiPriority w:val="0"/>
    <w:rPr>
      <w:bdr w:val="single" w:color="DAB364" w:sz="6" w:space="0"/>
    </w:rPr>
  </w:style>
  <w:style w:type="character" w:customStyle="1" w:styleId="347">
    <w:name w:val="l-open"/>
    <w:basedOn w:val="48"/>
    <w:qFormat/>
    <w:uiPriority w:val="0"/>
  </w:style>
  <w:style w:type="character" w:customStyle="1" w:styleId="348">
    <w:name w:val="icon"/>
    <w:basedOn w:val="48"/>
    <w:qFormat/>
    <w:uiPriority w:val="0"/>
  </w:style>
  <w:style w:type="character" w:customStyle="1" w:styleId="349">
    <w:name w:val="icon1"/>
    <w:basedOn w:val="48"/>
    <w:qFormat/>
    <w:uiPriority w:val="0"/>
  </w:style>
  <w:style w:type="character" w:customStyle="1" w:styleId="350">
    <w:name w:val="font11"/>
    <w:qFormat/>
    <w:uiPriority w:val="0"/>
    <w:rPr>
      <w:rFonts w:hint="eastAsia" w:ascii="宋体" w:hAnsi="宋体" w:eastAsia="宋体" w:cs="宋体"/>
      <w:color w:val="000000"/>
      <w:sz w:val="18"/>
      <w:szCs w:val="18"/>
      <w:u w:val="none"/>
    </w:rPr>
  </w:style>
  <w:style w:type="paragraph" w:customStyle="1" w:styleId="351">
    <w:name w:val="_Style 2"/>
    <w:qFormat/>
    <w:uiPriority w:val="1"/>
    <w:pPr>
      <w:widowControl w:val="0"/>
      <w:jc w:val="both"/>
    </w:pPr>
    <w:rPr>
      <w:rFonts w:ascii="Calibri" w:hAnsi="Calibri" w:eastAsia="宋体" w:cs="Times New Roman"/>
      <w:kern w:val="2"/>
      <w:sz w:val="21"/>
      <w:szCs w:val="24"/>
      <w:lang w:val="en-US" w:eastAsia="zh-CN" w:bidi="ar-SA"/>
    </w:rPr>
  </w:style>
  <w:style w:type="character" w:customStyle="1" w:styleId="352">
    <w:name w:val="font01"/>
    <w:basedOn w:val="48"/>
    <w:qFormat/>
    <w:uiPriority w:val="0"/>
    <w:rPr>
      <w:rFonts w:hint="eastAsia" w:ascii="宋体" w:hAnsi="宋体" w:eastAsia="宋体" w:cs="宋体"/>
      <w:color w:val="000000"/>
      <w:sz w:val="22"/>
      <w:szCs w:val="22"/>
      <w:u w:val="none"/>
    </w:rPr>
  </w:style>
  <w:style w:type="character" w:customStyle="1" w:styleId="353">
    <w:name w:val="段 Char Char"/>
    <w:qFormat/>
    <w:uiPriority w:val="0"/>
    <w:rPr>
      <w:rFonts w:ascii="宋体" w:eastAsia="Times New Roman"/>
    </w:rPr>
  </w:style>
  <w:style w:type="paragraph" w:styleId="354">
    <w:name w:val="List Paragraph"/>
    <w:basedOn w:val="1"/>
    <w:qFormat/>
    <w:uiPriority w:val="99"/>
    <w:pPr>
      <w:ind w:firstLine="420" w:firstLineChars="200"/>
    </w:pPr>
  </w:style>
  <w:style w:type="paragraph" w:customStyle="1" w:styleId="355">
    <w:name w:val="2z"/>
    <w:basedOn w:val="160"/>
    <w:qFormat/>
    <w:uiPriority w:val="0"/>
    <w:pPr>
      <w:spacing w:line="480" w:lineRule="auto"/>
    </w:pPr>
    <w:rPr>
      <w:rFonts w:ascii="Times New Roman" w:hAnsi="Times New Roman" w:eastAsia="宋体" w:cs="Times New Roman"/>
    </w:rPr>
  </w:style>
  <w:style w:type="character" w:customStyle="1" w:styleId="356">
    <w:name w:val="zt Char Char"/>
    <w:link w:val="357"/>
    <w:qFormat/>
    <w:uiPriority w:val="0"/>
    <w:rPr>
      <w:rFonts w:ascii="EU-F1" w:hAnsi="Times New Roman" w:eastAsia="EU-F1" w:cs="Times New Roman"/>
      <w:bCs/>
      <w:szCs w:val="21"/>
    </w:rPr>
  </w:style>
  <w:style w:type="paragraph" w:customStyle="1" w:styleId="357">
    <w:name w:val="zt"/>
    <w:basedOn w:val="1"/>
    <w:link w:val="356"/>
    <w:qFormat/>
    <w:uiPriority w:val="0"/>
    <w:pPr>
      <w:overflowPunct w:val="0"/>
      <w:spacing w:line="312" w:lineRule="exact"/>
    </w:pPr>
    <w:rPr>
      <w:rFonts w:ascii="EU-F1" w:hAnsi="Times New Roman" w:eastAsia="EU-F1" w:cs="Times New Roman"/>
      <w:bCs/>
      <w:szCs w:val="21"/>
    </w:rPr>
  </w:style>
  <w:style w:type="paragraph" w:customStyle="1" w:styleId="358">
    <w:name w:val="3z"/>
    <w:qFormat/>
    <w:uiPriority w:val="0"/>
    <w:pPr>
      <w:widowControl w:val="0"/>
      <w:spacing w:line="312" w:lineRule="exact"/>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09756-98FC-4FAC-B084-0C5AD83EBBB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8515</Words>
  <Characters>9504</Characters>
  <Lines>136</Lines>
  <Paragraphs>38</Paragraphs>
  <TotalTime>6</TotalTime>
  <ScaleCrop>false</ScaleCrop>
  <LinksUpToDate>false</LinksUpToDate>
  <CharactersWithSpaces>9836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2021-04-26T00:44:00Z</dcterms:created>
  <dc:creator>jameslee</dc:creator>
  <cp:lastModifiedBy>况华</cp:lastModifiedBy>
  <cp:lastPrinted>2016-06-07T03:53:00Z</cp:lastPrinted>
  <dcterms:modified xsi:type="dcterms:W3CDTF">2025-08-07T07:59:48Z</dcterms:modified>
  <dc:title>配电线路故障指示器技术规范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11ADFDA499E04857B158B2B1DBE43834_13</vt:lpwstr>
  </property>
  <property fmtid="{D5CDD505-2E9C-101B-9397-08002B2CF9AE}" pid="5" name="KSOTemplateDocerSaveRecord">
    <vt:lpwstr>eyJoZGlkIjoiMjM5MmUxYzkyNDVjY2RhM2NiY2MyNTMyM2ZiYTA2ODQiLCJ1c2VySWQiOiI2NDU2OTE2MzUifQ==</vt:lpwstr>
  </property>
</Properties>
</file>