
<file path=[Content_Types].xml><?xml version="1.0" encoding="utf-8"?>
<Types xmlns="http://schemas.openxmlformats.org/package/2006/content-types">
  <Default Extension="xml" ContentType="application/xml"/>
  <Default Extension="emf" ContentType="image/x-emf"/>
  <Default Extension="bin" ContentType="application/vnd.openxmlformats-officedocument.oleObject"/>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7DBC8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甲方</w:t>
      </w:r>
      <w:r>
        <w:rPr>
          <w:rFonts w:hint="eastAsia" w:ascii="宋体" w:hAnsi="宋体" w:eastAsia="宋体" w:cs="宋体"/>
          <w:color w:val="auto"/>
          <w:sz w:val="28"/>
          <w:szCs w:val="28"/>
          <w:shd w:val="clear" w:color="auto" w:fill="auto"/>
          <w:lang w:eastAsia="zh-CN"/>
        </w:rPr>
        <w:t>（发包人）</w:t>
      </w:r>
      <w:r>
        <w:rPr>
          <w:rFonts w:hint="eastAsia" w:ascii="宋体" w:hAnsi="宋体" w:eastAsia="宋体" w:cs="宋体"/>
          <w:color w:val="auto"/>
          <w:sz w:val="28"/>
          <w:szCs w:val="28"/>
          <w:shd w:val="clear" w:color="auto" w:fill="auto"/>
        </w:rPr>
        <w:t>：</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7feb1e9c-935d-4bde-87ef-3aef11f799f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14:paraId="17CB230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54f09f6e-b9ff-473c-8877-d165d947501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14:paraId="715ABCF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c885c832-cf96-450e-84f5-fccaf5b7cce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14:paraId="5531D5D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0c6eb977-1938-4362-b5ef-9caefc680d9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14:paraId="2BCC73B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2be42cba-8967-4563-9447-9f36073fb73d}"/>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3CD4F3C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c2d62c70-515b-495c-8e27-953ec9027e23}"/>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14:paraId="4E4183C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10f86cf3-9f34-465d-8149-77bb1a0d12e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14:paraId="0EE6D973">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92a1ee99-a2ca-49ff-8114-bf3b6493c499}"/>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14:paraId="6CE82F35">
      <w:pPr>
        <w:pStyle w:val="2"/>
        <w:keepNext w:val="0"/>
        <w:keepLines w:val="0"/>
        <w:pageBreakBefore w:val="0"/>
        <w:kinsoku/>
        <w:wordWrap/>
        <w:overflowPunct/>
        <w:topLinePunct w:val="0"/>
        <w:autoSpaceDE/>
        <w:autoSpaceDN/>
        <w:bidi w:val="0"/>
        <w:adjustRightInd/>
        <w:snapToGrid/>
        <w:spacing w:after="0" w:line="540" w:lineRule="exact"/>
        <w:textAlignment w:val="auto"/>
        <w:rPr>
          <w:rFonts w:hint="eastAsia" w:ascii="宋体" w:hAnsi="宋体" w:eastAsia="宋体" w:cs="宋体"/>
          <w:color w:val="auto"/>
          <w:sz w:val="28"/>
          <w:szCs w:val="28"/>
          <w:shd w:val="clear" w:color="auto" w:fill="auto"/>
          <w:lang w:val="en-US" w:eastAsia="zh-CN"/>
        </w:rPr>
      </w:pPr>
    </w:p>
    <w:p w14:paraId="2F455D8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lang w:eastAsia="zh-CN"/>
        </w:rPr>
        <w:t>（承包人）</w:t>
      </w:r>
      <w:r>
        <w:rPr>
          <w:rFonts w:hint="eastAsia" w:ascii="宋体" w:hAnsi="宋体" w:eastAsia="宋体" w:cs="宋体"/>
          <w:color w:val="auto"/>
          <w:sz w:val="28"/>
          <w:szCs w:val="28"/>
          <w:shd w:val="clear" w:color="auto" w:fill="auto"/>
        </w:rPr>
        <w:t>：</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798d85fd-c93f-4ba5-8897-d567854302d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14:paraId="1C90435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be16f986-a021-4f0a-91f7-a0867c2a3be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14:paraId="6286611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cc389df1-5234-4af4-868b-a03089f421c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14:paraId="36DCFB8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91f198a3-7b6d-4c2c-9d7e-fbfb3b906ba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14:paraId="10052CE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01d5609e-3585-44cb-8d8d-126582c09630}"/>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3A5A0C1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39f07ea4-c86f-4728-96de-8317e53ba39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14:paraId="0F94571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fc25be13-d0b3-4800-bdf3-73d93eba2589}"/>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14:paraId="00789129">
      <w:pPr>
        <w:pStyle w:val="291"/>
        <w:keepNext w:val="0"/>
        <w:keepLines w:val="0"/>
        <w:pageBreakBefore w:val="0"/>
        <w:widowControl/>
        <w:tabs>
          <w:tab w:val="right" w:leader="dot" w:pos="8306"/>
        </w:tabs>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sectPr>
          <w:footerReference r:id="rId3"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c02ebb3b-355d-4e85-87e8-33e9d3ed525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p>
    <w:p w14:paraId="2C86CA49">
      <w:pPr>
        <w:pStyle w:val="25"/>
        <w:keepLines w:val="0"/>
        <w:pageBreakBefore w:val="0"/>
        <w:kinsoku/>
        <w:wordWrap/>
        <w:topLinePunct w:val="0"/>
        <w:bidi w:val="0"/>
        <w:spacing w:line="540" w:lineRule="exact"/>
        <w:ind w:left="2530" w:hanging="2530"/>
        <w:jc w:val="center"/>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lang w:val="en-US" w:eastAsia="zh-CN"/>
        </w:rPr>
        <w:t xml:space="preserve">第一节 </w:t>
      </w:r>
      <w:r>
        <w:rPr>
          <w:rFonts w:hint="eastAsia" w:ascii="宋体" w:hAnsi="宋体" w:eastAsia="宋体" w:cs="宋体"/>
          <w:b/>
          <w:color w:val="auto"/>
          <w:sz w:val="28"/>
          <w:szCs w:val="28"/>
          <w:highlight w:val="none"/>
          <w:shd w:val="clear" w:color="auto" w:fill="auto"/>
        </w:rPr>
        <w:t>合同协议书</w:t>
      </w:r>
    </w:p>
    <w:p w14:paraId="57582BBA">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536097459"/>
          <w:placeholder>
            <w:docPart w:val="{9e7e33dc-ff9d-404c-b316-6ad34c6b94b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6" w:edGrp="everyone"/>
          <w:r>
            <w:rPr>
              <w:rFonts w:hint="eastAsia" w:ascii="宋体" w:hAnsi="宋体" w:eastAsia="宋体" w:cs="宋体"/>
              <w:color w:val="auto"/>
              <w:sz w:val="28"/>
              <w:szCs w:val="28"/>
              <w:u w:val="single"/>
              <w:shd w:val="clear" w:color="auto" w:fill="auto"/>
              <w:lang w:val="en-US" w:eastAsia="zh-CN"/>
            </w:rPr>
            <w:t xml:space="preserve">                   </w:t>
          </w:r>
          <w:permEnd w:id="16"/>
        </w:sdtContent>
      </w:sdt>
      <w:r>
        <w:rPr>
          <w:rFonts w:hint="eastAsia" w:ascii="宋体" w:hAnsi="宋体" w:eastAsia="宋体" w:cs="宋体"/>
          <w:color w:val="auto"/>
          <w:sz w:val="28"/>
          <w:szCs w:val="28"/>
          <w:highlight w:val="none"/>
          <w:shd w:val="clear" w:color="auto" w:fill="auto"/>
        </w:rPr>
        <w:t>(以下称发包人)拟修建</w:t>
      </w:r>
      <w:permStart w:id="17" w:edGrp="everyone"/>
      <w:r>
        <w:rPr>
          <w:rFonts w:hint="eastAsia" w:ascii="宋体" w:hAnsi="宋体" w:eastAsia="宋体" w:cs="宋体"/>
          <w:color w:val="auto"/>
          <w:sz w:val="28"/>
          <w:szCs w:val="28"/>
          <w:highlight w:val="none"/>
          <w:u w:val="single"/>
          <w:shd w:val="clear" w:color="auto" w:fill="auto"/>
        </w:rPr>
        <w:t>XXX抽水蓄能电站XXX工程</w:t>
      </w:r>
      <w:permEnd w:id="17"/>
      <w:r>
        <w:rPr>
          <w:rFonts w:hint="eastAsia" w:ascii="宋体" w:hAnsi="宋体" w:eastAsia="宋体" w:cs="宋体"/>
          <w:color w:val="auto"/>
          <w:sz w:val="28"/>
          <w:szCs w:val="28"/>
          <w:highlight w:val="none"/>
          <w:shd w:val="clear" w:color="auto" w:fill="auto"/>
        </w:rPr>
        <w:t>，接受了(以下称承包人)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496094248"/>
          <w:placeholder>
            <w:docPart w:val="{a4626844-a2e6-4172-81e4-070c6dd1814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8"/>
        </w:sdtContent>
      </w:sdt>
      <w:r>
        <w:rPr>
          <w:rFonts w:hint="eastAsia" w:ascii="宋体" w:hAnsi="宋体" w:eastAsia="宋体" w:cs="宋体"/>
          <w:color w:val="auto"/>
          <w:sz w:val="28"/>
          <w:szCs w:val="28"/>
          <w:highlight w:val="none"/>
          <w:shd w:val="clear" w:color="auto" w:fill="auto"/>
        </w:rPr>
        <w:t>的投标，双方达成如下协议，合同</w:t>
      </w:r>
      <w:r>
        <w:rPr>
          <w:rFonts w:hint="eastAsia" w:ascii="宋体" w:hAnsi="宋体" w:eastAsia="宋体" w:cs="宋体"/>
          <w:color w:val="auto"/>
          <w:sz w:val="28"/>
          <w:szCs w:val="28"/>
          <w:highlight w:val="none"/>
          <w:shd w:val="clear" w:color="auto" w:fill="auto"/>
          <w:lang w:val="en-US" w:eastAsia="zh-CN"/>
        </w:rPr>
        <w:t>预计</w:t>
      </w:r>
      <w:r>
        <w:rPr>
          <w:rFonts w:hint="eastAsia" w:ascii="宋体" w:hAnsi="宋体" w:eastAsia="宋体" w:cs="宋体"/>
          <w:color w:val="auto"/>
          <w:sz w:val="28"/>
          <w:szCs w:val="28"/>
          <w:highlight w:val="none"/>
          <w:shd w:val="clear" w:color="auto" w:fill="auto"/>
        </w:rPr>
        <w:t>总金额为人民币</w:t>
      </w:r>
      <w:r>
        <w:rPr>
          <w:rFonts w:hint="eastAsia" w:ascii="宋体" w:hAnsi="宋体" w:eastAsia="宋体" w:cs="宋体"/>
          <w:color w:val="auto"/>
          <w:sz w:val="28"/>
          <w:szCs w:val="28"/>
          <w:highlight w:val="none"/>
          <w:shd w:val="clear" w:color="auto" w:fill="auto"/>
          <w:lang w:val="en-US" w:eastAsia="zh-CN"/>
        </w:rPr>
        <w:t>含税价</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36"/>
            <w:shd w:val="clear" w:color="auto" w:fill="auto"/>
            <w:lang w:val="en-US" w:eastAsia="zh-CN" w:bidi="ar-SA"/>
          </w:rPr>
          <w:alias w:val="合同大写金额"/>
          <w:tag w:val="合同大写金额"/>
          <w:id w:val="147480141"/>
          <w:placeholder>
            <w:docPart w:val="{0ceace3a-f0c6-4e8c-9752-9bf5ed11d794}"/>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19"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9"/>
        </w:sdtContent>
      </w:sdt>
      <w:r>
        <w:rPr>
          <w:rFonts w:hint="eastAsia" w:ascii="宋体" w:hAnsi="宋体" w:eastAsia="宋体" w:cs="宋体"/>
          <w:color w:val="auto"/>
          <w:kern w:val="2"/>
          <w:sz w:val="28"/>
          <w:szCs w:val="36"/>
          <w:shd w:val="clear" w:color="auto" w:fill="auto"/>
          <w:lang w:val="en-US" w:eastAsia="zh-CN" w:bidi="ar-SA"/>
        </w:rPr>
        <w:t>元</w:t>
      </w:r>
      <w:r>
        <w:rPr>
          <w:rFonts w:hint="eastAsia" w:ascii="宋体" w:hAnsi="宋体" w:eastAsia="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36"/>
            <w:shd w:val="clear" w:color="auto" w:fill="auto"/>
            <w:lang w:val="en-US" w:eastAsia="zh-CN" w:bidi="ar-SA"/>
          </w:rPr>
          <w:alias w:val="合同金额"/>
          <w:tag w:val="合同金额"/>
          <w:id w:val="117487060"/>
          <w:placeholder>
            <w:docPart w:val="{630476fd-b1d6-4103-8da9-fd2e311dd6ac}"/>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20"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20"/>
        </w:sdtContent>
      </w:sdt>
      <w:r>
        <w:rPr>
          <w:rFonts w:hint="eastAsia" w:ascii="宋体" w:hAnsi="宋体" w:eastAsia="宋体" w:cs="宋体"/>
          <w:color w:val="auto"/>
          <w:sz w:val="28"/>
          <w:szCs w:val="28"/>
          <w:highlight w:val="none"/>
          <w:shd w:val="clear" w:color="auto" w:fill="auto"/>
          <w:lang w:val="en-US" w:eastAsia="zh-CN"/>
        </w:rPr>
        <w:t>），其中不含税价大写</w:t>
      </w:r>
      <w:sdt>
        <w:sdtPr>
          <w:rPr>
            <w:rFonts w:hint="eastAsia" w:ascii="宋体" w:hAnsi="宋体" w:eastAsia="宋体" w:cs="宋体"/>
            <w:color w:val="auto"/>
            <w:kern w:val="2"/>
            <w:sz w:val="28"/>
            <w:szCs w:val="36"/>
            <w:shd w:val="clear" w:color="auto" w:fill="auto"/>
            <w:lang w:val="en-US" w:eastAsia="zh-CN" w:bidi="ar-SA"/>
          </w:rPr>
          <w:alias w:val="不含税价大写金额"/>
          <w:tag w:val="不含税价大写金额"/>
          <w:id w:val="506019336"/>
          <w:placeholder>
            <w:docPart w:val="{d9a6611c-9c7d-4e97-bb27-01c8bee74238}"/>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21"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21"/>
        </w:sdtContent>
      </w:sdt>
      <w:r>
        <w:rPr>
          <w:rFonts w:hint="eastAsia" w:ascii="宋体" w:hAnsi="宋体" w:eastAsia="宋体" w:cs="宋体"/>
          <w:color w:val="auto"/>
          <w:sz w:val="28"/>
          <w:szCs w:val="28"/>
          <w:highlight w:val="none"/>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64787"/>
          <w:placeholder>
            <w:docPart w:val="{794e84b7-2f49-4585-8ed8-50cc35c32da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2" w:edGrp="everyone"/>
          <w:r>
            <w:rPr>
              <w:rFonts w:hint="eastAsia" w:ascii="宋体" w:hAnsi="宋体" w:eastAsia="宋体" w:cs="宋体"/>
              <w:color w:val="auto"/>
              <w:sz w:val="28"/>
              <w:szCs w:val="28"/>
              <w:u w:val="single"/>
              <w:shd w:val="clear" w:color="auto" w:fill="auto"/>
              <w:lang w:val="en-US" w:eastAsia="zh-CN"/>
            </w:rPr>
            <w:t xml:space="preserve">    </w:t>
          </w:r>
          <w:permEnd w:id="22"/>
        </w:sdtContent>
      </w:sdt>
      <w:r>
        <w:rPr>
          <w:rFonts w:hint="eastAsia" w:ascii="宋体" w:hAnsi="宋体" w:eastAsia="宋体" w:cs="宋体"/>
          <w:color w:val="auto"/>
          <w:sz w:val="28"/>
          <w:szCs w:val="28"/>
          <w:highlight w:val="none"/>
          <w:shd w:val="clear" w:color="auto" w:fill="auto"/>
          <w:lang w:val="en-US" w:eastAsia="zh-CN"/>
        </w:rPr>
        <w:t>），税率为</w:t>
      </w:r>
      <w:sdt>
        <w:sdtPr>
          <w:rPr>
            <w:rFonts w:hint="eastAsia" w:ascii="宋体" w:hAnsi="宋体" w:eastAsia="宋体" w:cs="宋体"/>
            <w:color w:val="auto"/>
            <w:kern w:val="2"/>
            <w:sz w:val="28"/>
            <w:szCs w:val="36"/>
            <w:shd w:val="clear" w:color="auto" w:fill="auto"/>
            <w:lang w:val="en-US" w:eastAsia="zh-CN" w:bidi="ar-SA"/>
          </w:rPr>
          <w:alias w:val="税率"/>
          <w:tag w:val="税率"/>
          <w:id w:val="631738032"/>
          <w:placeholder>
            <w:docPart w:val="{6e42aee7-d373-465b-bda7-06412b74b418}"/>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2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23"/>
        </w:sdtContent>
      </w:sdt>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增值税为</w:t>
      </w:r>
      <w:r>
        <w:rPr>
          <w:rFonts w:hint="eastAsia" w:ascii="宋体" w:hAnsi="宋体" w:eastAsia="宋体" w:cs="宋体"/>
          <w:color w:val="auto"/>
          <w:sz w:val="28"/>
          <w:szCs w:val="28"/>
          <w:highlight w:val="none"/>
          <w:shd w:val="clear" w:color="auto" w:fill="auto"/>
        </w:rPr>
        <w:t>大写</w:t>
      </w:r>
      <w:permStart w:id="24"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24"/>
      <w:r>
        <w:rPr>
          <w:rFonts w:hint="eastAsia" w:ascii="宋体" w:hAnsi="宋体" w:eastAsia="宋体" w:cs="宋体"/>
          <w:color w:val="auto"/>
          <w:kern w:val="2"/>
          <w:sz w:val="28"/>
          <w:szCs w:val="36"/>
          <w:shd w:val="clear" w:color="auto" w:fill="auto"/>
          <w:lang w:val="en-US" w:eastAsia="zh-CN" w:bidi="ar-SA"/>
        </w:rPr>
        <w:t>元</w:t>
      </w:r>
      <w:r>
        <w:rPr>
          <w:rFonts w:hint="eastAsia" w:ascii="宋体" w:hAnsi="宋体" w:eastAsia="宋体" w:cs="宋体"/>
          <w:color w:val="auto"/>
          <w:sz w:val="28"/>
          <w:szCs w:val="28"/>
          <w:highlight w:val="none"/>
          <w:shd w:val="clear" w:color="auto" w:fill="auto"/>
          <w:lang w:val="en-US" w:eastAsia="zh-CN"/>
        </w:rPr>
        <w:t>（小写¥</w:t>
      </w:r>
      <w:permStart w:id="25" w:edGrp="everyone"/>
      <w:r>
        <w:rPr>
          <w:rFonts w:hint="eastAsia" w:ascii="宋体" w:hAnsi="宋体" w:eastAsia="宋体" w:cs="宋体"/>
          <w:color w:val="auto"/>
          <w:kern w:val="2"/>
          <w:sz w:val="28"/>
          <w:szCs w:val="36"/>
          <w:u w:val="single"/>
          <w:shd w:val="clear" w:color="auto" w:fill="auto"/>
          <w:lang w:val="en-US" w:eastAsia="zh-CN" w:bidi="ar-SA"/>
        </w:rPr>
        <w:t xml:space="preserve">       </w:t>
      </w:r>
      <w:sdt>
        <w:sdtPr>
          <w:rPr>
            <w:rFonts w:hint="eastAsia" w:ascii="宋体" w:hAnsi="宋体" w:eastAsia="宋体" w:cs="宋体"/>
            <w:color w:val="auto"/>
            <w:kern w:val="2"/>
            <w:sz w:val="28"/>
            <w:szCs w:val="36"/>
            <w:shd w:val="clear" w:color="auto" w:fill="auto"/>
            <w:lang w:val="en-US" w:eastAsia="zh-CN" w:bidi="ar-SA"/>
          </w:rPr>
          <w:alias w:val="税率"/>
          <w:tag w:val="税率"/>
          <w:id w:val="455730843"/>
          <w:placeholder>
            <w:docPart w:val="{6995ab72-840d-4ead-ae9c-ebaca2f6e291}"/>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End w:id="25"/>
        </w:sdtContent>
      </w:sdt>
      <w:r>
        <w:rPr>
          <w:rFonts w:hint="eastAsia" w:ascii="宋体" w:hAnsi="宋体" w:eastAsia="宋体" w:cs="宋体"/>
          <w:color w:val="auto"/>
          <w:kern w:val="2"/>
          <w:sz w:val="28"/>
          <w:szCs w:val="36"/>
          <w:shd w:val="clear" w:color="auto" w:fill="auto"/>
          <w:lang w:val="en-US" w:eastAsia="zh-CN" w:bidi="ar-SA"/>
        </w:rPr>
        <w:t>。</w:t>
      </w:r>
      <w:r>
        <w:rPr>
          <w:rFonts w:hint="eastAsia" w:ascii="宋体" w:hAnsi="宋体" w:eastAsia="宋体" w:cs="宋体"/>
          <w:color w:val="auto"/>
          <w:sz w:val="28"/>
          <w:szCs w:val="28"/>
          <w:highlight w:val="none"/>
          <w:shd w:val="clear" w:color="auto" w:fill="auto"/>
          <w:lang w:val="en-US" w:eastAsia="zh-CN"/>
        </w:rPr>
        <w:t>如不同单项有不同税率，在报价文件中逐一明确。</w:t>
      </w:r>
      <w:permStart w:id="26" w:edGrp="everyone"/>
      <w:r>
        <w:rPr>
          <w:rFonts w:hint="eastAsia" w:ascii="宋体" w:hAnsi="宋体" w:eastAsia="宋体" w:cs="宋体"/>
          <w:color w:val="auto"/>
          <w:sz w:val="28"/>
          <w:szCs w:val="28"/>
          <w:highlight w:val="none"/>
          <w:shd w:val="clear" w:color="auto" w:fill="auto"/>
        </w:rPr>
        <w:t>本合同为固定单价合同。</w:t>
      </w:r>
      <w:permEnd w:id="26"/>
    </w:p>
    <w:p w14:paraId="1B18343E">
      <w:pPr>
        <w:keepNext w:val="0"/>
        <w:keepLines w:val="0"/>
        <w:pageBreakBefore w:val="0"/>
        <w:widowControl w:val="0"/>
        <w:numPr>
          <w:ilvl w:val="0"/>
          <w:numId w:val="3"/>
        </w:numPr>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本协议书中的词语涵义与下述第2条所列的专用合同条款和通用合同条款中的词语涵义相同。</w:t>
      </w:r>
    </w:p>
    <w:p w14:paraId="2DBFDB72">
      <w:pPr>
        <w:keepNext w:val="0"/>
        <w:keepLines w:val="0"/>
        <w:pageBreakBefore w:val="0"/>
        <w:widowControl w:val="0"/>
        <w:numPr>
          <w:ilvl w:val="0"/>
          <w:numId w:val="3"/>
        </w:numPr>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本合同包括下列文件：</w:t>
      </w:r>
    </w:p>
    <w:p w14:paraId="204FADA8">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（1）合同协议书（包括补充协议）；</w:t>
      </w:r>
    </w:p>
    <w:p w14:paraId="1D8033D4">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（2）中标通知书；</w:t>
      </w:r>
    </w:p>
    <w:p w14:paraId="7E31A1B6">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（3）投标函及投标函附录；</w:t>
      </w:r>
    </w:p>
    <w:p w14:paraId="5A7A2268">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（4）专用合同条款；</w:t>
      </w:r>
    </w:p>
    <w:p w14:paraId="550F6D9C">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（5）通用合同条款；</w:t>
      </w:r>
    </w:p>
    <w:p w14:paraId="0D014B37">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（6）技术条款；</w:t>
      </w:r>
    </w:p>
    <w:p w14:paraId="51B1755D">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（7）招标文件；</w:t>
      </w:r>
    </w:p>
    <w:p w14:paraId="7250C085">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（8）投标文件；</w:t>
      </w:r>
    </w:p>
    <w:p w14:paraId="4A739B2A">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（9）图纸；</w:t>
      </w:r>
    </w:p>
    <w:p w14:paraId="3B6CB688">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（10）已标价工程量清单；</w:t>
      </w:r>
    </w:p>
    <w:p w14:paraId="5F72D88E">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（11）经双方确认进入合同的其他合同文件。</w:t>
      </w:r>
    </w:p>
    <w:p w14:paraId="2187A2FC">
      <w:pPr>
        <w:keepNext w:val="0"/>
        <w:keepLines w:val="0"/>
        <w:pageBreakBefore w:val="0"/>
        <w:widowControl w:val="0"/>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上列文件汇集并代替了本协议书签订前双方为本合同签订的所有协议、会谈记录以及相互承诺的一切文件。构成合同的上述文件是一个整体，相互说明、互为补充，如上述文件条文有含义不明确之处，或当文件间相互矛盾时，位置排列在前面的文件优先，时间顺序在后的优先。</w:t>
      </w:r>
    </w:p>
    <w:p w14:paraId="4588459E">
      <w:pPr>
        <w:keepNext w:val="0"/>
        <w:keepLines w:val="0"/>
        <w:pageBreakBefore w:val="0"/>
        <w:widowControl w:val="0"/>
        <w:numPr>
          <w:ilvl w:val="0"/>
          <w:numId w:val="3"/>
        </w:numPr>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经双方</w:t>
      </w:r>
      <w:r>
        <w:rPr>
          <w:rFonts w:hint="eastAsia" w:asciiTheme="minorEastAsia" w:hAnsiTheme="minorEastAsia"/>
          <w:color w:val="auto"/>
          <w:sz w:val="28"/>
          <w:szCs w:val="28"/>
          <w:shd w:val="clear" w:color="auto" w:fill="auto"/>
          <w:lang w:val="en-US" w:eastAsia="zh-CN"/>
        </w:rPr>
        <w:t>法定代表人（负责人）或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14:paraId="23E98EF0">
      <w:pPr>
        <w:keepNext w:val="0"/>
        <w:keepLines w:val="0"/>
        <w:pageBreakBefore w:val="0"/>
        <w:widowControl w:val="0"/>
        <w:numPr>
          <w:ilvl w:val="0"/>
          <w:numId w:val="3"/>
        </w:numPr>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本合同一式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3386d70c-c9a3-46cb-9f46-bb28942b8397}"/>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7" w:edGrp="everyone"/>
          <w:r>
            <w:rPr>
              <w:rFonts w:hint="eastAsia" w:cstheme="minorBidi"/>
              <w:color w:val="auto"/>
              <w:kern w:val="2"/>
              <w:sz w:val="28"/>
              <w:szCs w:val="36"/>
              <w:u w:val="single"/>
              <w:shd w:val="clear" w:color="auto" w:fill="auto"/>
              <w:lang w:val="en-US" w:eastAsia="zh-CN" w:bidi="ar-SA"/>
            </w:rPr>
            <w:t xml:space="preserve">    </w:t>
          </w:r>
          <w:permEnd w:id="27"/>
        </w:sdtContent>
      </w:sdt>
      <w:r>
        <w:rPr>
          <w:rFonts w:hint="eastAsia" w:ascii="宋体" w:hAnsi="宋体" w:eastAsia="宋体" w:cs="宋体"/>
          <w:color w:val="auto"/>
          <w:sz w:val="28"/>
          <w:szCs w:val="28"/>
          <w:highlight w:val="none"/>
          <w:shd w:val="clear" w:color="auto" w:fill="auto"/>
          <w:lang w:val="en-US" w:eastAsia="zh-CN"/>
        </w:rPr>
        <w:t>份。其中正本</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541593099"/>
          <w:placeholder>
            <w:docPart w:val="{3b93413d-22b9-4bc7-9a69-b0370f1bd0ef}"/>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8" w:edGrp="everyone"/>
          <w:r>
            <w:rPr>
              <w:rFonts w:hint="eastAsia" w:cstheme="minorBidi"/>
              <w:color w:val="auto"/>
              <w:kern w:val="2"/>
              <w:sz w:val="28"/>
              <w:szCs w:val="36"/>
              <w:u w:val="single"/>
              <w:shd w:val="clear" w:color="auto" w:fill="auto"/>
              <w:lang w:val="en-US" w:eastAsia="zh-CN" w:bidi="ar-SA"/>
            </w:rPr>
            <w:t xml:space="preserve">    </w:t>
          </w:r>
          <w:permEnd w:id="28"/>
        </w:sdtContent>
      </w:sdt>
      <w:r>
        <w:rPr>
          <w:rFonts w:hint="eastAsia" w:ascii="宋体" w:hAnsi="宋体" w:eastAsia="宋体" w:cs="宋体"/>
          <w:color w:val="auto"/>
          <w:sz w:val="28"/>
          <w:szCs w:val="28"/>
          <w:highlight w:val="none"/>
          <w:shd w:val="clear" w:color="auto" w:fill="auto"/>
          <w:lang w:val="en-US" w:eastAsia="zh-CN"/>
        </w:rPr>
        <w:t>份，发包人执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65013838"/>
          <w:placeholder>
            <w:docPart w:val="{132ba49d-efeb-4b2e-a105-3211656cb038}"/>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29" w:edGrp="everyone"/>
          <w:r>
            <w:rPr>
              <w:rFonts w:hint="eastAsia" w:cstheme="minorBidi"/>
              <w:color w:val="auto"/>
              <w:kern w:val="2"/>
              <w:sz w:val="28"/>
              <w:szCs w:val="36"/>
              <w:u w:val="single"/>
              <w:shd w:val="clear" w:color="auto" w:fill="auto"/>
              <w:lang w:val="en-US" w:eastAsia="zh-CN" w:bidi="ar-SA"/>
            </w:rPr>
            <w:t xml:space="preserve">    </w:t>
          </w:r>
          <w:permEnd w:id="29"/>
        </w:sdtContent>
      </w:sdt>
      <w:r>
        <w:rPr>
          <w:rFonts w:hint="eastAsia" w:ascii="宋体" w:hAnsi="宋体" w:eastAsia="宋体" w:cs="宋体"/>
          <w:color w:val="auto"/>
          <w:sz w:val="28"/>
          <w:szCs w:val="28"/>
          <w:highlight w:val="none"/>
          <w:shd w:val="clear" w:color="auto" w:fill="auto"/>
          <w:lang w:val="en-US" w:eastAsia="zh-CN"/>
        </w:rPr>
        <w:t>份，承包人执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986186989"/>
          <w:placeholder>
            <w:docPart w:val="{fe407bf9-85f9-4d14-9915-6937193b8605}"/>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0" w:edGrp="everyone"/>
          <w:r>
            <w:rPr>
              <w:rFonts w:hint="eastAsia" w:cstheme="minorBidi"/>
              <w:color w:val="auto"/>
              <w:kern w:val="2"/>
              <w:sz w:val="28"/>
              <w:szCs w:val="36"/>
              <w:u w:val="single"/>
              <w:shd w:val="clear" w:color="auto" w:fill="auto"/>
              <w:lang w:val="en-US" w:eastAsia="zh-CN" w:bidi="ar-SA"/>
            </w:rPr>
            <w:t xml:space="preserve">    </w:t>
          </w:r>
          <w:permEnd w:id="30"/>
        </w:sdtContent>
      </w:sdt>
      <w:r>
        <w:rPr>
          <w:rFonts w:hint="eastAsia" w:ascii="宋体" w:hAnsi="宋体" w:eastAsia="宋体" w:cs="宋体"/>
          <w:color w:val="auto"/>
          <w:sz w:val="28"/>
          <w:szCs w:val="28"/>
          <w:highlight w:val="none"/>
          <w:shd w:val="clear" w:color="auto" w:fill="auto"/>
          <w:lang w:val="en-US" w:eastAsia="zh-CN"/>
        </w:rPr>
        <w:t>份；副本</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565936577"/>
          <w:placeholder>
            <w:docPart w:val="{4609f88d-975c-4c04-9f57-aff16c2af1b1}"/>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宋体" w:hAnsi="宋体" w:eastAsia="宋体" w:cs="宋体"/>
          <w:color w:val="auto"/>
          <w:sz w:val="28"/>
          <w:szCs w:val="28"/>
          <w:highlight w:val="none"/>
          <w:shd w:val="clear" w:color="auto" w:fill="auto"/>
          <w:lang w:val="en-US" w:eastAsia="zh-CN"/>
        </w:rPr>
        <w:t>份，发包人执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490977076"/>
          <w:placeholder>
            <w:docPart w:val="{0b16ac69-e459-4760-8b1c-531b70ca9395}"/>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2" w:edGrp="everyone"/>
          <w:r>
            <w:rPr>
              <w:rFonts w:hint="eastAsia" w:cstheme="minorBidi"/>
              <w:color w:val="auto"/>
              <w:kern w:val="2"/>
              <w:sz w:val="28"/>
              <w:szCs w:val="36"/>
              <w:u w:val="single"/>
              <w:shd w:val="clear" w:color="auto" w:fill="auto"/>
              <w:lang w:val="en-US" w:eastAsia="zh-CN" w:bidi="ar-SA"/>
            </w:rPr>
            <w:t xml:space="preserve">    </w:t>
          </w:r>
          <w:permEnd w:id="32"/>
        </w:sdtContent>
      </w:sdt>
      <w:r>
        <w:rPr>
          <w:rFonts w:hint="eastAsia" w:ascii="宋体" w:hAnsi="宋体" w:eastAsia="宋体" w:cs="宋体"/>
          <w:color w:val="auto"/>
          <w:sz w:val="28"/>
          <w:szCs w:val="28"/>
          <w:highlight w:val="none"/>
          <w:shd w:val="clear" w:color="auto" w:fill="auto"/>
          <w:lang w:val="en-US" w:eastAsia="zh-CN"/>
        </w:rPr>
        <w:t>份，承包人执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219544558"/>
          <w:placeholder>
            <w:docPart w:val="{5b08aed9-f743-4a52-a759-a8dcf2369e25}"/>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3" w:edGrp="everyone"/>
          <w:r>
            <w:rPr>
              <w:rFonts w:hint="eastAsia" w:cstheme="minorBidi"/>
              <w:color w:val="auto"/>
              <w:kern w:val="2"/>
              <w:sz w:val="28"/>
              <w:szCs w:val="36"/>
              <w:u w:val="single"/>
              <w:shd w:val="clear" w:color="auto" w:fill="auto"/>
              <w:lang w:val="en-US" w:eastAsia="zh-CN" w:bidi="ar-SA"/>
            </w:rPr>
            <w:t xml:space="preserve">    </w:t>
          </w:r>
          <w:permEnd w:id="33"/>
        </w:sdtContent>
      </w:sdt>
      <w:r>
        <w:rPr>
          <w:rFonts w:hint="eastAsia" w:ascii="宋体" w:hAnsi="宋体" w:eastAsia="宋体" w:cs="宋体"/>
          <w:color w:val="auto"/>
          <w:sz w:val="28"/>
          <w:szCs w:val="28"/>
          <w:highlight w:val="none"/>
          <w:shd w:val="clear" w:color="auto" w:fill="auto"/>
          <w:lang w:val="en-US" w:eastAsia="zh-CN"/>
        </w:rPr>
        <w:t>份，每份均具有同等法律效力</w:t>
      </w:r>
      <w:r>
        <w:rPr>
          <w:rFonts w:hint="eastAsia" w:ascii="宋体" w:hAnsi="宋体" w:eastAsia="宋体" w:cs="宋体"/>
          <w:color w:val="auto"/>
          <w:sz w:val="28"/>
          <w:szCs w:val="28"/>
          <w:highlight w:val="none"/>
          <w:shd w:val="clear" w:color="auto" w:fill="auto"/>
        </w:rPr>
        <w:t>。</w:t>
      </w:r>
    </w:p>
    <w:p w14:paraId="50C9A637">
      <w:pPr>
        <w:keepNext w:val="0"/>
        <w:keepLines w:val="0"/>
        <w:pageBreakBefore w:val="0"/>
        <w:widowControl w:val="0"/>
        <w:numPr>
          <w:ilvl w:val="0"/>
          <w:numId w:val="3"/>
        </w:numPr>
        <w:kinsoku/>
        <w:wordWrap/>
        <w:overflowPunct/>
        <w:topLinePunct w:val="0"/>
        <w:autoSpaceDE/>
        <w:autoSpaceDN/>
        <w:bidi w:val="0"/>
        <w:adjustRightInd/>
        <w:snapToGrid w:val="0"/>
        <w:spacing w:line="540" w:lineRule="exact"/>
        <w:ind w:left="0" w:leftChars="0" w:right="0" w:firstLine="560" w:firstLineChars="200"/>
        <w:textAlignment w:val="auto"/>
        <w:rPr>
          <w:rFonts w:hint="eastAsia" w:ascii="宋体" w:hAnsi="宋体" w:eastAsia="宋体" w:cs="宋体"/>
          <w:b/>
          <w:bCs/>
          <w:color w:val="auto"/>
          <w:sz w:val="28"/>
          <w:szCs w:val="28"/>
          <w:highlight w:val="none"/>
          <w:shd w:val="clear" w:color="auto" w:fill="auto"/>
        </w:rPr>
      </w:pP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0bf27a89-6a69-46dd-8700-a91961b577bf}"/>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4"/>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14:paraId="6063D93D">
      <w:pPr>
        <w:keepNext w:val="0"/>
        <w:keepLines w:val="0"/>
        <w:pageBreakBefore w:val="0"/>
        <w:widowControl w:val="0"/>
        <w:numPr>
          <w:ilvl w:val="0"/>
          <w:numId w:val="0"/>
        </w:numPr>
        <w:kinsoku/>
        <w:wordWrap/>
        <w:overflowPunct/>
        <w:topLinePunct w:val="0"/>
        <w:autoSpaceDE/>
        <w:autoSpaceDN/>
        <w:bidi w:val="0"/>
        <w:adjustRightInd/>
        <w:snapToGrid w:val="0"/>
        <w:spacing w:line="540" w:lineRule="exact"/>
        <w:ind w:right="0" w:rightChars="0" w:firstLine="561" w:firstLineChars="200"/>
        <w:textAlignment w:val="auto"/>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重要提示条款：合同各方当事人</w:t>
      </w:r>
      <w:r>
        <w:rPr>
          <w:rFonts w:hint="eastAsia" w:ascii="宋体" w:hAnsi="宋体" w:eastAsia="宋体" w:cs="宋体"/>
          <w:b/>
          <w:bCs/>
          <w:color w:val="auto"/>
          <w:sz w:val="28"/>
          <w:szCs w:val="28"/>
          <w:highlight w:val="none"/>
          <w:shd w:val="clear" w:color="auto" w:fill="auto"/>
        </w:rPr>
        <w:t>在签署本合同之前，</w:t>
      </w:r>
      <w:r>
        <w:rPr>
          <w:rFonts w:hint="eastAsia" w:ascii="宋体" w:hAnsi="宋体" w:eastAsia="宋体" w:cs="宋体"/>
          <w:b/>
          <w:bCs/>
          <w:color w:val="auto"/>
          <w:sz w:val="28"/>
          <w:szCs w:val="28"/>
          <w:highlight w:val="none"/>
          <w:shd w:val="clear" w:color="auto" w:fill="auto"/>
          <w:lang w:val="en-US" w:eastAsia="zh-CN"/>
        </w:rPr>
        <w:t>请务必审慎阅读、充分理解各条款内容，特别是违约责任条款、免除或者限制责任条款、法律适用和争议解决条款。合同各方当事人确认，合同格式文本提供方已对合同文本</w:t>
      </w:r>
      <w:r>
        <w:rPr>
          <w:rFonts w:hint="eastAsia" w:ascii="宋体" w:hAnsi="宋体" w:eastAsia="宋体" w:cs="宋体"/>
          <w:b/>
          <w:bCs/>
          <w:color w:val="auto"/>
          <w:sz w:val="28"/>
          <w:szCs w:val="28"/>
          <w:highlight w:val="none"/>
          <w:shd w:val="clear" w:color="auto" w:fill="auto"/>
        </w:rPr>
        <w:t>进行了充分展示和详细说明</w:t>
      </w:r>
      <w:r>
        <w:rPr>
          <w:rFonts w:hint="eastAsia" w:ascii="宋体" w:hAnsi="宋体" w:eastAsia="宋体" w:cs="宋体"/>
          <w:b/>
          <w:bCs/>
          <w:color w:val="auto"/>
          <w:sz w:val="28"/>
          <w:szCs w:val="28"/>
          <w:highlight w:val="none"/>
          <w:shd w:val="clear" w:color="auto" w:fill="auto"/>
          <w:lang w:eastAsia="zh-CN"/>
        </w:rPr>
        <w:t>，</w:t>
      </w:r>
      <w:r>
        <w:rPr>
          <w:rFonts w:hint="eastAsia" w:ascii="宋体" w:hAnsi="宋体" w:eastAsia="宋体" w:cs="宋体"/>
          <w:b/>
          <w:bCs/>
          <w:color w:val="auto"/>
          <w:sz w:val="28"/>
          <w:szCs w:val="28"/>
          <w:highlight w:val="none"/>
          <w:shd w:val="clear" w:color="auto" w:fill="auto"/>
          <w:lang w:val="en-US" w:eastAsia="zh-CN"/>
        </w:rPr>
        <w:t>合同各方当事人</w:t>
      </w:r>
      <w:r>
        <w:rPr>
          <w:rFonts w:hint="eastAsia" w:ascii="宋体" w:hAnsi="宋体" w:eastAsia="宋体" w:cs="宋体"/>
          <w:b/>
          <w:bCs/>
          <w:color w:val="auto"/>
          <w:sz w:val="28"/>
          <w:szCs w:val="28"/>
          <w:highlight w:val="none"/>
          <w:shd w:val="clear" w:color="auto" w:fill="auto"/>
        </w:rPr>
        <w:t>确认在同意订立本合同前，对本合同所有条款及内容已经阅悉，均无异议，并对</w:t>
      </w:r>
      <w:r>
        <w:rPr>
          <w:rFonts w:hint="eastAsia" w:ascii="宋体" w:hAnsi="宋体" w:eastAsia="宋体" w:cs="宋体"/>
          <w:b/>
          <w:bCs/>
          <w:color w:val="auto"/>
          <w:sz w:val="28"/>
          <w:szCs w:val="28"/>
          <w:highlight w:val="none"/>
          <w:shd w:val="clear" w:color="auto" w:fill="auto"/>
          <w:lang w:val="en-US" w:eastAsia="zh-CN"/>
        </w:rPr>
        <w:t>合同各方当事人的</w:t>
      </w:r>
      <w:r>
        <w:rPr>
          <w:rFonts w:hint="eastAsia" w:ascii="宋体" w:hAnsi="宋体" w:eastAsia="宋体" w:cs="宋体"/>
          <w:b/>
          <w:bCs/>
          <w:color w:val="auto"/>
          <w:sz w:val="28"/>
          <w:szCs w:val="28"/>
          <w:highlight w:val="none"/>
          <w:shd w:val="clear" w:color="auto" w:fill="auto"/>
        </w:rPr>
        <w:t>权利义务达成了全面、准确的理解，对</w:t>
      </w:r>
      <w:r>
        <w:rPr>
          <w:rFonts w:hint="eastAsia" w:ascii="宋体" w:hAnsi="宋体" w:eastAsia="宋体" w:cs="宋体"/>
          <w:b/>
          <w:bCs/>
          <w:color w:val="auto"/>
          <w:sz w:val="28"/>
          <w:szCs w:val="28"/>
          <w:highlight w:val="none"/>
          <w:shd w:val="clear" w:color="auto" w:fill="auto"/>
          <w:lang w:val="en-US" w:eastAsia="zh-CN"/>
        </w:rPr>
        <w:t>各方</w:t>
      </w:r>
      <w:r>
        <w:rPr>
          <w:rFonts w:hint="eastAsia" w:ascii="宋体" w:hAnsi="宋体" w:eastAsia="宋体" w:cs="宋体"/>
          <w:b/>
          <w:bCs/>
          <w:color w:val="auto"/>
          <w:sz w:val="28"/>
          <w:szCs w:val="28"/>
          <w:highlight w:val="none"/>
          <w:shd w:val="clear" w:color="auto" w:fill="auto"/>
        </w:rPr>
        <w:t>免除或者限制责任的条款</w:t>
      </w:r>
      <w:r>
        <w:rPr>
          <w:rFonts w:hint="eastAsia" w:ascii="宋体" w:hAnsi="宋体" w:eastAsia="宋体" w:cs="宋体"/>
          <w:b/>
          <w:bCs/>
          <w:color w:val="auto"/>
          <w:sz w:val="28"/>
          <w:szCs w:val="28"/>
          <w:highlight w:val="none"/>
          <w:shd w:val="clear" w:color="auto" w:fill="auto"/>
          <w:lang w:val="en-US" w:eastAsia="zh-CN"/>
        </w:rPr>
        <w:t>均已</w:t>
      </w:r>
      <w:r>
        <w:rPr>
          <w:rFonts w:hint="eastAsia" w:ascii="宋体" w:hAnsi="宋体" w:eastAsia="宋体" w:cs="宋体"/>
          <w:b/>
          <w:bCs/>
          <w:color w:val="auto"/>
          <w:sz w:val="28"/>
          <w:szCs w:val="28"/>
          <w:highlight w:val="none"/>
          <w:shd w:val="clear" w:color="auto" w:fill="auto"/>
        </w:rPr>
        <w:t>有充分了解和预期。</w:t>
      </w:r>
    </w:p>
    <w:p w14:paraId="7A029094">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rPr>
        <w:br w:type="page"/>
      </w:r>
      <w:bookmarkStart w:id="0" w:name="_Toc499715925"/>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名称应与系统界面保持一致。"/>
          <w:tag w:val="合同名称"/>
          <w:id w:val="301459338"/>
          <w:placeholder>
            <w:docPart w:val="{08aa8089-d1f9-43e8-bb3a-85fbed0db47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5" w:edGrp="everyone"/>
          <w:r>
            <w:rPr>
              <w:rFonts w:hint="eastAsia" w:cstheme="minorBidi"/>
              <w:color w:val="auto"/>
              <w:kern w:val="2"/>
              <w:sz w:val="28"/>
              <w:szCs w:val="36"/>
              <w:u w:val="single"/>
              <w:shd w:val="clear" w:color="auto" w:fill="auto"/>
              <w:lang w:val="en-US" w:eastAsia="zh-CN" w:bidi="ar-SA"/>
            </w:rPr>
            <w:t xml:space="preserve">           </w:t>
          </w:r>
          <w:permEnd w:id="35"/>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EastAsia" w:hAnsiTheme="minorEastAsia" w:eastAsiaTheme="minorEastAsia" w:cstheme="minorEastAsia"/>
            <w:color w:val="auto"/>
            <w:sz w:val="28"/>
            <w:szCs w:val="28"/>
            <w:u w:val="single"/>
            <w:shd w:val="clear" w:color="auto" w:fill="auto"/>
            <w:lang w:val="en-US" w:eastAsia="zh-CN"/>
          </w:rPr>
          <w:alias w:val="合同编号"/>
          <w:tag w:val="合同编号"/>
          <w:id w:val="506149071"/>
          <w:placeholder>
            <w:docPart w:val="{1cd18887-69fb-4e63-bfe1-f35a67d319c0}"/>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14:paraId="1DA1E7BA">
      <w:pPr>
        <w:keepNext w:val="0"/>
        <w:keepLines w:val="0"/>
        <w:pageBreakBefore w:val="0"/>
        <w:widowControl/>
        <w:kinsoku/>
        <w:wordWrap/>
        <w:overflowPunct/>
        <w:topLinePunct w:val="0"/>
        <w:bidi w:val="0"/>
        <w:adjustRightInd/>
        <w:snapToGrid/>
        <w:spacing w:line="540" w:lineRule="exact"/>
        <w:ind w:right="0" w:rightChars="0"/>
        <w:jc w:val="left"/>
        <w:rPr>
          <w:rFonts w:hint="eastAsia" w:asciiTheme="minorEastAsia" w:hAnsiTheme="minorEastAsia" w:eastAsiaTheme="minorEastAsia" w:cstheme="minorEastAsia"/>
          <w:color w:val="auto"/>
          <w:kern w:val="0"/>
          <w:sz w:val="28"/>
          <w:szCs w:val="28"/>
          <w:shd w:val="clear" w:color="auto" w:fill="auto"/>
          <w:lang w:eastAsia="zh-CN"/>
        </w:rPr>
      </w:pPr>
    </w:p>
    <w:p w14:paraId="3EC31F43">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Times New Roman" w:hAnsi="宋体" w:eastAsia="宋体" w:cs="Times New Roman"/>
          <w:color w:val="auto"/>
          <w:sz w:val="28"/>
          <w:szCs w:val="28"/>
          <w:shd w:val="clear" w:color="auto" w:fill="auto"/>
          <w:lang w:eastAsia="zh-CN"/>
        </w:rPr>
      </w:pPr>
    </w:p>
    <w:p w14:paraId="69409762">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5be42726-2c76-454c-9593-992d6ebcbd4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3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6"/>
        </w:sdtContent>
      </w:sdt>
    </w:p>
    <w:p w14:paraId="1D0DB548">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14:paraId="051DDAD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14:paraId="3B30A2C6">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3E1E9A6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396A1E2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72C9DEE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4aa05e04-1a1e-4e80-93bb-cc741e133d75}"/>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3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7"/>
        </w:sdtContent>
      </w:sdt>
    </w:p>
    <w:p w14:paraId="5AF5AD4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14:paraId="08585019">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14:paraId="7EE77672">
      <w:pPr>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Theme="minorEastAsia" w:hAnsiTheme="minorEastAsia" w:eastAsiaTheme="minorEastAsia" w:cstheme="minorEastAsia"/>
          <w:color w:val="auto"/>
          <w:sz w:val="28"/>
          <w:szCs w:val="28"/>
          <w:shd w:val="clear" w:color="auto" w:fill="auto"/>
        </w:rPr>
      </w:pPr>
    </w:p>
    <w:p w14:paraId="57360BF7">
      <w:pPr>
        <w:keepLines w:val="0"/>
        <w:pageBreakBefore w:val="0"/>
        <w:widowControl w:val="0"/>
        <w:kinsoku/>
        <w:wordWrap/>
        <w:overflowPunct/>
        <w:topLinePunct w:val="0"/>
        <w:bidi w:val="0"/>
        <w:adjustRightInd/>
        <w:snapToGrid/>
        <w:spacing w:line="540" w:lineRule="exact"/>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rPr>
      </w:pPr>
    </w:p>
    <w:p w14:paraId="2B589006">
      <w:pPr>
        <w:pStyle w:val="291"/>
        <w:keepNext w:val="0"/>
        <w:keepLines w:val="0"/>
        <w:pageBreakBefore w:val="0"/>
        <w:widowControl/>
        <w:tabs>
          <w:tab w:val="right" w:leader="dot" w:pos="8306"/>
        </w:tabs>
        <w:kinsoku/>
        <w:wordWrap/>
        <w:overflowPunct/>
        <w:topLinePunct w:val="0"/>
        <w:autoSpaceDE/>
        <w:autoSpaceDN/>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sectPr>
          <w:headerReference r:id="rId4" w:type="default"/>
          <w:footerReference r:id="rId5" w:type="default"/>
          <w:pgSz w:w="11906" w:h="16838"/>
          <w:pgMar w:top="1440" w:right="1800" w:bottom="1440" w:left="1800" w:header="851" w:footer="992" w:gutter="0"/>
          <w:pgNumType w:fmt="decimal"/>
          <w:cols w:space="720" w:num="1"/>
          <w:docGrid w:type="lines" w:linePitch="312" w:charSpace="0"/>
        </w:sectPr>
      </w:pPr>
    </w:p>
    <w:bookmarkEnd w:id="0"/>
    <w:p w14:paraId="3C169388">
      <w:pPr>
        <w:pStyle w:val="255"/>
        <w:keepLines w:val="0"/>
        <w:pageBreakBefore w:val="0"/>
        <w:kinsoku/>
        <w:wordWrap/>
        <w:topLinePunct w:val="0"/>
        <w:bidi w:val="0"/>
        <w:spacing w:line="540" w:lineRule="exact"/>
        <w:ind w:left="210"/>
        <w:contextualSpacing w:val="0"/>
        <w:rPr>
          <w:rFonts w:hint="default"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第二节 合同条款</w:t>
      </w:r>
    </w:p>
    <w:p w14:paraId="20C0B230">
      <w:pPr>
        <w:pStyle w:val="113"/>
        <w:keepLines w:val="0"/>
        <w:pageBreakBefore w:val="0"/>
        <w:kinsoku/>
        <w:wordWrap/>
        <w:topLinePunct w:val="0"/>
        <w:bidi w:val="0"/>
        <w:spacing w:line="540" w:lineRule="exact"/>
        <w:ind w:left="4170"/>
        <w:rPr>
          <w:rFonts w:hint="eastAsia" w:ascii="宋体" w:hAnsi="宋体" w:eastAsia="宋体" w:cs="宋体"/>
          <w:color w:val="auto"/>
          <w:sz w:val="28"/>
          <w:szCs w:val="28"/>
          <w:highlight w:val="none"/>
          <w:shd w:val="clear" w:color="auto" w:fill="auto"/>
        </w:rPr>
      </w:pPr>
      <w:bookmarkStart w:id="1" w:name="_Toc1597"/>
      <w:bookmarkStart w:id="2" w:name="_Toc485370918"/>
      <w:bookmarkStart w:id="3" w:name="_Toc501382103"/>
      <w:r>
        <w:rPr>
          <w:rFonts w:hint="eastAsia" w:ascii="宋体" w:hAnsi="宋体" w:eastAsia="宋体" w:cs="宋体"/>
          <w:color w:val="auto"/>
          <w:sz w:val="28"/>
          <w:szCs w:val="28"/>
          <w:highlight w:val="none"/>
          <w:shd w:val="clear" w:color="auto" w:fill="auto"/>
        </w:rPr>
        <w:t>第一部分 通用合同条款</w:t>
      </w:r>
      <w:bookmarkEnd w:id="1"/>
      <w:bookmarkEnd w:id="2"/>
      <w:bookmarkEnd w:id="3"/>
    </w:p>
    <w:p w14:paraId="59ED492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4" w:name="_Toc152042389"/>
      <w:bookmarkStart w:id="5" w:name="_Toc4695"/>
      <w:bookmarkStart w:id="6" w:name="_Toc152045611"/>
      <w:bookmarkStart w:id="7" w:name="_Toc501382104"/>
      <w:bookmarkStart w:id="8" w:name="_Toc179632629"/>
      <w:bookmarkStart w:id="9" w:name="_Toc144974579"/>
      <w:r>
        <w:rPr>
          <w:rFonts w:hint="eastAsia" w:ascii="宋体" w:hAnsi="宋体" w:eastAsia="宋体" w:cs="宋体"/>
          <w:color w:val="auto"/>
          <w:sz w:val="28"/>
          <w:szCs w:val="28"/>
          <w:highlight w:val="none"/>
          <w:shd w:val="clear" w:color="auto" w:fill="auto"/>
        </w:rPr>
        <w:t>1. 一般约定</w:t>
      </w:r>
      <w:bookmarkEnd w:id="4"/>
      <w:bookmarkEnd w:id="5"/>
      <w:bookmarkEnd w:id="6"/>
      <w:bookmarkEnd w:id="7"/>
      <w:bookmarkEnd w:id="8"/>
      <w:bookmarkEnd w:id="9"/>
    </w:p>
    <w:p w14:paraId="009EFB8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0" w:name="_Toc144974580"/>
      <w:bookmarkStart w:id="11" w:name="_Toc152042390"/>
      <w:bookmarkStart w:id="12" w:name="_Toc179632630"/>
      <w:bookmarkStart w:id="13" w:name="_Toc152045612"/>
      <w:r>
        <w:rPr>
          <w:rFonts w:hint="eastAsia" w:ascii="宋体" w:hAnsi="宋体" w:eastAsia="宋体" w:cs="宋体"/>
          <w:color w:val="auto"/>
          <w:sz w:val="28"/>
          <w:szCs w:val="28"/>
          <w:highlight w:val="none"/>
          <w:shd w:val="clear" w:color="auto" w:fill="auto"/>
        </w:rPr>
        <w:t>1.1 词语定义</w:t>
      </w:r>
      <w:bookmarkEnd w:id="10"/>
      <w:bookmarkEnd w:id="11"/>
      <w:bookmarkEnd w:id="12"/>
      <w:bookmarkEnd w:id="13"/>
    </w:p>
    <w:p w14:paraId="2F5B2E9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通用合同条款、专用合同条款中的下列词语应具有本款所赋予的含义。</w:t>
      </w:r>
    </w:p>
    <w:p w14:paraId="61972007">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 合同</w:t>
      </w:r>
    </w:p>
    <w:p w14:paraId="6E2C881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1.1.1.1 合同文件（或称合同）：指合同协议书、中标通知书、投标函及投标函附录、专用合同条款、通用合同条款、技术标准和要求、图纸、已标价工程量清单，以及其他合同文件。</w:t>
      </w:r>
    </w:p>
    <w:p w14:paraId="52A80E7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1.1.1.2 合同协议书：指第1.5款所指的合同协议书。</w:t>
      </w:r>
    </w:p>
    <w:p w14:paraId="4500034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1.1.1.3 中标通知书：指发包人通知承包人中标的函件。</w:t>
      </w:r>
    </w:p>
    <w:p w14:paraId="7560A2C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dstrike/>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1.1.1.4 投标函：指构成合同文件组成部分的由承包人填写并签署的投标函。</w:t>
      </w:r>
    </w:p>
    <w:p w14:paraId="1AFB565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1.1.1.5 投标函附录：指附在投标函后构成合同文件的投标函附录。</w:t>
      </w:r>
    </w:p>
    <w:p w14:paraId="148AE89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1.1.1.6 技术标准和要求：指构成合同文件组成部分的名为技术标准和要求的文件，包括合同双方当事人约定对其所作的修改或补充。</w:t>
      </w:r>
    </w:p>
    <w:p w14:paraId="4738501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1.1.1.7图纸：指包含在合同中的工程图纸，以及由发包人按合同约定提供的任何补充和修改的图纸，包括配套的说明。</w:t>
      </w:r>
    </w:p>
    <w:p w14:paraId="49F5B54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1.1.1.8 已标价工程量清单：指构成合同文件组成部分的由承包人按照规定的格式和要求填写并标明价格的工程量清单。</w:t>
      </w:r>
    </w:p>
    <w:p w14:paraId="66AB54C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1.1.1.9 其他合同文件：指经合同双方当事人确认构成合同文件的其他文件。</w:t>
      </w:r>
    </w:p>
    <w:p w14:paraId="1AD41D26">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 合同当事人和人员</w:t>
      </w:r>
    </w:p>
    <w:p w14:paraId="4039234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1.1.2.1 合同当事人:指发包人和（或）承包人。</w:t>
      </w:r>
    </w:p>
    <w:p w14:paraId="19CE71D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1.1.2.2 发包人：指专用合同条款中指明并与承包人在合同协议书中签字的当事人。</w:t>
      </w:r>
    </w:p>
    <w:p w14:paraId="772B8F5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1.1.2.3 承包人：指专用合同条款中指明并与发包人在合同协议书中签字的当事人。</w:t>
      </w:r>
    </w:p>
    <w:p w14:paraId="07C8169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1.1.2.4 承包人项目经理：指承包人派驻施工场地的全权负责人。</w:t>
      </w:r>
    </w:p>
    <w:p w14:paraId="3B3BE35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1.1.2.5 分包人：指从承包人处分包合同中某一部分工程，并与其签订分包合同的分包人。</w:t>
      </w:r>
    </w:p>
    <w:p w14:paraId="09E75CA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1.1.2.6 监理人：指在专用合同条款中指明的，受发包人委托对合同履行实施管理的法人或其他组织。</w:t>
      </w:r>
    </w:p>
    <w:p w14:paraId="74BA2CB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1.1.2.7 总监理工程师（总监）：指由监理人委派常驻施工场地对合同履行实施管理的全权负责人。</w:t>
      </w:r>
    </w:p>
    <w:p w14:paraId="11A3CA18">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 工程和设备</w:t>
      </w:r>
    </w:p>
    <w:p w14:paraId="34C152A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1.1.3.1 工程：指永久工程和（或）临时工程。</w:t>
      </w:r>
    </w:p>
    <w:p w14:paraId="5CE5478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1.1.3.2 永久工程：指按合同约定建造并移交给发包人的工程，包括工程设备。</w:t>
      </w:r>
    </w:p>
    <w:p w14:paraId="3D4186E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1.1.3.3 临时工程：指为完成合同约定的永久工程所修建的各类临时性工程，不包括施工设备。</w:t>
      </w:r>
    </w:p>
    <w:p w14:paraId="25F953B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1.1.3.4 单位工程：指专用合同条款中指明特定范围的永久工程。</w:t>
      </w:r>
    </w:p>
    <w:p w14:paraId="6EF7E74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1.1.3.5 工程设备：指构成或计划构成永久工程一部分的机电设备、金属结构设备、仪器装置及其他类似的设备和装置。</w:t>
      </w:r>
    </w:p>
    <w:p w14:paraId="0C671CF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1.1.3.6 施工设备：指为完成合同约定的各项工作所需的设备、器具和其他物品，不包括临时工程和材料。</w:t>
      </w:r>
    </w:p>
    <w:p w14:paraId="6863B06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1.1.3.7 临时设施：指为完成合同约定的各项工作所服务的临时性生产和生活设施。</w:t>
      </w:r>
    </w:p>
    <w:p w14:paraId="24ACED9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1.1.3.8 承包人设备：指承包人自带的施工设备。</w:t>
      </w:r>
    </w:p>
    <w:p w14:paraId="5555BA8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1.1.3.9 施工场地（或称工地、现场）：指用于合同工程施工的场所，以及在合同中指定作为施工场地组成部分的其他场所，包括永久占地和临时占地。</w:t>
      </w:r>
    </w:p>
    <w:p w14:paraId="293ACD1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1.1.3.10 永久占地：指专用合同条款中指明为实施合同工程需永久占用的土地。</w:t>
      </w:r>
    </w:p>
    <w:p w14:paraId="70E2E28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1.1.3.11 临时占地：指专用合同条款中指明为实施合同工程需临时占用的土地。</w:t>
      </w:r>
    </w:p>
    <w:p w14:paraId="05B2CEA3">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 日期</w:t>
      </w:r>
    </w:p>
    <w:p w14:paraId="13E1A50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1.1.4.1 开工通知：指监理人按第11.1款通知承包人开工的函件。</w:t>
      </w:r>
    </w:p>
    <w:p w14:paraId="19B3716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1.1.4.2 开工日期：指监理人按第11.1款发出的开工通知中写明的开工日期。</w:t>
      </w:r>
    </w:p>
    <w:p w14:paraId="7E8B01B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1.1.4.3工期：指承包人在投标函中承诺的完成合同工程所需的期限，包括按第11.3款、第11.4款和第11.6款约定所作的变更。</w:t>
      </w:r>
    </w:p>
    <w:p w14:paraId="37523B8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1.1.4.4 竣工日期：指第1.1.4.3目约定工期届满时的日期。实际竣工日期以工程接收证书中写明的日期为准。</w:t>
      </w:r>
    </w:p>
    <w:p w14:paraId="5FB7F35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1.1.4.5 缺陷责任期：指履行第19.2款约定的缺陷责任的期限，具体期限由专用合同条款约定，包括根据第19.3款约定所作的延长。</w:t>
      </w:r>
    </w:p>
    <w:p w14:paraId="2DDAB2F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1.1.4.6 基准日期：指投标截止时间前28天的日期。</w:t>
      </w:r>
    </w:p>
    <w:p w14:paraId="14C3552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1.1.4.7 天：除特别指明外，指日历天。合同中按天计算时间的，开始当天不计入，从次日开始计算。期限最后一天的截止时间为当天24:00。</w:t>
      </w:r>
    </w:p>
    <w:p w14:paraId="75ADB95A">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 合同价格和费用</w:t>
      </w:r>
    </w:p>
    <w:p w14:paraId="2A74F02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1.1.5.1 签约合同价：指签定合同时合同协议书中写明的，包括了暂列金额、暂估价的合同总金额。</w:t>
      </w:r>
    </w:p>
    <w:p w14:paraId="158E256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1.1.5.2 合同价格：指承包人按合同约定完成了包括缺陷责任期内的全部承包工作后，发包人应付给承包人的金额，包括在履行合同过程中按合同约定进行的变更和调整。</w:t>
      </w:r>
    </w:p>
    <w:p w14:paraId="42A467F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1.1.5.3 费用：指为履行合同所发生的或将要发生的所有合理开支，包括管理费和应分摊的其他费用，但不包括利润。</w:t>
      </w:r>
    </w:p>
    <w:p w14:paraId="32A7A4F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1.1.5.4 暂列金额：指已标价工程量清单中所列的暂列金额，用于在签订协议书时尚未确定或不可预见变更的施工及其所需材料、工程设备、服务等的金额，包括以计日工方式支付的金额。</w:t>
      </w:r>
    </w:p>
    <w:p w14:paraId="4F9FB76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1.1.5.5暂估价：指发包人在工程量清单中给定的用于支付必然发生但暂时不能确定价格的材料、设备以及专业工程的金额。</w:t>
      </w:r>
    </w:p>
    <w:p w14:paraId="4E35C14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1.1.5.6 计日工：指对零星工作采取的一种计价方式，按合同中的计日工子目及其单价计价付款。</w:t>
      </w:r>
    </w:p>
    <w:p w14:paraId="503CBC2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1.1.5.7 质量保证金（或称保留金）：指按第17.4.1项约定用于保证在缺陷责任期内履行缺陷修复义务的金额。</w:t>
      </w:r>
    </w:p>
    <w:p w14:paraId="72D963A6">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1.1.6 其他</w:t>
      </w:r>
    </w:p>
    <w:p w14:paraId="51FFE7E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1.1.6.1 书面形式：指合同文件、信函、电报、传真等可以有形地表现所载内容的形式。</w:t>
      </w:r>
    </w:p>
    <w:p w14:paraId="61012B8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4" w:name="_Toc152045613"/>
      <w:bookmarkStart w:id="15" w:name="_Toc152042391"/>
      <w:bookmarkStart w:id="16" w:name="_Toc144974581"/>
      <w:bookmarkStart w:id="17" w:name="_Toc179632631"/>
      <w:r>
        <w:rPr>
          <w:rFonts w:hint="eastAsia" w:ascii="宋体" w:hAnsi="宋体" w:eastAsia="宋体" w:cs="宋体"/>
          <w:color w:val="auto"/>
          <w:sz w:val="28"/>
          <w:szCs w:val="28"/>
          <w:highlight w:val="none"/>
          <w:shd w:val="clear" w:color="auto" w:fill="auto"/>
        </w:rPr>
        <w:t>1.2 语言文字</w:t>
      </w:r>
      <w:bookmarkEnd w:id="14"/>
      <w:bookmarkEnd w:id="15"/>
      <w:bookmarkEnd w:id="16"/>
      <w:bookmarkEnd w:id="17"/>
    </w:p>
    <w:p w14:paraId="3F4F4EA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除专用术语外，合同使用的语言文字为中文。必要时专用术语应附有中文注释。</w:t>
      </w:r>
    </w:p>
    <w:p w14:paraId="324D454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8" w:name="_Toc152042392"/>
      <w:bookmarkStart w:id="19" w:name="_Toc179632632"/>
      <w:bookmarkStart w:id="20" w:name="_Toc152045614"/>
      <w:bookmarkStart w:id="21" w:name="_Toc144974582"/>
      <w:r>
        <w:rPr>
          <w:rFonts w:hint="eastAsia" w:ascii="宋体" w:hAnsi="宋体" w:eastAsia="宋体" w:cs="宋体"/>
          <w:color w:val="auto"/>
          <w:sz w:val="28"/>
          <w:szCs w:val="28"/>
          <w:highlight w:val="none"/>
          <w:shd w:val="clear" w:color="auto" w:fill="auto"/>
        </w:rPr>
        <w:t>1.3 法律</w:t>
      </w:r>
      <w:bookmarkEnd w:id="18"/>
      <w:bookmarkEnd w:id="19"/>
      <w:bookmarkEnd w:id="20"/>
      <w:bookmarkEnd w:id="21"/>
    </w:p>
    <w:p w14:paraId="12F2E65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适用于合同的法律包括中华人民共和国法律、行政法规、部门规章，以及工程所在地的</w:t>
      </w:r>
      <w:r>
        <w:rPr>
          <w:rFonts w:hint="eastAsia" w:ascii="宋体" w:hAnsi="宋体" w:eastAsia="宋体" w:cs="宋体"/>
          <w:color w:val="auto"/>
          <w:sz w:val="28"/>
          <w:szCs w:val="28"/>
          <w:highlight w:val="none"/>
          <w:shd w:val="clear" w:color="auto" w:fill="auto"/>
          <w:lang w:eastAsia="zh-CN"/>
        </w:rPr>
        <w:t>地方性法规</w:t>
      </w:r>
      <w:r>
        <w:rPr>
          <w:rFonts w:hint="eastAsia" w:ascii="宋体" w:hAnsi="宋体" w:eastAsia="宋体" w:cs="宋体"/>
          <w:color w:val="auto"/>
          <w:sz w:val="28"/>
          <w:szCs w:val="28"/>
          <w:highlight w:val="none"/>
          <w:shd w:val="clear" w:color="auto" w:fill="auto"/>
        </w:rPr>
        <w:t>、自治条例、单行条例和地方政府规章。</w:t>
      </w:r>
    </w:p>
    <w:p w14:paraId="0682B85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2" w:name="_Toc152045615"/>
      <w:bookmarkStart w:id="23" w:name="_Toc152042393"/>
      <w:bookmarkStart w:id="24" w:name="_Toc179632633"/>
      <w:bookmarkStart w:id="25" w:name="_Toc144974583"/>
      <w:r>
        <w:rPr>
          <w:rFonts w:hint="eastAsia" w:ascii="宋体" w:hAnsi="宋体" w:eastAsia="宋体" w:cs="宋体"/>
          <w:color w:val="auto"/>
          <w:sz w:val="28"/>
          <w:szCs w:val="28"/>
          <w:highlight w:val="none"/>
          <w:shd w:val="clear" w:color="auto" w:fill="auto"/>
        </w:rPr>
        <w:t>1.4 合同文件的优先顺序</w:t>
      </w:r>
      <w:bookmarkEnd w:id="22"/>
      <w:bookmarkEnd w:id="23"/>
      <w:bookmarkEnd w:id="24"/>
      <w:bookmarkEnd w:id="25"/>
    </w:p>
    <w:p w14:paraId="339CB97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组成合同的各项文件应互相解释，互为说明。除专用合同条款另有约定外，解释合同文件的优先顺序如下：</w:t>
      </w:r>
    </w:p>
    <w:p w14:paraId="6930110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（1）合同协议书；</w:t>
      </w:r>
    </w:p>
    <w:p w14:paraId="3396316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（2）中标通知书；</w:t>
      </w:r>
    </w:p>
    <w:p w14:paraId="2AF8023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（3）投标函及投标函附录；</w:t>
      </w:r>
    </w:p>
    <w:p w14:paraId="32E7BFE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（4）专用合同条款；</w:t>
      </w:r>
    </w:p>
    <w:p w14:paraId="181560E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（5）通用合同条款；</w:t>
      </w:r>
    </w:p>
    <w:p w14:paraId="374E280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（6）技术标准和要求；</w:t>
      </w:r>
    </w:p>
    <w:p w14:paraId="2825EE7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（7）图纸；</w:t>
      </w:r>
    </w:p>
    <w:p w14:paraId="3960D92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（8）已标价工程量清单；</w:t>
      </w:r>
    </w:p>
    <w:p w14:paraId="0733167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（9）其他合同文件。</w:t>
      </w:r>
    </w:p>
    <w:p w14:paraId="58ED66F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6" w:name="_Toc152045616"/>
      <w:bookmarkStart w:id="27" w:name="_Toc144974584"/>
      <w:bookmarkStart w:id="28" w:name="_Toc152042394"/>
      <w:bookmarkStart w:id="29" w:name="_Toc179632634"/>
      <w:r>
        <w:rPr>
          <w:rFonts w:hint="eastAsia" w:ascii="宋体" w:hAnsi="宋体" w:eastAsia="宋体" w:cs="宋体"/>
          <w:color w:val="auto"/>
          <w:sz w:val="28"/>
          <w:szCs w:val="28"/>
          <w:highlight w:val="none"/>
          <w:shd w:val="clear" w:color="auto" w:fill="auto"/>
        </w:rPr>
        <w:t>1.5 合同协议书</w:t>
      </w:r>
      <w:bookmarkEnd w:id="26"/>
      <w:bookmarkEnd w:id="27"/>
      <w:bookmarkEnd w:id="28"/>
      <w:bookmarkEnd w:id="29"/>
    </w:p>
    <w:p w14:paraId="25BB747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承包人按中标通知书规定的时间与发包人签订合同协议书。除法律另有规定或合同另有约定外，发包人和承包人的法定代表人或其委托代理人在合同协议书上签字并盖单位章后，合同生效。</w:t>
      </w:r>
    </w:p>
    <w:p w14:paraId="6587972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0" w:name="_Toc152045617"/>
      <w:bookmarkStart w:id="31" w:name="_Toc144974585"/>
      <w:bookmarkStart w:id="32" w:name="_Toc152042395"/>
      <w:bookmarkStart w:id="33" w:name="_Toc179632635"/>
      <w:r>
        <w:rPr>
          <w:rFonts w:hint="eastAsia" w:ascii="宋体" w:hAnsi="宋体" w:eastAsia="宋体" w:cs="宋体"/>
          <w:color w:val="auto"/>
          <w:sz w:val="28"/>
          <w:szCs w:val="28"/>
          <w:highlight w:val="none"/>
          <w:shd w:val="clear" w:color="auto" w:fill="auto"/>
        </w:rPr>
        <w:t>1.6 图纸和承包人文件</w:t>
      </w:r>
      <w:bookmarkEnd w:id="30"/>
      <w:bookmarkEnd w:id="31"/>
      <w:bookmarkEnd w:id="32"/>
      <w:bookmarkEnd w:id="33"/>
    </w:p>
    <w:p w14:paraId="471C0E57">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1.6.1图纸的提供</w:t>
      </w:r>
    </w:p>
    <w:p w14:paraId="56904E2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除专用合同条款另有约定外，图纸应在合理的期限内按照合同约定的数量提供给承包人。由于发包人未按时提供图纸造成工期延误的，按第11.3款的约定办理。</w:t>
      </w:r>
    </w:p>
    <w:p w14:paraId="2810444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1.6.2承包人提供的文件</w:t>
      </w:r>
    </w:p>
    <w:p w14:paraId="57D701C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按专用合同条款约定由承包人提供的文件，包括部分工程的大样图、加工图等，承包人应按约定的数量和期限报送监理人。监理人应在专用合同条款约定的期限内批复。</w:t>
      </w:r>
    </w:p>
    <w:p w14:paraId="1ED40F67">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1.6.3 图纸的修改</w:t>
      </w:r>
    </w:p>
    <w:p w14:paraId="1F4FEDF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图纸需要修改和补充的，应由监理人取得发包人同意后，在该工程或工程相应部位施工前的合理期限内签发图纸修改图给承包人，具体签发期限在专用合同条款中约定。承包人应按修改后的图纸施工。</w:t>
      </w:r>
    </w:p>
    <w:p w14:paraId="4736C7B3">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1.6.4 图纸的错误</w:t>
      </w:r>
    </w:p>
    <w:p w14:paraId="4B3C088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承包人发现发包人提供的图纸存在明显错误或疏忽，应及时通知监理人。</w:t>
      </w:r>
    </w:p>
    <w:p w14:paraId="74CFA3F3">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1.6.5 图纸和承包人文件的保管</w:t>
      </w:r>
    </w:p>
    <w:p w14:paraId="28F9DB6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监理人和承包人均应在施工场地各保存一套完整的包含第1.6.1项、第1.6.2项、第1.6.3项约定内容的图纸和承包人文件。</w:t>
      </w:r>
    </w:p>
    <w:p w14:paraId="72BF156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4" w:name="_Toc152045618"/>
      <w:bookmarkStart w:id="35" w:name="_Toc144974586"/>
      <w:bookmarkStart w:id="36" w:name="_Toc179632636"/>
      <w:bookmarkStart w:id="37" w:name="_Toc152042396"/>
      <w:r>
        <w:rPr>
          <w:rFonts w:hint="eastAsia" w:ascii="宋体" w:hAnsi="宋体" w:eastAsia="宋体" w:cs="宋体"/>
          <w:color w:val="auto"/>
          <w:sz w:val="28"/>
          <w:szCs w:val="28"/>
          <w:highlight w:val="none"/>
          <w:shd w:val="clear" w:color="auto" w:fill="auto"/>
        </w:rPr>
        <w:t>1.7 联络</w:t>
      </w:r>
      <w:bookmarkEnd w:id="34"/>
      <w:bookmarkEnd w:id="35"/>
      <w:bookmarkEnd w:id="36"/>
      <w:bookmarkEnd w:id="37"/>
    </w:p>
    <w:p w14:paraId="615E95D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1.7.1与合同有关的通知、批准、证明、证书、指示、要求、请求、同意、意见、确定和决定等，均应采用书面形式。</w:t>
      </w:r>
    </w:p>
    <w:p w14:paraId="1E8960E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1.7.2第1.7.1项中的通知、批准、证明、证书、指示、要求、请求、同意、意见、确定和决定等来往函件，均应在合同约定的期限内送达指定地点和接收人，并办理签收手续。</w:t>
      </w:r>
    </w:p>
    <w:p w14:paraId="43DB039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8" w:name="_Toc152042397"/>
      <w:bookmarkStart w:id="39" w:name="_Toc179632637"/>
      <w:bookmarkStart w:id="40" w:name="_Toc144974587"/>
      <w:bookmarkStart w:id="41" w:name="_Toc152045619"/>
      <w:r>
        <w:rPr>
          <w:rFonts w:hint="eastAsia" w:ascii="宋体" w:hAnsi="宋体" w:eastAsia="宋体" w:cs="宋体"/>
          <w:color w:val="auto"/>
          <w:sz w:val="28"/>
          <w:szCs w:val="28"/>
          <w:highlight w:val="none"/>
          <w:shd w:val="clear" w:color="auto" w:fill="auto"/>
        </w:rPr>
        <w:t>1.8 转让</w:t>
      </w:r>
      <w:bookmarkEnd w:id="38"/>
      <w:bookmarkEnd w:id="39"/>
      <w:bookmarkEnd w:id="40"/>
      <w:bookmarkEnd w:id="41"/>
    </w:p>
    <w:p w14:paraId="62926F5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除合同另有约定外，未经对方当事人同意，一方当事人不得将合同权利全部或部分转让给第三人，也不得全部或部分转移合同义务。</w:t>
      </w:r>
    </w:p>
    <w:p w14:paraId="755205E1">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2" w:name="_Toc179632638"/>
      <w:bookmarkStart w:id="43" w:name="_Toc152045620"/>
      <w:bookmarkStart w:id="44" w:name="_Toc152042398"/>
      <w:bookmarkStart w:id="45" w:name="_Toc144974588"/>
      <w:r>
        <w:rPr>
          <w:rFonts w:hint="eastAsia" w:ascii="宋体" w:hAnsi="宋体" w:eastAsia="宋体" w:cs="宋体"/>
          <w:color w:val="auto"/>
          <w:sz w:val="28"/>
          <w:szCs w:val="28"/>
          <w:highlight w:val="none"/>
          <w:shd w:val="clear" w:color="auto" w:fill="auto"/>
        </w:rPr>
        <w:t>1.9 严禁贿赂</w:t>
      </w:r>
      <w:bookmarkEnd w:id="42"/>
      <w:bookmarkEnd w:id="43"/>
      <w:bookmarkEnd w:id="44"/>
      <w:bookmarkEnd w:id="45"/>
    </w:p>
    <w:p w14:paraId="38CB1EE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合同双方当事人不得以贿赂或变相贿赂的方式，谋取不当利益或损害对方权益。因贿赂造成对方损失的，行为人应赔偿损失，并承担相应的法律责任。</w:t>
      </w:r>
    </w:p>
    <w:p w14:paraId="19EDD406">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6" w:name="_Toc152045621"/>
      <w:bookmarkStart w:id="47" w:name="_Toc179632639"/>
      <w:bookmarkStart w:id="48" w:name="_Toc144974589"/>
      <w:bookmarkStart w:id="49" w:name="_Toc152042399"/>
      <w:r>
        <w:rPr>
          <w:rFonts w:hint="eastAsia" w:ascii="宋体" w:hAnsi="宋体" w:eastAsia="宋体" w:cs="宋体"/>
          <w:color w:val="auto"/>
          <w:sz w:val="28"/>
          <w:szCs w:val="28"/>
          <w:highlight w:val="none"/>
          <w:shd w:val="clear" w:color="auto" w:fill="auto"/>
        </w:rPr>
        <w:t>1.10 化石、文物</w:t>
      </w:r>
      <w:bookmarkEnd w:id="46"/>
      <w:bookmarkEnd w:id="47"/>
      <w:bookmarkEnd w:id="48"/>
      <w:bookmarkEnd w:id="49"/>
    </w:p>
    <w:p w14:paraId="3AF4783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rPr>
          <w:rFonts w:hint="eastAsia" w:ascii="宋体" w:hAnsi="宋体" w:eastAsia="宋体" w:cs="宋体"/>
          <w:color w:val="auto"/>
          <w:sz w:val="28"/>
          <w:szCs w:val="28"/>
          <w:highlight w:val="none"/>
          <w:shd w:val="clear" w:color="auto" w:fill="auto"/>
          <w:lang w:eastAsia="zh-CN"/>
        </w:rPr>
        <w:t>；</w:t>
      </w:r>
      <w:r>
        <w:rPr>
          <w:rFonts w:hint="eastAsia" w:ascii="宋体" w:hAnsi="宋体" w:cs="宋体"/>
          <w:color w:val="auto"/>
          <w:kern w:val="0"/>
          <w:sz w:val="28"/>
          <w:szCs w:val="28"/>
          <w:shd w:val="clear" w:color="auto" w:fill="auto"/>
          <w:lang w:val="en-US" w:eastAsia="zh-CN"/>
        </w:rPr>
        <w:t>但承包人怠于履行保护义务导致费用增加和（或）工期延误的，由承包人承担</w:t>
      </w:r>
      <w:r>
        <w:rPr>
          <w:rFonts w:hint="eastAsia" w:ascii="宋体" w:hAnsi="宋体" w:eastAsia="宋体" w:cs="宋体"/>
          <w:color w:val="auto"/>
          <w:sz w:val="28"/>
          <w:szCs w:val="28"/>
          <w:highlight w:val="none"/>
          <w:shd w:val="clear" w:color="auto" w:fill="auto"/>
        </w:rPr>
        <w:t>。</w:t>
      </w:r>
    </w:p>
    <w:p w14:paraId="47E9E4C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1.10.2承包人发现文物后不及时报告或隐瞒不报，致使文物丢失或损坏的，应赔偿损失，并承担相应的法律责任。</w:t>
      </w:r>
    </w:p>
    <w:p w14:paraId="5C85FB6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0" w:name="_Toc152042400"/>
      <w:bookmarkStart w:id="51" w:name="_Toc179632640"/>
      <w:bookmarkStart w:id="52" w:name="_Toc152045622"/>
      <w:bookmarkStart w:id="53" w:name="_Toc144974590"/>
      <w:r>
        <w:rPr>
          <w:rFonts w:hint="eastAsia" w:ascii="宋体" w:hAnsi="宋体" w:eastAsia="宋体" w:cs="宋体"/>
          <w:color w:val="auto"/>
          <w:sz w:val="28"/>
          <w:szCs w:val="28"/>
          <w:highlight w:val="none"/>
          <w:shd w:val="clear" w:color="auto" w:fill="auto"/>
        </w:rPr>
        <w:t>1.11 专利技术</w:t>
      </w:r>
      <w:bookmarkEnd w:id="50"/>
      <w:bookmarkEnd w:id="51"/>
      <w:bookmarkEnd w:id="52"/>
      <w:bookmarkEnd w:id="53"/>
    </w:p>
    <w:p w14:paraId="12122BA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1.11.1承包人在使用任何材料、承包人设备、工程设备或采用施工工艺时，因侵犯专利权或其他知识产权所引起的责任，由承包人承担，但由于遵照发包人提供的设计或技术标准和要求引起的除外。</w:t>
      </w:r>
    </w:p>
    <w:p w14:paraId="5397EA6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1.11.2承包人在投标文件中采用专利技术的，专利技术的使用费包含在投标报价内。</w:t>
      </w:r>
    </w:p>
    <w:p w14:paraId="31EE619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1.11.3承包人的技术秘密和声明需要保密的资料和信息，发包人和监理人不得为合同以外的目的泄露给他人。</w:t>
      </w:r>
    </w:p>
    <w:p w14:paraId="70D4796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1.11.4双方确定，因履行本合同所形成的技术成果及其相关知识产权归发包人所有，承包人未经发包人同意不得使用或处分。承包人完成技术服务的技术人员享有在技术成果文件上写明自己是完成者和取得有关荣誉证书、奖励的权利。发包人需就技术成果文件进行著作权备案或申请专利的，承包人应予以协助。</w:t>
      </w:r>
    </w:p>
    <w:p w14:paraId="0EEEF2A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4" w:name="_Toc152045623"/>
      <w:bookmarkStart w:id="55" w:name="_Toc179632641"/>
      <w:bookmarkStart w:id="56" w:name="_Toc152042401"/>
      <w:bookmarkStart w:id="57" w:name="_Toc144974591"/>
      <w:r>
        <w:rPr>
          <w:rFonts w:hint="eastAsia" w:ascii="宋体" w:hAnsi="宋体" w:eastAsia="宋体" w:cs="宋体"/>
          <w:color w:val="auto"/>
          <w:sz w:val="28"/>
          <w:szCs w:val="28"/>
          <w:highlight w:val="none"/>
          <w:shd w:val="clear" w:color="auto" w:fill="auto"/>
        </w:rPr>
        <w:t>1.12 图纸和文件的保密</w:t>
      </w:r>
      <w:bookmarkEnd w:id="54"/>
      <w:bookmarkEnd w:id="55"/>
      <w:bookmarkEnd w:id="56"/>
      <w:bookmarkEnd w:id="57"/>
    </w:p>
    <w:p w14:paraId="1BD899A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1.12.1发包人提供的图纸和文件，未经发包人同意，承包人不得为合同以外的目的泄露给他人或公开发表与引用。</w:t>
      </w:r>
    </w:p>
    <w:p w14:paraId="0EEC877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1.12.2承包人提供的文件，未经承包人同意，发包人和监理人不得为合同以外的目的泄露给他人或公开发表与引用。</w:t>
      </w:r>
    </w:p>
    <w:p w14:paraId="35821AC7">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58" w:name="_Toc22466"/>
      <w:bookmarkStart w:id="59" w:name="_Toc144974592"/>
      <w:bookmarkStart w:id="60" w:name="_Toc501382105"/>
      <w:bookmarkStart w:id="61" w:name="_Toc152045624"/>
      <w:bookmarkStart w:id="62" w:name="_Toc152042402"/>
      <w:bookmarkStart w:id="63" w:name="_Toc179632642"/>
      <w:r>
        <w:rPr>
          <w:rFonts w:hint="eastAsia" w:ascii="宋体" w:hAnsi="宋体" w:eastAsia="宋体" w:cs="宋体"/>
          <w:color w:val="auto"/>
          <w:sz w:val="28"/>
          <w:szCs w:val="28"/>
          <w:highlight w:val="none"/>
          <w:shd w:val="clear" w:color="auto" w:fill="auto"/>
        </w:rPr>
        <w:t>2. 发包人义务</w:t>
      </w:r>
      <w:bookmarkEnd w:id="58"/>
      <w:bookmarkEnd w:id="59"/>
      <w:bookmarkEnd w:id="60"/>
      <w:bookmarkEnd w:id="61"/>
      <w:bookmarkEnd w:id="62"/>
      <w:bookmarkEnd w:id="63"/>
    </w:p>
    <w:p w14:paraId="0BABFA5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4" w:name="_Toc179632643"/>
      <w:bookmarkStart w:id="65" w:name="_Toc152042403"/>
      <w:bookmarkStart w:id="66" w:name="_Toc152045625"/>
      <w:bookmarkStart w:id="67" w:name="_Toc144974593"/>
      <w:r>
        <w:rPr>
          <w:rFonts w:hint="eastAsia" w:ascii="宋体" w:hAnsi="宋体" w:eastAsia="宋体" w:cs="宋体"/>
          <w:color w:val="auto"/>
          <w:sz w:val="28"/>
          <w:szCs w:val="28"/>
          <w:highlight w:val="none"/>
          <w:shd w:val="clear" w:color="auto" w:fill="auto"/>
        </w:rPr>
        <w:t>2.1 遵守法律</w:t>
      </w:r>
      <w:bookmarkEnd w:id="64"/>
      <w:bookmarkEnd w:id="65"/>
      <w:bookmarkEnd w:id="66"/>
      <w:bookmarkEnd w:id="67"/>
    </w:p>
    <w:p w14:paraId="1A8EF9C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发包人在履行合同过程中应遵守法律，并保证承包人免于承担因发包人违反法律而引起的任何责任。</w:t>
      </w:r>
    </w:p>
    <w:p w14:paraId="2860A41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8" w:name="_Toc152042404"/>
      <w:bookmarkStart w:id="69" w:name="_Toc144974594"/>
      <w:bookmarkStart w:id="70" w:name="_Toc179632644"/>
      <w:bookmarkStart w:id="71" w:name="_Toc152045626"/>
      <w:r>
        <w:rPr>
          <w:rFonts w:hint="eastAsia" w:ascii="宋体" w:hAnsi="宋体" w:eastAsia="宋体" w:cs="宋体"/>
          <w:color w:val="auto"/>
          <w:sz w:val="28"/>
          <w:szCs w:val="28"/>
          <w:highlight w:val="none"/>
          <w:shd w:val="clear" w:color="auto" w:fill="auto"/>
        </w:rPr>
        <w:t>2.2 发出开工通知</w:t>
      </w:r>
      <w:bookmarkEnd w:id="68"/>
      <w:bookmarkEnd w:id="69"/>
      <w:bookmarkEnd w:id="70"/>
      <w:bookmarkEnd w:id="71"/>
    </w:p>
    <w:p w14:paraId="7CEBCF6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发包人应委托监理人按第11.1款的约定向承包人发出开工通知。</w:t>
      </w:r>
    </w:p>
    <w:p w14:paraId="0A0515A2">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72" w:name="_Toc144974595"/>
      <w:bookmarkStart w:id="73" w:name="_Toc179632645"/>
      <w:bookmarkStart w:id="74" w:name="_Toc152045627"/>
      <w:bookmarkStart w:id="75" w:name="_Toc152042405"/>
      <w:r>
        <w:rPr>
          <w:rFonts w:hint="eastAsia" w:ascii="宋体" w:hAnsi="宋体" w:eastAsia="宋体" w:cs="宋体"/>
          <w:color w:val="auto"/>
          <w:sz w:val="28"/>
          <w:szCs w:val="28"/>
          <w:highlight w:val="none"/>
          <w:shd w:val="clear" w:color="auto" w:fill="auto"/>
        </w:rPr>
        <w:t>2.3 提供施工场地</w:t>
      </w:r>
      <w:bookmarkEnd w:id="72"/>
      <w:bookmarkEnd w:id="73"/>
      <w:bookmarkEnd w:id="74"/>
      <w:bookmarkEnd w:id="75"/>
    </w:p>
    <w:p w14:paraId="529961C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发包人应按专用合同条款约定向承包人提供施工场地，以及施工场地内地下管线和地下设施等有关资料，并保证资料的真实、准确、完整。</w:t>
      </w:r>
    </w:p>
    <w:p w14:paraId="39A59DC8">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76" w:name="_Toc144974596"/>
      <w:bookmarkStart w:id="77" w:name="_Toc152042406"/>
      <w:bookmarkStart w:id="78" w:name="_Toc179632646"/>
      <w:bookmarkStart w:id="79" w:name="_Toc152045628"/>
      <w:r>
        <w:rPr>
          <w:rFonts w:hint="eastAsia" w:ascii="宋体" w:hAnsi="宋体" w:eastAsia="宋体" w:cs="宋体"/>
          <w:color w:val="auto"/>
          <w:sz w:val="28"/>
          <w:szCs w:val="28"/>
          <w:highlight w:val="none"/>
          <w:shd w:val="clear" w:color="auto" w:fill="auto"/>
        </w:rPr>
        <w:t>2.4 协助承包人办理证件和批件</w:t>
      </w:r>
      <w:bookmarkEnd w:id="76"/>
      <w:bookmarkEnd w:id="77"/>
      <w:bookmarkEnd w:id="78"/>
      <w:bookmarkEnd w:id="79"/>
    </w:p>
    <w:p w14:paraId="26FC4DA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发包人应协助承包人办理法律规定的有关施工证件和批件。</w:t>
      </w:r>
    </w:p>
    <w:p w14:paraId="1BD5D48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80" w:name="_Toc152045629"/>
      <w:bookmarkStart w:id="81" w:name="_Toc152042407"/>
      <w:bookmarkStart w:id="82" w:name="_Toc179632647"/>
      <w:bookmarkStart w:id="83" w:name="_Toc144974597"/>
      <w:r>
        <w:rPr>
          <w:rFonts w:hint="eastAsia" w:ascii="宋体" w:hAnsi="宋体" w:eastAsia="宋体" w:cs="宋体"/>
          <w:color w:val="auto"/>
          <w:sz w:val="28"/>
          <w:szCs w:val="28"/>
          <w:highlight w:val="none"/>
          <w:shd w:val="clear" w:color="auto" w:fill="auto"/>
        </w:rPr>
        <w:t>2.5 组织设计交底</w:t>
      </w:r>
      <w:bookmarkEnd w:id="80"/>
      <w:bookmarkEnd w:id="81"/>
      <w:bookmarkEnd w:id="82"/>
      <w:bookmarkEnd w:id="83"/>
    </w:p>
    <w:p w14:paraId="3C230CC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发包人应根据合同进度计划，组织设计单位向承包人进行设计交底。</w:t>
      </w:r>
    </w:p>
    <w:p w14:paraId="6CDD5232">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84" w:name="_Toc144974598"/>
      <w:bookmarkStart w:id="85" w:name="_Toc152045630"/>
      <w:bookmarkStart w:id="86" w:name="_Toc179632648"/>
      <w:bookmarkStart w:id="87" w:name="_Toc152042408"/>
      <w:r>
        <w:rPr>
          <w:rFonts w:hint="eastAsia" w:ascii="宋体" w:hAnsi="宋体" w:eastAsia="宋体" w:cs="宋体"/>
          <w:color w:val="auto"/>
          <w:sz w:val="28"/>
          <w:szCs w:val="28"/>
          <w:highlight w:val="none"/>
          <w:shd w:val="clear" w:color="auto" w:fill="auto"/>
        </w:rPr>
        <w:t>2.6 支付合同价款</w:t>
      </w:r>
      <w:bookmarkEnd w:id="84"/>
      <w:bookmarkEnd w:id="85"/>
      <w:bookmarkEnd w:id="86"/>
      <w:bookmarkEnd w:id="87"/>
    </w:p>
    <w:p w14:paraId="094A7BE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发包人应按合同约定向承包人及时支付合同价款。</w:t>
      </w:r>
    </w:p>
    <w:p w14:paraId="2EA56758">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88" w:name="_Toc152045631"/>
      <w:bookmarkStart w:id="89" w:name="_Toc152042409"/>
      <w:bookmarkStart w:id="90" w:name="_Toc144974599"/>
      <w:bookmarkStart w:id="91" w:name="_Toc179632649"/>
      <w:r>
        <w:rPr>
          <w:rFonts w:hint="eastAsia" w:ascii="宋体" w:hAnsi="宋体" w:eastAsia="宋体" w:cs="宋体"/>
          <w:color w:val="auto"/>
          <w:sz w:val="28"/>
          <w:szCs w:val="28"/>
          <w:highlight w:val="none"/>
          <w:shd w:val="clear" w:color="auto" w:fill="auto"/>
        </w:rPr>
        <w:t>2.7 组织竣工验收</w:t>
      </w:r>
      <w:bookmarkEnd w:id="88"/>
      <w:bookmarkEnd w:id="89"/>
      <w:bookmarkEnd w:id="90"/>
      <w:bookmarkEnd w:id="91"/>
    </w:p>
    <w:p w14:paraId="50CC50D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发包人应按合同约定及时组织竣工验收。</w:t>
      </w:r>
    </w:p>
    <w:p w14:paraId="43F99F5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92" w:name="_Toc179632650"/>
      <w:bookmarkStart w:id="93" w:name="_Toc144974600"/>
      <w:bookmarkStart w:id="94" w:name="_Toc152045632"/>
      <w:bookmarkStart w:id="95" w:name="_Toc152042410"/>
      <w:r>
        <w:rPr>
          <w:rFonts w:hint="eastAsia" w:ascii="宋体" w:hAnsi="宋体" w:eastAsia="宋体" w:cs="宋体"/>
          <w:color w:val="auto"/>
          <w:sz w:val="28"/>
          <w:szCs w:val="28"/>
          <w:highlight w:val="none"/>
          <w:shd w:val="clear" w:color="auto" w:fill="auto"/>
        </w:rPr>
        <w:t>2.8 其他义务</w:t>
      </w:r>
      <w:bookmarkEnd w:id="92"/>
      <w:bookmarkEnd w:id="93"/>
      <w:bookmarkEnd w:id="94"/>
      <w:bookmarkEnd w:id="95"/>
    </w:p>
    <w:p w14:paraId="779AE1C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发包人应履行合同约定的其他义务。</w:t>
      </w:r>
    </w:p>
    <w:p w14:paraId="6317C7B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96" w:name="_Toc144974601"/>
      <w:bookmarkStart w:id="97" w:name="_Toc152045633"/>
      <w:bookmarkStart w:id="98" w:name="_Toc152042411"/>
      <w:bookmarkStart w:id="99" w:name="_Toc30919"/>
      <w:bookmarkStart w:id="100" w:name="_Toc179632651"/>
      <w:bookmarkStart w:id="101" w:name="_Toc501382106"/>
      <w:r>
        <w:rPr>
          <w:rFonts w:hint="eastAsia" w:ascii="宋体" w:hAnsi="宋体" w:eastAsia="宋体" w:cs="宋体"/>
          <w:color w:val="auto"/>
          <w:sz w:val="28"/>
          <w:szCs w:val="28"/>
          <w:highlight w:val="none"/>
          <w:shd w:val="clear" w:color="auto" w:fill="auto"/>
        </w:rPr>
        <w:t>3. 监理人</w:t>
      </w:r>
      <w:bookmarkEnd w:id="96"/>
      <w:bookmarkEnd w:id="97"/>
      <w:bookmarkEnd w:id="98"/>
      <w:bookmarkEnd w:id="99"/>
      <w:bookmarkEnd w:id="100"/>
      <w:bookmarkEnd w:id="101"/>
    </w:p>
    <w:p w14:paraId="723965E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02" w:name="_Toc144974602"/>
      <w:bookmarkStart w:id="103" w:name="_Toc179632652"/>
      <w:bookmarkStart w:id="104" w:name="_Toc152042412"/>
      <w:bookmarkStart w:id="105" w:name="_Toc152045634"/>
      <w:r>
        <w:rPr>
          <w:rFonts w:hint="eastAsia" w:ascii="宋体" w:hAnsi="宋体" w:eastAsia="宋体" w:cs="宋体"/>
          <w:color w:val="auto"/>
          <w:sz w:val="28"/>
          <w:szCs w:val="28"/>
          <w:highlight w:val="none"/>
          <w:shd w:val="clear" w:color="auto" w:fill="auto"/>
        </w:rPr>
        <w:t>3.1 监理人的职责和权力</w:t>
      </w:r>
      <w:bookmarkEnd w:id="102"/>
      <w:bookmarkEnd w:id="103"/>
      <w:bookmarkEnd w:id="104"/>
      <w:bookmarkEnd w:id="105"/>
    </w:p>
    <w:p w14:paraId="3F6DEBD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3.1.1监理人受发包人委托，享有合同约定的权力。监理人在行使某项权力前需要经发包人事先批准而通用合同条款没有指明的，应在专用合同条款中指明。</w:t>
      </w:r>
    </w:p>
    <w:p w14:paraId="34ABE40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3.1.2监理人发出的任何指示应视为已得到发包人的批准，但监理人无权免除或变更合同约定的发包人和承包人的权利、义务和责任。</w:t>
      </w:r>
    </w:p>
    <w:p w14:paraId="238C897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3.1.3合同约定应由承包人承担的义务和责任，不因监理人对承包人提交文件的审查或批准，对工程、材料和设备的检查和检验，以及为实施监理作出的指示等职务行为而减轻或解除。</w:t>
      </w:r>
    </w:p>
    <w:p w14:paraId="51D03BC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06" w:name="_Toc144974603"/>
      <w:bookmarkStart w:id="107" w:name="_Toc152045635"/>
      <w:bookmarkStart w:id="108" w:name="_Toc152042413"/>
      <w:bookmarkStart w:id="109" w:name="_Toc179632653"/>
      <w:r>
        <w:rPr>
          <w:rFonts w:hint="eastAsia" w:ascii="宋体" w:hAnsi="宋体" w:eastAsia="宋体" w:cs="宋体"/>
          <w:color w:val="auto"/>
          <w:sz w:val="28"/>
          <w:szCs w:val="28"/>
          <w:highlight w:val="none"/>
          <w:shd w:val="clear" w:color="auto" w:fill="auto"/>
        </w:rPr>
        <w:t>3.2 总监理工程师</w:t>
      </w:r>
      <w:bookmarkEnd w:id="106"/>
      <w:bookmarkEnd w:id="107"/>
      <w:bookmarkEnd w:id="108"/>
      <w:bookmarkEnd w:id="109"/>
    </w:p>
    <w:p w14:paraId="55CA0CC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发包人应在发出开工通知前将总监理工程师的任命通知承包人。总监理工程师更换时，应在调离14天前通知承包人。总监理工程师短期离开施工场地的，应委派代表代行其职责，并通知承包人。</w:t>
      </w:r>
    </w:p>
    <w:p w14:paraId="24EA185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10" w:name="_Toc144974604"/>
      <w:bookmarkStart w:id="111" w:name="_Toc179632654"/>
      <w:bookmarkStart w:id="112" w:name="_Toc152042414"/>
      <w:bookmarkStart w:id="113" w:name="_Toc152045636"/>
      <w:r>
        <w:rPr>
          <w:rFonts w:hint="eastAsia" w:ascii="宋体" w:hAnsi="宋体" w:eastAsia="宋体" w:cs="宋体"/>
          <w:color w:val="auto"/>
          <w:sz w:val="28"/>
          <w:szCs w:val="28"/>
          <w:highlight w:val="none"/>
          <w:shd w:val="clear" w:color="auto" w:fill="auto"/>
        </w:rPr>
        <w:t>3.3 监理人员</w:t>
      </w:r>
      <w:bookmarkEnd w:id="110"/>
      <w:bookmarkEnd w:id="111"/>
      <w:bookmarkEnd w:id="112"/>
      <w:bookmarkEnd w:id="113"/>
    </w:p>
    <w:p w14:paraId="5D7F9F1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p>
    <w:p w14:paraId="1A6EC45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3.3.2监理人员对承包人的任何工作、工程或其采用的材料和工程设备未在约定的或合理的期限内提出否定意见的，视为已获批准，但不影响监理人在以后拒绝该项工作、工程、材料或工程设备的权利。</w:t>
      </w:r>
    </w:p>
    <w:p w14:paraId="287BEFE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3.3.3承包人对总监理工程师授权的监理人员发出的指示有疑问的，可向总监理工程师提出书面异议，总监理工程师应在48小时内对该指示予以确认、更改或撤销。</w:t>
      </w:r>
    </w:p>
    <w:p w14:paraId="6DEF03A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3.3.4除专用合同条款另有约定外，总监理工程师不应将第3.5款约定应由总监理工程师作出确定的权力授权或委托给其他监理人员。</w:t>
      </w:r>
    </w:p>
    <w:p w14:paraId="02BFA4D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14" w:name="_Toc152042415"/>
      <w:bookmarkStart w:id="115" w:name="_Toc179632655"/>
      <w:bookmarkStart w:id="116" w:name="_Toc152045637"/>
      <w:bookmarkStart w:id="117" w:name="_Toc144974605"/>
      <w:r>
        <w:rPr>
          <w:rFonts w:hint="eastAsia" w:ascii="宋体" w:hAnsi="宋体" w:eastAsia="宋体" w:cs="宋体"/>
          <w:color w:val="auto"/>
          <w:sz w:val="28"/>
          <w:szCs w:val="28"/>
          <w:highlight w:val="none"/>
          <w:shd w:val="clear" w:color="auto" w:fill="auto"/>
        </w:rPr>
        <w:t>3.4 监理人的指示</w:t>
      </w:r>
      <w:bookmarkEnd w:id="114"/>
      <w:bookmarkEnd w:id="115"/>
      <w:bookmarkEnd w:id="116"/>
      <w:bookmarkEnd w:id="117"/>
    </w:p>
    <w:p w14:paraId="4D5D52D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3.4.1监理人应按第3.1款的约定向承包人发出指示，监理人的指示应盖有监理人授权的施工场地机构章，并由总监理工程师或总监理工程师按第3.3.1项约定授权的监理人员签字。</w:t>
      </w:r>
    </w:p>
    <w:p w14:paraId="48B7F49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3.4.2承包人收到监理人按第3.4.1项作出的指示后应遵照执行。指示构成变更的，应按第15条处理。</w:t>
      </w:r>
    </w:p>
    <w:p w14:paraId="3F9AA08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14:paraId="6AEE4C7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3.4.4除合同另有约定外，承包人只从总监理工程师或按第3.3.1项被授权的监理人员处取得指示。</w:t>
      </w:r>
    </w:p>
    <w:p w14:paraId="79C17FD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3.4.5由于监理人未能按合同约定发出指示、指示延误或指示错误而导致承包人费用增加和（或）工期延误的，由发包人承担赔偿责任。</w:t>
      </w:r>
    </w:p>
    <w:p w14:paraId="364DFB9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18" w:name="_Toc152045638"/>
      <w:bookmarkStart w:id="119" w:name="_Toc144974606"/>
      <w:bookmarkStart w:id="120" w:name="_Toc179632656"/>
      <w:bookmarkStart w:id="121" w:name="_Toc152042416"/>
      <w:r>
        <w:rPr>
          <w:rFonts w:hint="eastAsia" w:ascii="宋体" w:hAnsi="宋体" w:eastAsia="宋体" w:cs="宋体"/>
          <w:color w:val="auto"/>
          <w:sz w:val="28"/>
          <w:szCs w:val="28"/>
          <w:highlight w:val="none"/>
          <w:shd w:val="clear" w:color="auto" w:fill="auto"/>
        </w:rPr>
        <w:t>3.5 商定或确定</w:t>
      </w:r>
      <w:bookmarkEnd w:id="118"/>
      <w:bookmarkEnd w:id="119"/>
      <w:bookmarkEnd w:id="120"/>
      <w:bookmarkEnd w:id="121"/>
    </w:p>
    <w:p w14:paraId="4293F39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3.5.1合同约定总监理工程师应按照本款对任何事项进行商定或确定时，总监理工程师应与合同当事人协商，尽量达成一致。不能达成一致的，总监理工程师应认真研究后审慎确定。</w:t>
      </w:r>
    </w:p>
    <w:p w14:paraId="59B9F60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p>
    <w:p w14:paraId="19379147">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122" w:name="_Toc152042417"/>
      <w:bookmarkStart w:id="123" w:name="_Toc30360"/>
      <w:bookmarkStart w:id="124" w:name="_Toc179632657"/>
      <w:bookmarkStart w:id="125" w:name="_Toc152045639"/>
      <w:bookmarkStart w:id="126" w:name="_Toc501382107"/>
      <w:bookmarkStart w:id="127" w:name="_Toc144974607"/>
      <w:r>
        <w:rPr>
          <w:rFonts w:hint="eastAsia" w:ascii="宋体" w:hAnsi="宋体" w:eastAsia="宋体" w:cs="宋体"/>
          <w:color w:val="auto"/>
          <w:sz w:val="28"/>
          <w:szCs w:val="28"/>
          <w:highlight w:val="none"/>
          <w:shd w:val="clear" w:color="auto" w:fill="auto"/>
        </w:rPr>
        <w:t>4. 承包人</w:t>
      </w:r>
      <w:bookmarkEnd w:id="122"/>
      <w:bookmarkEnd w:id="123"/>
      <w:bookmarkEnd w:id="124"/>
      <w:bookmarkEnd w:id="125"/>
      <w:bookmarkEnd w:id="126"/>
      <w:bookmarkEnd w:id="127"/>
    </w:p>
    <w:p w14:paraId="41118728">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28" w:name="_Toc152045640"/>
      <w:bookmarkStart w:id="129" w:name="_Toc179632658"/>
      <w:bookmarkStart w:id="130" w:name="_Toc144974608"/>
      <w:bookmarkStart w:id="131" w:name="_Toc152042418"/>
      <w:r>
        <w:rPr>
          <w:rFonts w:hint="eastAsia" w:ascii="宋体" w:hAnsi="宋体" w:eastAsia="宋体" w:cs="宋体"/>
          <w:color w:val="auto"/>
          <w:sz w:val="28"/>
          <w:szCs w:val="28"/>
          <w:highlight w:val="none"/>
          <w:shd w:val="clear" w:color="auto" w:fill="auto"/>
        </w:rPr>
        <w:t>4.1 承包人的一般义务</w:t>
      </w:r>
      <w:bookmarkEnd w:id="128"/>
      <w:bookmarkEnd w:id="129"/>
      <w:bookmarkEnd w:id="130"/>
      <w:bookmarkEnd w:id="131"/>
    </w:p>
    <w:p w14:paraId="5AE1FE14">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4.1.1 遵守法律</w:t>
      </w:r>
    </w:p>
    <w:p w14:paraId="646FFAB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承包人在履行合同过程中应遵守法律，并保证发包人免于承担因承包人违反法律而引起的任何责任。</w:t>
      </w:r>
    </w:p>
    <w:p w14:paraId="66786E83">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4.1.2 依法纳税</w:t>
      </w:r>
    </w:p>
    <w:p w14:paraId="0369047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承包人应按有关法律规定纳税，应缴纳的税金包括在合同价格内。</w:t>
      </w:r>
    </w:p>
    <w:p w14:paraId="10886A9D">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4.1.3 完成各项承包工作</w:t>
      </w:r>
    </w:p>
    <w:p w14:paraId="71A5654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p>
    <w:p w14:paraId="023666D4">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4.1.4 对施工作业和施工方法的完备性负责</w:t>
      </w:r>
    </w:p>
    <w:p w14:paraId="4F924C1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承包人应按合同约定的工作内容和施工进度要求，编制施工组织设计和施工措施计划，并对所有施工作业和施工方法的完备性和安全可靠性负责。</w:t>
      </w:r>
    </w:p>
    <w:p w14:paraId="52D1EB9C">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4.1.5 保证工程施工和人员的安全</w:t>
      </w:r>
    </w:p>
    <w:p w14:paraId="38E1FA3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承包人应按第9.2款约定采取施工安全措施，确保工程及其人员、材料、设备和设施的安全，防止因工程施工造成的人身伤害和财产损失。</w:t>
      </w:r>
    </w:p>
    <w:p w14:paraId="5C628B22">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4.1.6 负责施工场地及其周边环境与生态的保护工作</w:t>
      </w:r>
    </w:p>
    <w:p w14:paraId="6BB2A03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承包人应按照第9.4款约定负责施工场地及其周边环境与生态的保护工作。</w:t>
      </w:r>
    </w:p>
    <w:p w14:paraId="705C82C6">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4.1.7 避免施工对公众与他人的利益造成损害</w:t>
      </w:r>
    </w:p>
    <w:p w14:paraId="4C15F67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1169B1E5">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4.1.8 为他人提供方便</w:t>
      </w:r>
    </w:p>
    <w:p w14:paraId="16FB465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承包人应按监理人的指示为他人在施工场地或附近实施与工程有关的其他各项工作提供可能的条件。除合同另有约定外，提供有关条件的内容和可能发生的费用，由监理人按第3.5款商定或确定。</w:t>
      </w:r>
    </w:p>
    <w:p w14:paraId="11E97AC3">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4.1.9 工程的维护和照管</w:t>
      </w:r>
    </w:p>
    <w:p w14:paraId="5088EEF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工程接收证书颁发前，承包人应负责照管和维护工程。工程接收证书颁发时尚有部分未竣工工程的，承包人还应负责该未竣工工程的照管和维护工作，直至竣工后移交给发包人为止。</w:t>
      </w:r>
    </w:p>
    <w:p w14:paraId="367746D4">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hAnsi="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 xml:space="preserve">4.1.10 </w:t>
      </w:r>
      <w:r>
        <w:rPr>
          <w:rFonts w:hint="eastAsia" w:hAnsi="宋体" w:cs="宋体"/>
          <w:color w:val="auto"/>
          <w:sz w:val="28"/>
          <w:szCs w:val="28"/>
          <w:highlight w:val="none"/>
          <w:shd w:val="clear" w:color="auto" w:fill="auto"/>
          <w:lang w:val="en-US" w:eastAsia="zh-CN"/>
        </w:rPr>
        <w:t>保障农民工工资支付</w:t>
      </w:r>
    </w:p>
    <w:p w14:paraId="229AEB20">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default" w:hAnsi="宋体" w:cs="宋体"/>
          <w:color w:val="auto"/>
          <w:sz w:val="28"/>
          <w:szCs w:val="28"/>
          <w:highlight w:val="none"/>
          <w:shd w:val="clear" w:color="auto" w:fill="auto"/>
          <w:lang w:val="en-US" w:eastAsia="zh-CN"/>
        </w:rPr>
      </w:pPr>
      <w:r>
        <w:rPr>
          <w:rFonts w:hint="eastAsia" w:ascii="宋体" w:hAnsi="宋体"/>
          <w:color w:val="auto"/>
          <w:sz w:val="28"/>
          <w:szCs w:val="28"/>
          <w:highlight w:val="none"/>
          <w:shd w:val="clear" w:color="auto" w:fill="auto"/>
        </w:rPr>
        <w:t>严格执行《保障农民工工资支付条例》（国务院令第724号）要求，开设农民工工资专用账户，专项用于支付该项目农民工工资。若出现拖欠农民工工资产生不良影响的，由</w:t>
      </w:r>
      <w:r>
        <w:rPr>
          <w:rFonts w:hint="eastAsia" w:ascii="宋体" w:hAnsi="宋体"/>
          <w:color w:val="auto"/>
          <w:sz w:val="28"/>
          <w:szCs w:val="28"/>
          <w:highlight w:val="none"/>
          <w:shd w:val="clear" w:color="auto" w:fill="auto"/>
          <w:lang w:val="en-US" w:eastAsia="zh-CN"/>
        </w:rPr>
        <w:t>乙方承担全部责任及后果</w:t>
      </w:r>
      <w:r>
        <w:rPr>
          <w:rFonts w:hint="eastAsia" w:ascii="宋体" w:hAnsi="宋体"/>
          <w:color w:val="auto"/>
          <w:sz w:val="28"/>
          <w:szCs w:val="28"/>
          <w:highlight w:val="none"/>
          <w:shd w:val="clear" w:color="auto" w:fill="auto"/>
          <w:lang w:eastAsia="zh-CN"/>
        </w:rPr>
        <w:t>。</w:t>
      </w:r>
    </w:p>
    <w:p w14:paraId="1EEBC61C">
      <w:pPr>
        <w:pStyle w:val="92"/>
        <w:keepNext w:val="0"/>
        <w:keepLines w:val="0"/>
        <w:pageBreakBefore w:val="0"/>
        <w:widowControl w:val="0"/>
        <w:kinsoku/>
        <w:wordWrap/>
        <w:overflowPunct/>
        <w:topLinePunct w:val="0"/>
        <w:autoSpaceDE w:val="0"/>
        <w:autoSpaceDN w:val="0"/>
        <w:bidi w:val="0"/>
        <w:snapToGrid/>
        <w:spacing w:line="540" w:lineRule="exact"/>
        <w:ind w:left="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hAnsi="宋体" w:cs="宋体"/>
          <w:color w:val="auto"/>
          <w:sz w:val="28"/>
          <w:szCs w:val="28"/>
          <w:highlight w:val="none"/>
          <w:shd w:val="clear" w:color="auto" w:fill="auto"/>
          <w:lang w:val="en-US" w:eastAsia="zh-CN"/>
        </w:rPr>
        <w:t xml:space="preserve">4.1.11 </w:t>
      </w:r>
      <w:r>
        <w:rPr>
          <w:rFonts w:hint="eastAsia" w:ascii="宋体" w:hAnsi="宋体" w:eastAsia="宋体" w:cs="宋体"/>
          <w:color w:val="auto"/>
          <w:sz w:val="28"/>
          <w:szCs w:val="28"/>
          <w:highlight w:val="none"/>
          <w:shd w:val="clear" w:color="auto" w:fill="auto"/>
        </w:rPr>
        <w:t>其他义务</w:t>
      </w:r>
    </w:p>
    <w:p w14:paraId="71C379A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承包人应履行合同约定的其他义务。</w:t>
      </w:r>
    </w:p>
    <w:p w14:paraId="06D5A9D6">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32" w:name="_Toc179632659"/>
      <w:bookmarkStart w:id="133" w:name="_Toc152045641"/>
      <w:bookmarkStart w:id="134" w:name="_Toc152042419"/>
      <w:bookmarkStart w:id="135" w:name="_Toc144974609"/>
      <w:r>
        <w:rPr>
          <w:rFonts w:hint="eastAsia" w:ascii="宋体" w:hAnsi="宋体" w:eastAsia="宋体" w:cs="宋体"/>
          <w:color w:val="auto"/>
          <w:sz w:val="28"/>
          <w:szCs w:val="28"/>
          <w:highlight w:val="none"/>
          <w:shd w:val="clear" w:color="auto" w:fill="auto"/>
        </w:rPr>
        <w:t>4.2 履约担保</w:t>
      </w:r>
      <w:bookmarkEnd w:id="132"/>
      <w:bookmarkEnd w:id="133"/>
      <w:bookmarkEnd w:id="134"/>
      <w:bookmarkEnd w:id="135"/>
    </w:p>
    <w:p w14:paraId="4F3A4D5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承包人应保证其履约担保在发包人颁发工程接收证书前一直有效。发包人应在工程接收证书颁发后28天内把履约担保退还给承包人。</w:t>
      </w:r>
    </w:p>
    <w:p w14:paraId="559D1AE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36" w:name="_Toc179632660"/>
      <w:bookmarkStart w:id="137" w:name="_Toc152045642"/>
      <w:bookmarkStart w:id="138" w:name="_Toc144974610"/>
      <w:bookmarkStart w:id="139" w:name="_Toc152042420"/>
      <w:r>
        <w:rPr>
          <w:rFonts w:hint="eastAsia" w:ascii="宋体" w:hAnsi="宋体" w:eastAsia="宋体" w:cs="宋体"/>
          <w:color w:val="auto"/>
          <w:sz w:val="28"/>
          <w:szCs w:val="28"/>
          <w:highlight w:val="none"/>
          <w:shd w:val="clear" w:color="auto" w:fill="auto"/>
        </w:rPr>
        <w:t xml:space="preserve">4.3 </w:t>
      </w:r>
      <w:r>
        <w:rPr>
          <w:rFonts w:hint="eastAsia" w:ascii="宋体" w:eastAsia="宋体" w:cs="宋体"/>
          <w:color w:val="auto"/>
          <w:sz w:val="28"/>
          <w:szCs w:val="28"/>
          <w:highlight w:val="none"/>
          <w:shd w:val="clear" w:color="auto" w:fill="auto"/>
          <w:lang w:val="en-US" w:eastAsia="zh-CN"/>
        </w:rPr>
        <w:t>转包和</w:t>
      </w:r>
      <w:r>
        <w:rPr>
          <w:rFonts w:hint="eastAsia" w:ascii="宋体" w:hAnsi="宋体" w:eastAsia="宋体" w:cs="宋体"/>
          <w:color w:val="auto"/>
          <w:sz w:val="28"/>
          <w:szCs w:val="28"/>
          <w:highlight w:val="none"/>
          <w:shd w:val="clear" w:color="auto" w:fill="auto"/>
        </w:rPr>
        <w:t>分包</w:t>
      </w:r>
      <w:bookmarkEnd w:id="136"/>
      <w:bookmarkEnd w:id="137"/>
      <w:bookmarkEnd w:id="138"/>
      <w:bookmarkEnd w:id="139"/>
    </w:p>
    <w:p w14:paraId="66CE62D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4.3.1承包人不得将其承包的全部工程转包给第三人，或将其承包的全部工程肢解后以分包的名义转包给第三人。</w:t>
      </w:r>
    </w:p>
    <w:p w14:paraId="7AC9FF5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4.3.2承包人不得将工程主体、关键性工作分包给第三人。除专用合同条款另有约定外，未经发包人同意，承包人不得将工程的其他部分或工作分包给第三人。</w:t>
      </w:r>
    </w:p>
    <w:p w14:paraId="015C9C7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4.3.3分包人的资格能力应与其分包工程的标准和规模相适应。</w:t>
      </w:r>
    </w:p>
    <w:p w14:paraId="084901B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4.3.4按投标函附录约定分包工程的，承包人应向发包人和监理人提交分包合同副本。</w:t>
      </w:r>
    </w:p>
    <w:p w14:paraId="63F6292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4.3.5承包人应与分包人就分包工程向发包人承担连带责任。</w:t>
      </w:r>
    </w:p>
    <w:p w14:paraId="15CD921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40" w:name="_Toc179632661"/>
      <w:bookmarkStart w:id="141" w:name="_Toc152045643"/>
      <w:bookmarkStart w:id="142" w:name="_Toc152042421"/>
      <w:bookmarkStart w:id="143" w:name="_Toc144974611"/>
      <w:r>
        <w:rPr>
          <w:rFonts w:hint="eastAsia" w:ascii="宋体" w:hAnsi="宋体" w:eastAsia="宋体" w:cs="宋体"/>
          <w:color w:val="auto"/>
          <w:sz w:val="28"/>
          <w:szCs w:val="28"/>
          <w:highlight w:val="none"/>
          <w:shd w:val="clear" w:color="auto" w:fill="auto"/>
        </w:rPr>
        <w:t>4.4 联合体</w:t>
      </w:r>
      <w:bookmarkEnd w:id="140"/>
      <w:bookmarkEnd w:id="141"/>
      <w:bookmarkEnd w:id="142"/>
      <w:bookmarkEnd w:id="143"/>
    </w:p>
    <w:p w14:paraId="4336CDF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4.4.1联合体各方应共同与发包人签订合同协议书。联合体各方应为履行合同承担连带责任。</w:t>
      </w:r>
    </w:p>
    <w:p w14:paraId="49C91D5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4.4.2联合体协议经发包人确认后作为合同附件。在履行合同过程中，未经发包人</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同意，不得修改联合体协议。</w:t>
      </w:r>
    </w:p>
    <w:p w14:paraId="57D8AFD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4.4.3联合体牵头人负责与发包人和监理人联系，并接受指示，负责组织联合体各成员全面履行合同。</w:t>
      </w:r>
    </w:p>
    <w:p w14:paraId="2F391BF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44" w:name="_Toc152042422"/>
      <w:bookmarkStart w:id="145" w:name="_Toc179632662"/>
      <w:bookmarkStart w:id="146" w:name="_Toc144974612"/>
      <w:bookmarkStart w:id="147" w:name="_Toc152045644"/>
      <w:r>
        <w:rPr>
          <w:rFonts w:hint="eastAsia" w:ascii="宋体" w:hAnsi="宋体" w:eastAsia="宋体" w:cs="宋体"/>
          <w:color w:val="auto"/>
          <w:sz w:val="28"/>
          <w:szCs w:val="28"/>
          <w:highlight w:val="none"/>
          <w:shd w:val="clear" w:color="auto" w:fill="auto"/>
        </w:rPr>
        <w:t>4.5 承包人项目经理</w:t>
      </w:r>
      <w:bookmarkEnd w:id="144"/>
      <w:bookmarkEnd w:id="145"/>
      <w:bookmarkEnd w:id="146"/>
      <w:bookmarkEnd w:id="147"/>
    </w:p>
    <w:p w14:paraId="0955E6D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4.5.1承包人应按合同约定指派项目经理，并在约定的期限内到职。承包人更换项目经理应事先征得发包人同意，并应在更换14天前通知发包人和监理人。承包人项目经理短期</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不超过</w:t>
      </w:r>
      <w:permStart w:id="38" w:edGrp="everyone"/>
      <w:r>
        <w:rPr>
          <w:rFonts w:hint="default" w:ascii="宋体" w:hAnsi="宋体" w:cs="宋体"/>
          <w:color w:val="auto"/>
          <w:sz w:val="28"/>
          <w:szCs w:val="28"/>
          <w:u w:val="single"/>
          <w:shd w:val="clear" w:color="auto" w:fill="auto"/>
          <w:lang w:val="en-US"/>
        </w:rPr>
        <w:t xml:space="preserve">    </w:t>
      </w:r>
      <w:permEnd w:id="38"/>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离开施工场地，应事先征得监理人同意，并委派代表代行其职责。</w:t>
      </w:r>
    </w:p>
    <w:p w14:paraId="4C3057B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4.5.2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14:paraId="23EA63C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4.5.3承包人为履行合同发出的一切函件均应盖有承包人授权的施工场地管理机构章，并由承包人项目经理或其授权代表签字。</w:t>
      </w:r>
    </w:p>
    <w:p w14:paraId="7522511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4.5.4承包人项目经理可以授权其下属人员履行其某项职责，但事先应将这些人员的姓名和授权范围通知监理人。</w:t>
      </w:r>
    </w:p>
    <w:p w14:paraId="3A00E46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48" w:name="_Toc179632663"/>
      <w:bookmarkStart w:id="149" w:name="_Toc144974613"/>
      <w:bookmarkStart w:id="150" w:name="_Toc152045645"/>
      <w:bookmarkStart w:id="151" w:name="_Toc152042423"/>
      <w:r>
        <w:rPr>
          <w:rFonts w:hint="eastAsia" w:ascii="宋体" w:hAnsi="宋体" w:eastAsia="宋体" w:cs="宋体"/>
          <w:color w:val="auto"/>
          <w:sz w:val="28"/>
          <w:szCs w:val="28"/>
          <w:highlight w:val="none"/>
          <w:shd w:val="clear" w:color="auto" w:fill="auto"/>
        </w:rPr>
        <w:t>4.6 承包人人员的管理</w:t>
      </w:r>
      <w:bookmarkEnd w:id="148"/>
      <w:bookmarkEnd w:id="149"/>
      <w:bookmarkEnd w:id="150"/>
      <w:bookmarkEnd w:id="151"/>
    </w:p>
    <w:p w14:paraId="0701947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14:paraId="2D09BED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4.6.2为完成合同约定的各项工作，承包人应向施工场地派遣或雇佣足够数量的下列人员：</w:t>
      </w:r>
    </w:p>
    <w:p w14:paraId="3BF1F58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（1）具有相应资格的专业技工和合格的普工；</w:t>
      </w:r>
    </w:p>
    <w:p w14:paraId="70D5E06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（2）具有相应施工经验的技术人员；</w:t>
      </w:r>
    </w:p>
    <w:p w14:paraId="052AA44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（3）具有相应岗位资格的各级管理人员。</w:t>
      </w:r>
    </w:p>
    <w:p w14:paraId="250867C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4.6.3承包人安排在施工场地的主要管理人员和技术骨干应相对稳定。承包人更换主要管理人员和技术骨干时，应取得监理人的同意。</w:t>
      </w:r>
    </w:p>
    <w:p w14:paraId="133CDC6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4.6.4特殊岗位的工作人员均应持有相应的资格证明，监理人有权随时检查。监理人认为有必要时，可进行现场考核。</w:t>
      </w:r>
    </w:p>
    <w:p w14:paraId="68C1189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52" w:name="_Toc152045646"/>
      <w:bookmarkStart w:id="153" w:name="_Toc152042424"/>
      <w:bookmarkStart w:id="154" w:name="_Toc144974614"/>
      <w:bookmarkStart w:id="155" w:name="_Toc179632664"/>
      <w:r>
        <w:rPr>
          <w:rFonts w:hint="eastAsia" w:ascii="宋体" w:hAnsi="宋体" w:eastAsia="宋体" w:cs="宋体"/>
          <w:color w:val="auto"/>
          <w:sz w:val="28"/>
          <w:szCs w:val="28"/>
          <w:highlight w:val="none"/>
          <w:shd w:val="clear" w:color="auto" w:fill="auto"/>
        </w:rPr>
        <w:t>4.7 撤换承包人项目经理和其他人员</w:t>
      </w:r>
      <w:bookmarkEnd w:id="152"/>
      <w:bookmarkEnd w:id="153"/>
      <w:bookmarkEnd w:id="154"/>
      <w:bookmarkEnd w:id="155"/>
    </w:p>
    <w:p w14:paraId="046A032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承包人应对其项目经理和其他人员进行有效管理。监理人要求撤换不能胜任本职工作、行为不端或玩忽职守的承包人项目经理和其他人员的，承包人应予以撤换。</w:t>
      </w:r>
    </w:p>
    <w:p w14:paraId="0F2B82E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56" w:name="_Toc179632665"/>
      <w:bookmarkStart w:id="157" w:name="_Toc152045647"/>
      <w:bookmarkStart w:id="158" w:name="_Toc152042425"/>
      <w:bookmarkStart w:id="159" w:name="_Toc144974615"/>
      <w:r>
        <w:rPr>
          <w:rFonts w:hint="eastAsia" w:ascii="宋体" w:hAnsi="宋体" w:eastAsia="宋体" w:cs="宋体"/>
          <w:color w:val="auto"/>
          <w:sz w:val="28"/>
          <w:szCs w:val="28"/>
          <w:highlight w:val="none"/>
          <w:shd w:val="clear" w:color="auto" w:fill="auto"/>
        </w:rPr>
        <w:t>4.8 保障承包人人员的合法权益</w:t>
      </w:r>
      <w:bookmarkEnd w:id="156"/>
      <w:bookmarkEnd w:id="157"/>
      <w:bookmarkEnd w:id="158"/>
      <w:bookmarkEnd w:id="159"/>
    </w:p>
    <w:p w14:paraId="0D41436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4.8.1承包人应与其雇佣的人员签订劳动合同，并按时发放工资，建立农民工工资专用账户。</w:t>
      </w:r>
    </w:p>
    <w:p w14:paraId="2B1EAF1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4.8.2承包人应按劳动法的规定安排工作时间，保证其雇佣人员享有休息和休假的权利。因工程施工的特殊需要占用休假日或延长工作时间的，应不超过法律规定的限度，并按法律规定给予补休或付酬。</w:t>
      </w:r>
    </w:p>
    <w:p w14:paraId="1E91207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4.8.3承包人应为其雇佣人员提供必要的食宿条件，以及符合环境保护和卫生要求的生活环境，在远离城镇的施工场地，还应配备必要的伤病防治和急救的医务人员与医疗设施。</w:t>
      </w:r>
    </w:p>
    <w:p w14:paraId="3B50466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4.8.4承包人应按国家有关劳动保护的规定，采取有效的防止粉尘、降低噪声、控制有害气体和保障高温、高寒、高空作业安全等劳动保护措施。其雇佣人员在施工中受到伤害的，承包人应立即采取有效措施进行抢救和治疗。</w:t>
      </w:r>
    </w:p>
    <w:p w14:paraId="36D0A05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4.8.5承包人应按有关法律规定和合同约定，为其雇佣人员办理保险。</w:t>
      </w:r>
    </w:p>
    <w:p w14:paraId="23C20A3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4.8.6承包人应负责处理其雇佣人员因工伤亡事故的善后事宜。</w:t>
      </w:r>
    </w:p>
    <w:p w14:paraId="27EF604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60" w:name="_Toc152045648"/>
      <w:bookmarkStart w:id="161" w:name="_Toc144974616"/>
      <w:bookmarkStart w:id="162" w:name="_Toc179632666"/>
      <w:bookmarkStart w:id="163" w:name="_Toc152042426"/>
      <w:r>
        <w:rPr>
          <w:rFonts w:hint="eastAsia" w:ascii="宋体" w:hAnsi="宋体" w:eastAsia="宋体" w:cs="宋体"/>
          <w:color w:val="auto"/>
          <w:sz w:val="28"/>
          <w:szCs w:val="28"/>
          <w:highlight w:val="none"/>
          <w:shd w:val="clear" w:color="auto" w:fill="auto"/>
        </w:rPr>
        <w:t>4.9 工程价款应专款专用</w:t>
      </w:r>
      <w:bookmarkEnd w:id="160"/>
      <w:bookmarkEnd w:id="161"/>
      <w:bookmarkEnd w:id="162"/>
      <w:bookmarkEnd w:id="163"/>
    </w:p>
    <w:p w14:paraId="72D2C05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发包人按合同约定支付给承包人的各项价款应专用于合同工程。</w:t>
      </w:r>
    </w:p>
    <w:p w14:paraId="14D6344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64" w:name="_Toc144974617"/>
      <w:bookmarkStart w:id="165" w:name="_Toc152045649"/>
      <w:bookmarkStart w:id="166" w:name="_Toc179632667"/>
      <w:bookmarkStart w:id="167" w:name="_Toc152042427"/>
      <w:r>
        <w:rPr>
          <w:rFonts w:hint="eastAsia" w:ascii="宋体" w:hAnsi="宋体" w:eastAsia="宋体" w:cs="宋体"/>
          <w:color w:val="auto"/>
          <w:sz w:val="28"/>
          <w:szCs w:val="28"/>
          <w:highlight w:val="none"/>
          <w:shd w:val="clear" w:color="auto" w:fill="auto"/>
        </w:rPr>
        <w:t>4.10 承包人现场查勘</w:t>
      </w:r>
      <w:bookmarkEnd w:id="164"/>
      <w:bookmarkEnd w:id="165"/>
      <w:bookmarkEnd w:id="166"/>
      <w:bookmarkEnd w:id="167"/>
    </w:p>
    <w:p w14:paraId="108DA84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4.10.1发包人应将其持有的现场地质勘探资料、水文气象资料提供给承包人，并对其准确性负责。但承包人应对其阅读上述有关资料后所作出的解释和推断负责。</w:t>
      </w:r>
    </w:p>
    <w:p w14:paraId="5EF5046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4.10.2承包人应对施工场地和周围环境进行查勘，并收集有关地质、水文、气象条件、交通条件、风俗习惯以及其他为完成合同工作有关的当地资料。在全部合同工作中，应视为承包人已充分估计了应承担的责任和风险。</w:t>
      </w:r>
    </w:p>
    <w:p w14:paraId="0EC2692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68" w:name="_Toc179632668"/>
      <w:bookmarkStart w:id="169" w:name="_Toc152042428"/>
      <w:bookmarkStart w:id="170" w:name="_Toc144974618"/>
      <w:bookmarkStart w:id="171" w:name="_Toc152045650"/>
      <w:r>
        <w:rPr>
          <w:rFonts w:hint="eastAsia" w:ascii="宋体" w:hAnsi="宋体" w:eastAsia="宋体" w:cs="宋体"/>
          <w:color w:val="auto"/>
          <w:sz w:val="28"/>
          <w:szCs w:val="28"/>
          <w:highlight w:val="none"/>
          <w:shd w:val="clear" w:color="auto" w:fill="auto"/>
        </w:rPr>
        <w:t>4.11 不利物质条件</w:t>
      </w:r>
      <w:bookmarkEnd w:id="168"/>
      <w:bookmarkEnd w:id="169"/>
      <w:bookmarkEnd w:id="170"/>
      <w:bookmarkEnd w:id="171"/>
    </w:p>
    <w:p w14:paraId="6C7C31A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4.11.1不利物质条件，除专用合同条款另有约定外，是指承包人在施工场地遇到的不可预见的自然物质条件、非自然的物质障碍和污染物，包括地下和水文条件，但不包括气候条件。</w:t>
      </w:r>
    </w:p>
    <w:p w14:paraId="7B6E0EC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4.11.2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p>
    <w:p w14:paraId="627A7E96">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172" w:name="_Toc152045651"/>
      <w:bookmarkStart w:id="173" w:name="_Toc152042429"/>
      <w:bookmarkStart w:id="174" w:name="_Toc501382108"/>
      <w:bookmarkStart w:id="175" w:name="_Toc31862"/>
      <w:bookmarkStart w:id="176" w:name="_Toc179632669"/>
      <w:bookmarkStart w:id="177" w:name="_Toc144974619"/>
      <w:r>
        <w:rPr>
          <w:rFonts w:hint="eastAsia" w:ascii="宋体" w:hAnsi="宋体" w:eastAsia="宋体" w:cs="宋体"/>
          <w:color w:val="auto"/>
          <w:sz w:val="28"/>
          <w:szCs w:val="28"/>
          <w:highlight w:val="none"/>
          <w:shd w:val="clear" w:color="auto" w:fill="auto"/>
        </w:rPr>
        <w:t>5. 材料和工程设备</w:t>
      </w:r>
      <w:bookmarkEnd w:id="172"/>
      <w:bookmarkEnd w:id="173"/>
      <w:bookmarkEnd w:id="174"/>
      <w:bookmarkEnd w:id="175"/>
      <w:bookmarkEnd w:id="176"/>
      <w:bookmarkEnd w:id="177"/>
    </w:p>
    <w:p w14:paraId="139A2A1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78" w:name="_Toc144974620"/>
      <w:bookmarkStart w:id="179" w:name="_Toc152042430"/>
      <w:bookmarkStart w:id="180" w:name="_Toc152045652"/>
      <w:bookmarkStart w:id="181" w:name="_Toc179632670"/>
      <w:r>
        <w:rPr>
          <w:rFonts w:hint="eastAsia" w:ascii="宋体" w:hAnsi="宋体" w:eastAsia="宋体" w:cs="宋体"/>
          <w:color w:val="auto"/>
          <w:sz w:val="28"/>
          <w:szCs w:val="28"/>
          <w:highlight w:val="none"/>
          <w:shd w:val="clear" w:color="auto" w:fill="auto"/>
        </w:rPr>
        <w:t>5.1 承包人提供的材料和工程设备</w:t>
      </w:r>
      <w:bookmarkEnd w:id="178"/>
      <w:bookmarkEnd w:id="179"/>
      <w:bookmarkEnd w:id="180"/>
      <w:bookmarkEnd w:id="181"/>
    </w:p>
    <w:p w14:paraId="18B3FDB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5.1.1除专用合同条款另有约定外，承包人提供的材料和工程设备均由承包人负责采购、运输和保管。承包人应对其采购的材料和工程设备负责。</w:t>
      </w:r>
    </w:p>
    <w:p w14:paraId="76DDD88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p>
    <w:p w14:paraId="7794787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14:paraId="1D10F3C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82" w:name="_Toc179632671"/>
      <w:bookmarkStart w:id="183" w:name="_Toc144974621"/>
      <w:bookmarkStart w:id="184" w:name="_Toc152045653"/>
      <w:bookmarkStart w:id="185" w:name="_Toc152042431"/>
      <w:r>
        <w:rPr>
          <w:rFonts w:hint="eastAsia" w:ascii="宋体" w:hAnsi="宋体" w:eastAsia="宋体" w:cs="宋体"/>
          <w:color w:val="auto"/>
          <w:sz w:val="28"/>
          <w:szCs w:val="28"/>
          <w:highlight w:val="none"/>
          <w:shd w:val="clear" w:color="auto" w:fill="auto"/>
        </w:rPr>
        <w:t>5.2 发包人提供的材料和工程设备</w:t>
      </w:r>
      <w:bookmarkEnd w:id="182"/>
      <w:bookmarkEnd w:id="183"/>
      <w:bookmarkEnd w:id="184"/>
      <w:bookmarkEnd w:id="185"/>
    </w:p>
    <w:p w14:paraId="63ABE5A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5.2.1发包人提供的材料和工程设备，应在专用合同条款中写明材料和工程设备的名称、规格、数量、价格、交货方式、交货地点和计划交货日期等。</w:t>
      </w:r>
    </w:p>
    <w:p w14:paraId="56FCA70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5.2.2承包人应根据合同进度计划的安排，向监理人报送要求发包人交货的日期计划。发包人应按照监理人与合同双方当事人商定的交货日期，向承包人提交材料和工程设备。</w:t>
      </w:r>
    </w:p>
    <w:p w14:paraId="53BFC61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5.2.3发包人应在材料和工程设备到货7天前通知承包人，承包人应会同监理人在约定的时间内，赴交货地点共同进行验收。除专用合同条款另有约定外，发包人提供的材料和工程设备验收后，由承包人负责接收、运输和保管。</w:t>
      </w:r>
    </w:p>
    <w:p w14:paraId="68E4AB8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5.2.4发包人要求向承包人提前交货的，承包人不得拒绝，但发包人应承担承包人由此增加的费用。</w:t>
      </w:r>
    </w:p>
    <w:p w14:paraId="2E922FB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5.2.5承包人要求更改交货日期或地点的，应事先报请监理人批准。由于承包人要求更改交货时间或地点所增加的费用和（或）工期延误由承包人承担。</w:t>
      </w:r>
    </w:p>
    <w:p w14:paraId="2CE9994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5.2.6发包人提供的材料和工程设备的规格、数量或质量不符合合同要求，或由于发包人原因发生交货日期延误及交货地点变更等情况的，发包人应承担由此增加的费用和（或）工期延误，并向承包人支付合理利润。</w:t>
      </w:r>
    </w:p>
    <w:p w14:paraId="10840D12">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86" w:name="_Toc152042432"/>
      <w:bookmarkStart w:id="187" w:name="_Toc144974622"/>
      <w:bookmarkStart w:id="188" w:name="_Toc152045654"/>
      <w:bookmarkStart w:id="189" w:name="_Toc179632672"/>
      <w:r>
        <w:rPr>
          <w:rFonts w:hint="eastAsia" w:ascii="宋体" w:hAnsi="宋体" w:eastAsia="宋体" w:cs="宋体"/>
          <w:color w:val="auto"/>
          <w:sz w:val="28"/>
          <w:szCs w:val="28"/>
          <w:highlight w:val="none"/>
          <w:shd w:val="clear" w:color="auto" w:fill="auto"/>
        </w:rPr>
        <w:t>5.3 材料和工程设备专用于合同工程</w:t>
      </w:r>
      <w:bookmarkEnd w:id="186"/>
      <w:bookmarkEnd w:id="187"/>
      <w:bookmarkEnd w:id="188"/>
      <w:bookmarkEnd w:id="189"/>
    </w:p>
    <w:p w14:paraId="0D96DAF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5.3.1运入施工场地的材料、工程设备，包括备品备件、安装专用工器具与随机资料，必须专用于合同工程，未经监理人同意，承包人不得运出施工场地或挪作他用。</w:t>
      </w:r>
    </w:p>
    <w:p w14:paraId="66C56C4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5.3.2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14:paraId="3D7FD4E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190" w:name="_Toc152045655"/>
      <w:bookmarkStart w:id="191" w:name="_Toc152042433"/>
      <w:bookmarkStart w:id="192" w:name="_Toc144974623"/>
      <w:bookmarkStart w:id="193" w:name="_Toc179632673"/>
      <w:r>
        <w:rPr>
          <w:rFonts w:hint="eastAsia" w:ascii="宋体" w:hAnsi="宋体" w:eastAsia="宋体" w:cs="宋体"/>
          <w:color w:val="auto"/>
          <w:sz w:val="28"/>
          <w:szCs w:val="28"/>
          <w:highlight w:val="none"/>
          <w:shd w:val="clear" w:color="auto" w:fill="auto"/>
        </w:rPr>
        <w:t>5.4 禁止使用不合格的材料和工程设备</w:t>
      </w:r>
      <w:bookmarkEnd w:id="190"/>
      <w:bookmarkEnd w:id="191"/>
      <w:bookmarkEnd w:id="192"/>
      <w:bookmarkEnd w:id="193"/>
    </w:p>
    <w:p w14:paraId="3048FB2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5.4.1监理人有权拒绝承包人提供的不合格材料或工程设备，并要求承包人立即进行更换。监理人应在更换后再次进行检查和检验，由此增加的费用和（或）工期延误由承包人承担。</w:t>
      </w:r>
    </w:p>
    <w:p w14:paraId="6F753A5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5.4.2监理人发现承包人使用了不合格的材料和工程设备，应即时发出指示要求承包人立即改正，并禁止在工程中继续使用不合格的材料和工程设备。</w:t>
      </w:r>
    </w:p>
    <w:p w14:paraId="3E5C352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5.4.3发包人提供的材料或工程设备不符合合同要求的，承包人有权拒绝，并可要求发包人更换，由此增加的费用和（或）工期延误由发包人承担。</w:t>
      </w:r>
    </w:p>
    <w:p w14:paraId="413D61E1">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194" w:name="_Toc152045656"/>
      <w:bookmarkStart w:id="195" w:name="_Toc501382109"/>
      <w:bookmarkStart w:id="196" w:name="_Toc179632674"/>
      <w:bookmarkStart w:id="197" w:name="_Toc18203"/>
      <w:bookmarkStart w:id="198" w:name="_Toc152042434"/>
      <w:bookmarkStart w:id="199" w:name="_Toc144974624"/>
      <w:r>
        <w:rPr>
          <w:rFonts w:hint="eastAsia" w:ascii="宋体" w:hAnsi="宋体" w:eastAsia="宋体" w:cs="宋体"/>
          <w:color w:val="auto"/>
          <w:sz w:val="28"/>
          <w:szCs w:val="28"/>
          <w:highlight w:val="none"/>
          <w:shd w:val="clear" w:color="auto" w:fill="auto"/>
        </w:rPr>
        <w:t>6. 施工设备和临时设施</w:t>
      </w:r>
      <w:bookmarkEnd w:id="194"/>
      <w:bookmarkEnd w:id="195"/>
      <w:bookmarkEnd w:id="196"/>
      <w:bookmarkEnd w:id="197"/>
      <w:bookmarkEnd w:id="198"/>
      <w:bookmarkEnd w:id="199"/>
    </w:p>
    <w:p w14:paraId="1986486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00" w:name="_Toc152045657"/>
      <w:bookmarkStart w:id="201" w:name="_Toc144974625"/>
      <w:bookmarkStart w:id="202" w:name="_Toc179632675"/>
      <w:bookmarkStart w:id="203" w:name="_Toc152042435"/>
      <w:r>
        <w:rPr>
          <w:rFonts w:hint="eastAsia" w:ascii="宋体" w:hAnsi="宋体" w:eastAsia="宋体" w:cs="宋体"/>
          <w:color w:val="auto"/>
          <w:sz w:val="28"/>
          <w:szCs w:val="28"/>
          <w:highlight w:val="none"/>
          <w:shd w:val="clear" w:color="auto" w:fill="auto"/>
        </w:rPr>
        <w:t>6.1 承包人提供的施工设备和临时设施</w:t>
      </w:r>
      <w:bookmarkEnd w:id="200"/>
      <w:bookmarkEnd w:id="201"/>
      <w:bookmarkEnd w:id="202"/>
      <w:bookmarkEnd w:id="203"/>
    </w:p>
    <w:p w14:paraId="358D8D2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6.1.1承包人应按合同进度计划的要求，及时配置施工设备和修建临时设施。进入施工场地的承包人设备需经监理人核查后才能投入使用。承包人更换合同约定的承包人设备的，应报监理人批准。</w:t>
      </w:r>
    </w:p>
    <w:p w14:paraId="3F0DE43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6.1.2除专用合同条款另有约定外，承包人应自行承担修建临时设施的费用，需要临时占地的，应由发包人办理申请手续并承担相应费用。</w:t>
      </w:r>
    </w:p>
    <w:p w14:paraId="1656454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04" w:name="_Toc152045658"/>
      <w:bookmarkStart w:id="205" w:name="_Toc144974626"/>
      <w:bookmarkStart w:id="206" w:name="_Toc152042436"/>
      <w:bookmarkStart w:id="207" w:name="_Toc179632676"/>
      <w:r>
        <w:rPr>
          <w:rFonts w:hint="eastAsia" w:ascii="宋体" w:hAnsi="宋体" w:eastAsia="宋体" w:cs="宋体"/>
          <w:color w:val="auto"/>
          <w:sz w:val="28"/>
          <w:szCs w:val="28"/>
          <w:highlight w:val="none"/>
          <w:shd w:val="clear" w:color="auto" w:fill="auto"/>
        </w:rPr>
        <w:t>6.2 发包人提供的施工设备和临时设施</w:t>
      </w:r>
      <w:bookmarkEnd w:id="204"/>
      <w:bookmarkEnd w:id="205"/>
      <w:bookmarkEnd w:id="206"/>
      <w:bookmarkEnd w:id="207"/>
    </w:p>
    <w:p w14:paraId="0F73528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发包人提供的施工设备或临时设施在专用合同条款中约定。</w:t>
      </w:r>
    </w:p>
    <w:p w14:paraId="260DE8F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08" w:name="_Toc144974627"/>
      <w:bookmarkStart w:id="209" w:name="_Toc152045659"/>
      <w:bookmarkStart w:id="210" w:name="_Toc152042437"/>
      <w:bookmarkStart w:id="211" w:name="_Toc179632677"/>
      <w:r>
        <w:rPr>
          <w:rFonts w:hint="eastAsia" w:ascii="宋体" w:hAnsi="宋体" w:eastAsia="宋体" w:cs="宋体"/>
          <w:color w:val="auto"/>
          <w:sz w:val="28"/>
          <w:szCs w:val="28"/>
          <w:highlight w:val="none"/>
          <w:shd w:val="clear" w:color="auto" w:fill="auto"/>
        </w:rPr>
        <w:t>6.3 要求承包人增加或更换施工设备</w:t>
      </w:r>
      <w:bookmarkEnd w:id="208"/>
      <w:bookmarkEnd w:id="209"/>
      <w:bookmarkEnd w:id="210"/>
      <w:bookmarkEnd w:id="211"/>
    </w:p>
    <w:p w14:paraId="06D2BDC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承包人使用的施工设备不能满足合同进度计划和（或）质量要求时，监理人有权要求承包人增加或更换施工设备，承包人应及时增加或更换，由此增加的费用和（或）工期延误由承包人承担。</w:t>
      </w:r>
    </w:p>
    <w:p w14:paraId="230A4FB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12" w:name="_Toc152042438"/>
      <w:bookmarkStart w:id="213" w:name="_Toc152045660"/>
      <w:bookmarkStart w:id="214" w:name="_Toc179632678"/>
      <w:bookmarkStart w:id="215" w:name="_Toc144974628"/>
      <w:r>
        <w:rPr>
          <w:rFonts w:hint="eastAsia" w:ascii="宋体" w:hAnsi="宋体" w:eastAsia="宋体" w:cs="宋体"/>
          <w:color w:val="auto"/>
          <w:sz w:val="28"/>
          <w:szCs w:val="28"/>
          <w:highlight w:val="none"/>
          <w:shd w:val="clear" w:color="auto" w:fill="auto"/>
        </w:rPr>
        <w:t>6.4 施工设备和临时设施专用于合同工程</w:t>
      </w:r>
      <w:bookmarkEnd w:id="212"/>
      <w:bookmarkEnd w:id="213"/>
      <w:bookmarkEnd w:id="214"/>
      <w:bookmarkEnd w:id="215"/>
    </w:p>
    <w:p w14:paraId="31D0D73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6.4.1除合同另有约定外，运入施工场地的所有施工设备以及在施工场地建设的临时设施应专用于合同工程。未经监理人同意，不得将上述施工设备和临时设施中的任何部分运出施工场地或挪作他用。</w:t>
      </w:r>
    </w:p>
    <w:p w14:paraId="2255449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6.4.2经监理人同意，承包人可根据合同进度计划撤走闲置的施工设备。</w:t>
      </w:r>
    </w:p>
    <w:p w14:paraId="14B5555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216" w:name="_Toc994"/>
      <w:bookmarkStart w:id="217" w:name="_Toc144974629"/>
      <w:bookmarkStart w:id="218" w:name="_Toc152045661"/>
      <w:bookmarkStart w:id="219" w:name="_Toc179632679"/>
      <w:bookmarkStart w:id="220" w:name="_Toc152042439"/>
      <w:bookmarkStart w:id="221" w:name="_Toc501382110"/>
      <w:r>
        <w:rPr>
          <w:rFonts w:hint="eastAsia" w:ascii="宋体" w:hAnsi="宋体" w:eastAsia="宋体" w:cs="宋体"/>
          <w:color w:val="auto"/>
          <w:sz w:val="28"/>
          <w:szCs w:val="28"/>
          <w:highlight w:val="none"/>
          <w:shd w:val="clear" w:color="auto" w:fill="auto"/>
        </w:rPr>
        <w:t>7. 交通运输</w:t>
      </w:r>
      <w:bookmarkEnd w:id="216"/>
      <w:bookmarkEnd w:id="217"/>
      <w:bookmarkEnd w:id="218"/>
      <w:bookmarkEnd w:id="219"/>
      <w:bookmarkEnd w:id="220"/>
      <w:bookmarkEnd w:id="221"/>
    </w:p>
    <w:p w14:paraId="30A05B7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22" w:name="_Toc152042440"/>
      <w:bookmarkStart w:id="223" w:name="_Toc152045662"/>
      <w:bookmarkStart w:id="224" w:name="_Toc144974630"/>
      <w:bookmarkStart w:id="225" w:name="_Toc179632680"/>
      <w:r>
        <w:rPr>
          <w:rFonts w:hint="eastAsia" w:ascii="宋体" w:hAnsi="宋体" w:eastAsia="宋体" w:cs="宋体"/>
          <w:color w:val="auto"/>
          <w:sz w:val="28"/>
          <w:szCs w:val="28"/>
          <w:highlight w:val="none"/>
          <w:shd w:val="clear" w:color="auto" w:fill="auto"/>
        </w:rPr>
        <w:t>7.1 道路通行权和场外设施</w:t>
      </w:r>
      <w:bookmarkEnd w:id="222"/>
      <w:bookmarkEnd w:id="223"/>
      <w:bookmarkEnd w:id="224"/>
      <w:bookmarkEnd w:id="225"/>
    </w:p>
    <w:p w14:paraId="72E37E4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发包人应根据合同工程的施工需要，负责办理取得出入施工场地的专用和临时道路的通行权，以及取得为工程建设所需修建场外设施的权利，并承担有关费用。承包人应协助发包人办理上述手续。</w:t>
      </w:r>
    </w:p>
    <w:p w14:paraId="246A4A52">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26" w:name="_Toc152042441"/>
      <w:bookmarkStart w:id="227" w:name="_Toc144974631"/>
      <w:bookmarkStart w:id="228" w:name="_Toc152045663"/>
      <w:bookmarkStart w:id="229" w:name="_Toc179632681"/>
      <w:r>
        <w:rPr>
          <w:rFonts w:hint="eastAsia" w:ascii="宋体" w:hAnsi="宋体" w:eastAsia="宋体" w:cs="宋体"/>
          <w:color w:val="auto"/>
          <w:sz w:val="28"/>
          <w:szCs w:val="28"/>
          <w:highlight w:val="none"/>
          <w:shd w:val="clear" w:color="auto" w:fill="auto"/>
        </w:rPr>
        <w:t>7.2 场内施工道路</w:t>
      </w:r>
      <w:bookmarkEnd w:id="226"/>
      <w:bookmarkEnd w:id="227"/>
      <w:bookmarkEnd w:id="228"/>
      <w:bookmarkEnd w:id="229"/>
    </w:p>
    <w:p w14:paraId="185A0FD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7.2.1除专用合同条款另有约定外，承包人应负责修建、维修、养护和管理施工所需的临时道路和交通设施，包括维修、养护和管理发包人提供的道路和交通设施，并承担相应费用。</w:t>
      </w:r>
    </w:p>
    <w:p w14:paraId="63B3709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7.2.2除专用合同条款另有约定外，承包人修建的临时道路和交通设施应免费提供发包人和监理人使用。</w:t>
      </w:r>
    </w:p>
    <w:p w14:paraId="42D2619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30" w:name="_Toc144974632"/>
      <w:bookmarkStart w:id="231" w:name="_Toc152045664"/>
      <w:bookmarkStart w:id="232" w:name="_Toc152042442"/>
      <w:bookmarkStart w:id="233" w:name="_Toc179632682"/>
      <w:r>
        <w:rPr>
          <w:rFonts w:hint="eastAsia" w:ascii="宋体" w:hAnsi="宋体" w:eastAsia="宋体" w:cs="宋体"/>
          <w:color w:val="auto"/>
          <w:sz w:val="28"/>
          <w:szCs w:val="28"/>
          <w:highlight w:val="none"/>
          <w:shd w:val="clear" w:color="auto" w:fill="auto"/>
        </w:rPr>
        <w:t>7.3 场外交通</w:t>
      </w:r>
      <w:bookmarkEnd w:id="230"/>
      <w:bookmarkEnd w:id="231"/>
      <w:bookmarkEnd w:id="232"/>
      <w:bookmarkEnd w:id="233"/>
    </w:p>
    <w:p w14:paraId="300001E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7.3.1承包人车辆外出行驶所需的场外公共道路的通行费、养路费和税款等由承包人承担。</w:t>
      </w:r>
    </w:p>
    <w:p w14:paraId="3215EB9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7.3.2承包人应遵守有关交通法规，严格按照道路和桥梁的限制荷重安全行驶，并服从交通管理部门的检查和监督。</w:t>
      </w:r>
    </w:p>
    <w:p w14:paraId="4741521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34" w:name="_Toc179632683"/>
      <w:bookmarkStart w:id="235" w:name="_Toc144974633"/>
      <w:bookmarkStart w:id="236" w:name="_Toc152045665"/>
      <w:bookmarkStart w:id="237" w:name="_Toc152042443"/>
      <w:r>
        <w:rPr>
          <w:rFonts w:hint="eastAsia" w:ascii="宋体" w:hAnsi="宋体" w:eastAsia="宋体" w:cs="宋体"/>
          <w:color w:val="auto"/>
          <w:sz w:val="28"/>
          <w:szCs w:val="28"/>
          <w:highlight w:val="none"/>
          <w:shd w:val="clear" w:color="auto" w:fill="auto"/>
        </w:rPr>
        <w:t>7.4 超大件和超重件的运输</w:t>
      </w:r>
      <w:bookmarkEnd w:id="234"/>
      <w:bookmarkEnd w:id="235"/>
      <w:bookmarkEnd w:id="236"/>
      <w:bookmarkEnd w:id="237"/>
    </w:p>
    <w:p w14:paraId="57D719D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1CC486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38" w:name="_Toc152042444"/>
      <w:bookmarkStart w:id="239" w:name="_Toc144974634"/>
      <w:bookmarkStart w:id="240" w:name="_Toc152045666"/>
      <w:bookmarkStart w:id="241" w:name="_Toc179632684"/>
      <w:r>
        <w:rPr>
          <w:rFonts w:hint="eastAsia" w:ascii="宋体" w:hAnsi="宋体" w:eastAsia="宋体" w:cs="宋体"/>
          <w:color w:val="auto"/>
          <w:sz w:val="28"/>
          <w:szCs w:val="28"/>
          <w:highlight w:val="none"/>
          <w:shd w:val="clear" w:color="auto" w:fill="auto"/>
        </w:rPr>
        <w:t>7.5 道路和桥梁的损坏责任</w:t>
      </w:r>
      <w:bookmarkEnd w:id="238"/>
      <w:bookmarkEnd w:id="239"/>
      <w:bookmarkEnd w:id="240"/>
      <w:bookmarkEnd w:id="241"/>
    </w:p>
    <w:p w14:paraId="5CE43EF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因承包人运输造成施工场地内外公共道路和桥梁损坏的，由承包人承担修复损坏的全部费用和可能引起的赔偿。</w:t>
      </w:r>
    </w:p>
    <w:p w14:paraId="58FA49F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42" w:name="_Toc144974635"/>
      <w:bookmarkStart w:id="243" w:name="_Toc152042445"/>
      <w:bookmarkStart w:id="244" w:name="_Toc179632685"/>
      <w:bookmarkStart w:id="245" w:name="_Toc152045667"/>
      <w:r>
        <w:rPr>
          <w:rFonts w:hint="eastAsia" w:ascii="宋体" w:hAnsi="宋体" w:eastAsia="宋体" w:cs="宋体"/>
          <w:color w:val="auto"/>
          <w:sz w:val="28"/>
          <w:szCs w:val="28"/>
          <w:highlight w:val="none"/>
          <w:shd w:val="clear" w:color="auto" w:fill="auto"/>
        </w:rPr>
        <w:t>7.6 水路和航空运输</w:t>
      </w:r>
      <w:bookmarkEnd w:id="242"/>
      <w:bookmarkEnd w:id="243"/>
      <w:bookmarkEnd w:id="244"/>
      <w:bookmarkEnd w:id="245"/>
    </w:p>
    <w:p w14:paraId="7BB4CB5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本条上述各款的内容适用于水路运输和航空运输，其中“道路”一词的涵义包括河道、航线、船闸、机场、码头、堤防以及水路或航空运输中其他相似结构物；“车辆”一词的涵义包括船舶和飞机等。</w:t>
      </w:r>
    </w:p>
    <w:p w14:paraId="7E03A75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246" w:name="_Toc179632686"/>
      <w:bookmarkStart w:id="247" w:name="_Toc152045668"/>
      <w:bookmarkStart w:id="248" w:name="_Toc144974636"/>
      <w:bookmarkStart w:id="249" w:name="_Toc152042446"/>
      <w:bookmarkStart w:id="250" w:name="_Toc8985"/>
      <w:bookmarkStart w:id="251" w:name="_Toc501382111"/>
      <w:r>
        <w:rPr>
          <w:rFonts w:hint="eastAsia" w:ascii="宋体" w:hAnsi="宋体" w:eastAsia="宋体" w:cs="宋体"/>
          <w:color w:val="auto"/>
          <w:sz w:val="28"/>
          <w:szCs w:val="28"/>
          <w:highlight w:val="none"/>
          <w:shd w:val="clear" w:color="auto" w:fill="auto"/>
        </w:rPr>
        <w:t>8. 测量放线</w:t>
      </w:r>
      <w:bookmarkEnd w:id="246"/>
      <w:bookmarkEnd w:id="247"/>
      <w:bookmarkEnd w:id="248"/>
      <w:bookmarkEnd w:id="249"/>
      <w:bookmarkEnd w:id="250"/>
      <w:bookmarkEnd w:id="251"/>
    </w:p>
    <w:p w14:paraId="042CDF2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52" w:name="_Toc144974637"/>
      <w:bookmarkStart w:id="253" w:name="_Toc179632687"/>
      <w:bookmarkStart w:id="254" w:name="_Toc152042447"/>
      <w:bookmarkStart w:id="255" w:name="_Toc152045669"/>
      <w:r>
        <w:rPr>
          <w:rFonts w:hint="eastAsia" w:ascii="宋体" w:hAnsi="宋体" w:eastAsia="宋体" w:cs="宋体"/>
          <w:color w:val="auto"/>
          <w:sz w:val="28"/>
          <w:szCs w:val="28"/>
          <w:highlight w:val="none"/>
          <w:shd w:val="clear" w:color="auto" w:fill="auto"/>
        </w:rPr>
        <w:t>8.1 施工控制网</w:t>
      </w:r>
      <w:bookmarkEnd w:id="252"/>
      <w:bookmarkEnd w:id="253"/>
      <w:bookmarkEnd w:id="254"/>
      <w:bookmarkEnd w:id="255"/>
    </w:p>
    <w:p w14:paraId="5892642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w:t>
      </w:r>
    </w:p>
    <w:p w14:paraId="1DE594E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8.1.2承包人应负责管理施工控制网点。施工控制网点丢失或损坏的，承包人应及时修复。承包人应承担施工控制网点的管理与修复费用，并在工程竣工后将施工控制网点移交发包人。</w:t>
      </w:r>
    </w:p>
    <w:p w14:paraId="2B8C98C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56" w:name="_Toc152045670"/>
      <w:bookmarkStart w:id="257" w:name="_Toc144974638"/>
      <w:bookmarkStart w:id="258" w:name="_Toc179632688"/>
      <w:bookmarkStart w:id="259" w:name="_Toc152042448"/>
      <w:r>
        <w:rPr>
          <w:rFonts w:hint="eastAsia" w:ascii="宋体" w:hAnsi="宋体" w:eastAsia="宋体" w:cs="宋体"/>
          <w:color w:val="auto"/>
          <w:sz w:val="28"/>
          <w:szCs w:val="28"/>
          <w:highlight w:val="none"/>
          <w:shd w:val="clear" w:color="auto" w:fill="auto"/>
        </w:rPr>
        <w:t>8.2 施工测量</w:t>
      </w:r>
      <w:bookmarkEnd w:id="256"/>
      <w:bookmarkEnd w:id="257"/>
      <w:bookmarkEnd w:id="258"/>
      <w:bookmarkEnd w:id="259"/>
    </w:p>
    <w:p w14:paraId="6CBB027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8.2.1承包人应负责施工过程中的全部施工测量放线工作，并配置合格的人员、仪器、设备和其他物品。</w:t>
      </w:r>
    </w:p>
    <w:p w14:paraId="63E078E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8.2.2监理人可以指示承包人进行抽样复测，当复测中发现错误或出现超过合同约定的误差时，承包人应按监理人指示进行修正或补测，并承担相应的复测费用。</w:t>
      </w:r>
    </w:p>
    <w:p w14:paraId="719E59A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60" w:name="_Toc152042449"/>
      <w:bookmarkStart w:id="261" w:name="_Toc152045671"/>
      <w:bookmarkStart w:id="262" w:name="_Toc179632689"/>
      <w:bookmarkStart w:id="263" w:name="_Toc144974639"/>
      <w:r>
        <w:rPr>
          <w:rFonts w:hint="eastAsia" w:ascii="宋体" w:hAnsi="宋体" w:eastAsia="宋体" w:cs="宋体"/>
          <w:color w:val="auto"/>
          <w:sz w:val="28"/>
          <w:szCs w:val="28"/>
          <w:highlight w:val="none"/>
          <w:shd w:val="clear" w:color="auto" w:fill="auto"/>
        </w:rPr>
        <w:t>8.3 基准资料错误的责任</w:t>
      </w:r>
      <w:bookmarkEnd w:id="260"/>
      <w:bookmarkEnd w:id="261"/>
      <w:bookmarkEnd w:id="262"/>
      <w:bookmarkEnd w:id="263"/>
    </w:p>
    <w:p w14:paraId="64DA11A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14:paraId="49F83B7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64" w:name="_Toc144974640"/>
      <w:bookmarkStart w:id="265" w:name="_Toc152045672"/>
      <w:bookmarkStart w:id="266" w:name="_Toc179632690"/>
      <w:bookmarkStart w:id="267" w:name="_Toc152042450"/>
      <w:r>
        <w:rPr>
          <w:rFonts w:hint="eastAsia" w:ascii="宋体" w:hAnsi="宋体" w:eastAsia="宋体" w:cs="宋体"/>
          <w:color w:val="auto"/>
          <w:sz w:val="28"/>
          <w:szCs w:val="28"/>
          <w:highlight w:val="none"/>
          <w:shd w:val="clear" w:color="auto" w:fill="auto"/>
        </w:rPr>
        <w:t>8.4 监理人使用施工控制网</w:t>
      </w:r>
      <w:bookmarkEnd w:id="264"/>
      <w:bookmarkEnd w:id="265"/>
      <w:bookmarkEnd w:id="266"/>
      <w:bookmarkEnd w:id="267"/>
    </w:p>
    <w:p w14:paraId="0AC8FEB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dstrike/>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监理人需要使用施工控制网的，承包人应提供必要的协助，发包人不再为此支付费用。</w:t>
      </w:r>
    </w:p>
    <w:p w14:paraId="47784221">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268" w:name="_Toc501382112"/>
      <w:bookmarkStart w:id="269" w:name="_Toc152042451"/>
      <w:bookmarkStart w:id="270" w:name="_Toc179632691"/>
      <w:bookmarkStart w:id="271" w:name="_Toc152045673"/>
      <w:bookmarkStart w:id="272" w:name="_Toc144974641"/>
      <w:bookmarkStart w:id="273" w:name="_Toc452"/>
      <w:r>
        <w:rPr>
          <w:rFonts w:hint="eastAsia" w:ascii="宋体" w:hAnsi="宋体" w:eastAsia="宋体" w:cs="宋体"/>
          <w:color w:val="auto"/>
          <w:sz w:val="28"/>
          <w:szCs w:val="28"/>
          <w:highlight w:val="none"/>
          <w:shd w:val="clear" w:color="auto" w:fill="auto"/>
        </w:rPr>
        <w:t>9. 施工安全、治安保卫和环境保护</w:t>
      </w:r>
      <w:bookmarkEnd w:id="268"/>
      <w:bookmarkEnd w:id="269"/>
      <w:bookmarkEnd w:id="270"/>
      <w:bookmarkEnd w:id="271"/>
      <w:bookmarkEnd w:id="272"/>
      <w:bookmarkEnd w:id="273"/>
    </w:p>
    <w:p w14:paraId="5206344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74" w:name="_Toc152045674"/>
      <w:bookmarkStart w:id="275" w:name="_Toc152042452"/>
      <w:bookmarkStart w:id="276" w:name="_Toc144974642"/>
      <w:bookmarkStart w:id="277" w:name="_Toc179632692"/>
      <w:r>
        <w:rPr>
          <w:rFonts w:hint="eastAsia" w:ascii="宋体" w:hAnsi="宋体" w:eastAsia="宋体" w:cs="宋体"/>
          <w:color w:val="auto"/>
          <w:sz w:val="28"/>
          <w:szCs w:val="28"/>
          <w:highlight w:val="none"/>
          <w:shd w:val="clear" w:color="auto" w:fill="auto"/>
        </w:rPr>
        <w:t>9.1 发包人的施工安全责任</w:t>
      </w:r>
      <w:bookmarkEnd w:id="274"/>
      <w:bookmarkEnd w:id="275"/>
      <w:bookmarkEnd w:id="276"/>
      <w:bookmarkEnd w:id="277"/>
    </w:p>
    <w:p w14:paraId="1836348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9.1.1发包人应按合同约定履行安全职责，授权监理人按合同约定的安全工作内容监督、检查承包人安全工作的实施，组织承包人和有关单位进行安全检查。</w:t>
      </w:r>
    </w:p>
    <w:p w14:paraId="5B032CC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9.1.2发包人应对其现场机构雇佣的全部人员的工伤事故承担责任，但由于承包人原因造成发包人人员工伤的，应由承包人承担责任。</w:t>
      </w:r>
    </w:p>
    <w:p w14:paraId="5DD2061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9.1.3发包人应负责赔偿以下各种情况造成的第三者人身伤亡和财产损失：</w:t>
      </w:r>
    </w:p>
    <w:p w14:paraId="235B351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（1）工程或工程的任何部分对土地的占用所造成的第三者财产损失；</w:t>
      </w:r>
    </w:p>
    <w:p w14:paraId="0A6789D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（2）由于发包人原因在施工场地及其毗邻地带造成的第三者人身伤亡和财产损失。</w:t>
      </w:r>
    </w:p>
    <w:p w14:paraId="1B1F748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78" w:name="_Toc152045675"/>
      <w:bookmarkStart w:id="279" w:name="_Toc179632693"/>
      <w:bookmarkStart w:id="280" w:name="_Toc144974643"/>
      <w:bookmarkStart w:id="281" w:name="_Toc152042453"/>
      <w:r>
        <w:rPr>
          <w:rFonts w:hint="eastAsia" w:ascii="宋体" w:hAnsi="宋体" w:eastAsia="宋体" w:cs="宋体"/>
          <w:color w:val="auto"/>
          <w:sz w:val="28"/>
          <w:szCs w:val="28"/>
          <w:highlight w:val="none"/>
          <w:shd w:val="clear" w:color="auto" w:fill="auto"/>
        </w:rPr>
        <w:t>9.2 承包人的施工安全责任</w:t>
      </w:r>
      <w:bookmarkEnd w:id="278"/>
      <w:bookmarkEnd w:id="279"/>
      <w:bookmarkEnd w:id="280"/>
      <w:bookmarkEnd w:id="281"/>
    </w:p>
    <w:p w14:paraId="54CCD29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9.2.1承包人应按合同约定履行安全职责,执行监理人有关安全工作的指示,并在专用合同条款约定的期限内，按合同约定的安全工作内容，编制施工安全措施计划报送监理人审批。</w:t>
      </w:r>
    </w:p>
    <w:p w14:paraId="1550BB5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9.2.2承包人应加强施工作业安全管理，特别应加强易燃、易爆材料、火工器材、有毒与腐蚀性材料和其他危险品的管理，以及对爆破作业和地下工程施工等危险作业的管理。</w:t>
      </w:r>
    </w:p>
    <w:p w14:paraId="16109D1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9.2.3承包人应严格按照国家安全标准制定施工安全操作规程，配备必要的安全生产和劳动保护设施，加强对承包人人员的安全教育，并发放安全工作手册和劳动保护用具。</w:t>
      </w:r>
    </w:p>
    <w:p w14:paraId="5E4E052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9.2.4承包人应按监理人的指示制定应对灾害的紧急预案，报送监理人审批。承包人还应按预案做好安全检查，配置必要的救助物资和器材，切实保护好有关人员的人身和财产安全。</w:t>
      </w:r>
    </w:p>
    <w:p w14:paraId="45950E9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9.2.5合同约定的安全作业环境及安全施工措施所需费用应遵守有关规定，并包括在相关工作的合同价格中。因采取合同未约定的安全作业环境及安全施工措施增加的费用，由监理人按第3.5款商定或确定。</w:t>
      </w:r>
    </w:p>
    <w:p w14:paraId="08E06BC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9.2.6承包人应对其履行合同所雇佣的全部人员，包括分包人人员的工伤事故承担责任，但由于发包人原因造成承包人人员工伤事故的，应由发包人承担责任。</w:t>
      </w:r>
    </w:p>
    <w:p w14:paraId="08BB53B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9.2.7由于承包人原因在施工场地内及其毗邻地带造成的第三者人员伤亡和财产损失，由承包人负责赔偿。</w:t>
      </w:r>
    </w:p>
    <w:p w14:paraId="1CF9EAD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82" w:name="_Toc152042454"/>
      <w:bookmarkStart w:id="283" w:name="_Toc152045676"/>
      <w:bookmarkStart w:id="284" w:name="_Toc144974644"/>
      <w:bookmarkStart w:id="285" w:name="_Toc179632694"/>
      <w:r>
        <w:rPr>
          <w:rFonts w:hint="eastAsia" w:ascii="宋体" w:hAnsi="宋体" w:eastAsia="宋体" w:cs="宋体"/>
          <w:color w:val="auto"/>
          <w:sz w:val="28"/>
          <w:szCs w:val="28"/>
          <w:highlight w:val="none"/>
          <w:shd w:val="clear" w:color="auto" w:fill="auto"/>
        </w:rPr>
        <w:t>9.3 治安保卫</w:t>
      </w:r>
      <w:bookmarkEnd w:id="282"/>
      <w:bookmarkEnd w:id="283"/>
      <w:bookmarkEnd w:id="284"/>
      <w:bookmarkEnd w:id="285"/>
    </w:p>
    <w:p w14:paraId="6EA73B8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9.3.1除合同另有约定外，发包人应与当地公安部门协商，在现场建立治安管理机构或联防组织，统一管理施工场地的治安保卫事项，履行合同工程的治安保卫职责。</w:t>
      </w:r>
    </w:p>
    <w:p w14:paraId="5AEDB07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9.3.2发包人和承包人除应协助现场治安管理机构或联防组织维护施工场地的社会治安外，还应做好包括生活区在内的各自管辖区的治安保卫工作。</w:t>
      </w:r>
    </w:p>
    <w:p w14:paraId="6F35031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p>
    <w:p w14:paraId="0B1D0EF7">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86" w:name="_Toc152042455"/>
      <w:bookmarkStart w:id="287" w:name="_Toc152045677"/>
      <w:bookmarkStart w:id="288" w:name="_Toc144974645"/>
      <w:bookmarkStart w:id="289" w:name="_Toc179632695"/>
      <w:r>
        <w:rPr>
          <w:rFonts w:hint="eastAsia" w:ascii="宋体" w:hAnsi="宋体" w:eastAsia="宋体" w:cs="宋体"/>
          <w:color w:val="auto"/>
          <w:sz w:val="28"/>
          <w:szCs w:val="28"/>
          <w:highlight w:val="none"/>
          <w:shd w:val="clear" w:color="auto" w:fill="auto"/>
        </w:rPr>
        <w:t>9.4 环境保护</w:t>
      </w:r>
      <w:bookmarkEnd w:id="286"/>
      <w:bookmarkEnd w:id="287"/>
      <w:bookmarkEnd w:id="288"/>
      <w:bookmarkEnd w:id="289"/>
    </w:p>
    <w:p w14:paraId="5394D3C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9.4.1承包人在施工过程中，应遵守有关环境保护的法律，履行合同约定的环境保护义务，并对违反法律和合同约定义务所造成的环境破坏、人身伤害和财产损失负责。</w:t>
      </w:r>
    </w:p>
    <w:p w14:paraId="7ADBCE6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9.4.2承包人应按合同约定的环保工作内容，编制施工环保措施计划，报送监理人审批。</w:t>
      </w:r>
    </w:p>
    <w:p w14:paraId="7464148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p>
    <w:p w14:paraId="77B2747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9.4.4承包人应按合同约定采取有效措施，对施工开挖的边坡及时进行支护,维护排水设施，并进行水土保护，避免因施工造成的地质灾害。</w:t>
      </w:r>
    </w:p>
    <w:p w14:paraId="4CB49D7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9.4.5承包人应按国家饮用水管理标准定期对饮用水源进行监测，防止施工活动污染饮用水源。</w:t>
      </w:r>
    </w:p>
    <w:p w14:paraId="2DCA079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9.4.6承包人应按合同约定，加强对噪声、粉尘、废气、废水和废油的控制，努力降低噪声，控制粉尘和废气浓度，做好废水和废油的治理和排放。</w:t>
      </w:r>
    </w:p>
    <w:p w14:paraId="39664CE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290" w:name="_Toc179632696"/>
      <w:bookmarkStart w:id="291" w:name="_Toc152042456"/>
      <w:bookmarkStart w:id="292" w:name="_Toc144974646"/>
      <w:bookmarkStart w:id="293" w:name="_Toc152045678"/>
      <w:r>
        <w:rPr>
          <w:rFonts w:hint="eastAsia" w:ascii="宋体" w:hAnsi="宋体" w:eastAsia="宋体" w:cs="宋体"/>
          <w:color w:val="auto"/>
          <w:sz w:val="28"/>
          <w:szCs w:val="28"/>
          <w:highlight w:val="none"/>
          <w:shd w:val="clear" w:color="auto" w:fill="auto"/>
        </w:rPr>
        <w:t>9.5 事故处理</w:t>
      </w:r>
      <w:bookmarkEnd w:id="290"/>
      <w:bookmarkEnd w:id="291"/>
      <w:bookmarkEnd w:id="292"/>
      <w:bookmarkEnd w:id="293"/>
    </w:p>
    <w:p w14:paraId="149E49F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1710EC9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294" w:name="_Toc501382113"/>
      <w:bookmarkStart w:id="295" w:name="_Toc152045679"/>
      <w:bookmarkStart w:id="296" w:name="_Toc179632697"/>
      <w:bookmarkStart w:id="297" w:name="_Toc152042457"/>
      <w:bookmarkStart w:id="298" w:name="_Toc144974647"/>
      <w:bookmarkStart w:id="299" w:name="_Toc14847"/>
      <w:r>
        <w:rPr>
          <w:rFonts w:hint="eastAsia" w:ascii="宋体" w:hAnsi="宋体" w:eastAsia="宋体" w:cs="宋体"/>
          <w:color w:val="auto"/>
          <w:sz w:val="28"/>
          <w:szCs w:val="28"/>
          <w:highlight w:val="none"/>
          <w:shd w:val="clear" w:color="auto" w:fill="auto"/>
        </w:rPr>
        <w:t>10. 进度计划</w:t>
      </w:r>
      <w:bookmarkEnd w:id="294"/>
      <w:bookmarkEnd w:id="295"/>
      <w:bookmarkEnd w:id="296"/>
      <w:bookmarkEnd w:id="297"/>
      <w:bookmarkEnd w:id="298"/>
      <w:bookmarkEnd w:id="299"/>
    </w:p>
    <w:p w14:paraId="48A2988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00" w:name="_Toc179632698"/>
      <w:bookmarkStart w:id="301" w:name="_Toc144974648"/>
      <w:bookmarkStart w:id="302" w:name="_Toc152042458"/>
      <w:bookmarkStart w:id="303" w:name="_Toc152045680"/>
      <w:r>
        <w:rPr>
          <w:rFonts w:hint="eastAsia" w:ascii="宋体" w:hAnsi="宋体" w:eastAsia="宋体" w:cs="宋体"/>
          <w:color w:val="auto"/>
          <w:sz w:val="28"/>
          <w:szCs w:val="28"/>
          <w:highlight w:val="none"/>
          <w:shd w:val="clear" w:color="auto" w:fill="auto"/>
        </w:rPr>
        <w:t>10.1 合同进度计划</w:t>
      </w:r>
      <w:bookmarkEnd w:id="300"/>
      <w:bookmarkEnd w:id="301"/>
      <w:bookmarkEnd w:id="302"/>
      <w:bookmarkEnd w:id="303"/>
    </w:p>
    <w:p w14:paraId="0231864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专用合同条款约定的内容和期限，编制详细的施工进度计划和施工方案说明报送监理人。监理人应在专用合同条款约定的期限内批复或提出修改意见，否则该进度计划视为已得到批准。经监理人批准的施工进度计划称合同进度计划，是控制合同工程进度的依据。承包人还应根据合同进度计划，编制更为详细的分阶段或分项进度计划，报监理人审批。</w:t>
      </w:r>
    </w:p>
    <w:p w14:paraId="64D72628">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04" w:name="_Toc152045681"/>
      <w:bookmarkStart w:id="305" w:name="_Toc152042459"/>
      <w:bookmarkStart w:id="306" w:name="_Toc179632699"/>
      <w:bookmarkStart w:id="307" w:name="_Toc144974649"/>
      <w:r>
        <w:rPr>
          <w:rFonts w:hint="eastAsia" w:ascii="宋体" w:hAnsi="宋体" w:eastAsia="宋体" w:cs="宋体"/>
          <w:color w:val="auto"/>
          <w:sz w:val="28"/>
          <w:szCs w:val="28"/>
          <w:highlight w:val="none"/>
          <w:shd w:val="clear" w:color="auto" w:fill="auto"/>
        </w:rPr>
        <w:t>10.2 合同进度计划的修订</w:t>
      </w:r>
      <w:bookmarkEnd w:id="304"/>
      <w:bookmarkEnd w:id="305"/>
      <w:bookmarkEnd w:id="306"/>
      <w:bookmarkEnd w:id="307"/>
    </w:p>
    <w:p w14:paraId="59F180B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不论何种原因造成工程的实际进度与第10.1款的合同进度计划不符时，承包人可以在专用合同条款约定的期限内向监理人提交修订合同进度计划的申请报告，并附有关措施和相关资料，报监理人审批；监理人也可以直接向承包人作出修订合同进度计划的指示，承包人应按该指示修订合同进度计划，报监理人审批。监理人应在专用合同条款约定的期限内批复。监理人在批复前应获得发包人同意。</w:t>
      </w:r>
    </w:p>
    <w:p w14:paraId="6E4AE58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308" w:name="_Toc152042460"/>
      <w:bookmarkStart w:id="309" w:name="_Toc179632700"/>
      <w:bookmarkStart w:id="310" w:name="_Toc144974650"/>
      <w:bookmarkStart w:id="311" w:name="_Toc14596"/>
      <w:bookmarkStart w:id="312" w:name="_Toc501382114"/>
      <w:bookmarkStart w:id="313" w:name="_Toc152045682"/>
      <w:r>
        <w:rPr>
          <w:rFonts w:hint="eastAsia" w:ascii="宋体" w:hAnsi="宋体" w:eastAsia="宋体" w:cs="宋体"/>
          <w:color w:val="auto"/>
          <w:sz w:val="28"/>
          <w:szCs w:val="28"/>
          <w:highlight w:val="none"/>
          <w:shd w:val="clear" w:color="auto" w:fill="auto"/>
        </w:rPr>
        <w:t>11. 开工和竣工</w:t>
      </w:r>
      <w:bookmarkEnd w:id="308"/>
      <w:bookmarkEnd w:id="309"/>
      <w:bookmarkEnd w:id="310"/>
      <w:bookmarkEnd w:id="311"/>
      <w:bookmarkEnd w:id="312"/>
      <w:bookmarkEnd w:id="313"/>
    </w:p>
    <w:p w14:paraId="4D6BC31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14" w:name="_Toc152042461"/>
      <w:bookmarkStart w:id="315" w:name="_Toc152045683"/>
      <w:bookmarkStart w:id="316" w:name="_Toc144974651"/>
      <w:bookmarkStart w:id="317" w:name="_Toc179632701"/>
      <w:r>
        <w:rPr>
          <w:rFonts w:hint="eastAsia" w:ascii="宋体" w:hAnsi="宋体" w:eastAsia="宋体" w:cs="宋体"/>
          <w:color w:val="auto"/>
          <w:sz w:val="28"/>
          <w:szCs w:val="28"/>
          <w:highlight w:val="none"/>
          <w:shd w:val="clear" w:color="auto" w:fill="auto"/>
        </w:rPr>
        <w:t>11.1 开工</w:t>
      </w:r>
      <w:bookmarkEnd w:id="314"/>
      <w:bookmarkEnd w:id="315"/>
      <w:bookmarkEnd w:id="316"/>
      <w:bookmarkEnd w:id="317"/>
    </w:p>
    <w:p w14:paraId="2D35A92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11.1.1监理人应在开工日期7天前向承包人发出开工通知。监理人在发出开工通知前应获得发包人同意。工期自监理人发出的开工通知中载明的开工日期起计算。承包人应在开工日期后尽快施工。</w:t>
      </w:r>
    </w:p>
    <w:p w14:paraId="134AA71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14:paraId="6B01249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18" w:name="_Toc144974652"/>
      <w:bookmarkStart w:id="319" w:name="_Toc152045684"/>
      <w:bookmarkStart w:id="320" w:name="_Toc152042462"/>
      <w:bookmarkStart w:id="321" w:name="_Toc179632702"/>
      <w:r>
        <w:rPr>
          <w:rFonts w:hint="eastAsia" w:ascii="宋体" w:hAnsi="宋体" w:eastAsia="宋体" w:cs="宋体"/>
          <w:color w:val="auto"/>
          <w:sz w:val="28"/>
          <w:szCs w:val="28"/>
          <w:highlight w:val="none"/>
          <w:shd w:val="clear" w:color="auto" w:fill="auto"/>
        </w:rPr>
        <w:t>11.2 竣工</w:t>
      </w:r>
      <w:bookmarkEnd w:id="318"/>
      <w:bookmarkEnd w:id="319"/>
      <w:bookmarkEnd w:id="320"/>
      <w:bookmarkEnd w:id="321"/>
    </w:p>
    <w:p w14:paraId="0656CFC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承包人应在第1.1.4.3目约定的期限内完成合同工程。实际竣工日期在接收证书中写明。</w:t>
      </w:r>
    </w:p>
    <w:p w14:paraId="24A2BC9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22" w:name="_Toc152045685"/>
      <w:bookmarkStart w:id="323" w:name="_Toc179632703"/>
      <w:bookmarkStart w:id="324" w:name="_Toc144974653"/>
      <w:bookmarkStart w:id="325" w:name="_Toc152042463"/>
      <w:r>
        <w:rPr>
          <w:rFonts w:hint="eastAsia" w:ascii="宋体" w:hAnsi="宋体" w:eastAsia="宋体" w:cs="宋体"/>
          <w:color w:val="auto"/>
          <w:sz w:val="28"/>
          <w:szCs w:val="28"/>
          <w:highlight w:val="none"/>
          <w:shd w:val="clear" w:color="auto" w:fill="auto"/>
        </w:rPr>
        <w:t>11.3 发包人的工期延误</w:t>
      </w:r>
      <w:bookmarkEnd w:id="322"/>
      <w:bookmarkEnd w:id="323"/>
      <w:bookmarkEnd w:id="324"/>
      <w:bookmarkEnd w:id="325"/>
    </w:p>
    <w:p w14:paraId="053DF35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在履行合同过程中，由于发包人的下列原因造成工期延误的，承包人有权要求发包人延长工期和（或）增加费用，并支付合理利润。需要修订合同进度计划的，按照第10.2款的约定办理。</w:t>
      </w:r>
    </w:p>
    <w:p w14:paraId="7E20A4E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（1）增加合同工作内容；</w:t>
      </w:r>
    </w:p>
    <w:p w14:paraId="5C8855F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（2）改变合同中任何一项工作的质量要求或其他特性；</w:t>
      </w:r>
    </w:p>
    <w:p w14:paraId="6DC44C4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（3）发包人迟延提供材料、工程设备或变更交货地点的；</w:t>
      </w:r>
    </w:p>
    <w:p w14:paraId="24943C7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（4）因发包人原因导致的暂停施工；</w:t>
      </w:r>
    </w:p>
    <w:p w14:paraId="7C64825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（5）提供图纸延误；</w:t>
      </w:r>
    </w:p>
    <w:p w14:paraId="7A35830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（6）未按合同约定及时支付预付款、进度款；</w:t>
      </w:r>
    </w:p>
    <w:p w14:paraId="6B1A709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（7）发包人造成工期延误的其他原因。</w:t>
      </w:r>
    </w:p>
    <w:p w14:paraId="454B4E5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26" w:name="_Toc152042464"/>
      <w:bookmarkStart w:id="327" w:name="_Toc152045686"/>
      <w:bookmarkStart w:id="328" w:name="_Toc144974654"/>
      <w:bookmarkStart w:id="329" w:name="_Toc179632704"/>
      <w:r>
        <w:rPr>
          <w:rFonts w:hint="eastAsia" w:ascii="宋体" w:hAnsi="宋体" w:eastAsia="宋体" w:cs="宋体"/>
          <w:color w:val="auto"/>
          <w:sz w:val="28"/>
          <w:szCs w:val="28"/>
          <w:highlight w:val="none"/>
          <w:shd w:val="clear" w:color="auto" w:fill="auto"/>
        </w:rPr>
        <w:t>11.4 异常恶劣的气候条件</w:t>
      </w:r>
      <w:bookmarkEnd w:id="326"/>
      <w:bookmarkEnd w:id="327"/>
      <w:bookmarkEnd w:id="328"/>
      <w:bookmarkEnd w:id="329"/>
    </w:p>
    <w:p w14:paraId="1154096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由于出现专用合同条款规定的异常恶劣气候的条件导致工期延误的，承包人有权要求发包人延长工期。</w:t>
      </w:r>
    </w:p>
    <w:p w14:paraId="33C849F1">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30" w:name="_Toc144974655"/>
      <w:bookmarkStart w:id="331" w:name="_Toc152042465"/>
      <w:bookmarkStart w:id="332" w:name="_Toc179632705"/>
      <w:bookmarkStart w:id="333" w:name="_Toc152045687"/>
      <w:r>
        <w:rPr>
          <w:rFonts w:hint="eastAsia" w:ascii="宋体" w:hAnsi="宋体" w:eastAsia="宋体" w:cs="宋体"/>
          <w:color w:val="auto"/>
          <w:sz w:val="28"/>
          <w:szCs w:val="28"/>
          <w:highlight w:val="none"/>
          <w:shd w:val="clear" w:color="auto" w:fill="auto"/>
        </w:rPr>
        <w:t>11.5 承包人的工期延误</w:t>
      </w:r>
      <w:bookmarkEnd w:id="330"/>
      <w:bookmarkEnd w:id="331"/>
      <w:bookmarkEnd w:id="332"/>
      <w:bookmarkEnd w:id="333"/>
    </w:p>
    <w:p w14:paraId="0870C20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14:paraId="29D5E7E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34" w:name="_Toc144974656"/>
      <w:bookmarkStart w:id="335" w:name="_Toc152045688"/>
      <w:bookmarkStart w:id="336" w:name="_Toc152042466"/>
      <w:bookmarkStart w:id="337" w:name="_Toc179632706"/>
      <w:r>
        <w:rPr>
          <w:rFonts w:hint="eastAsia" w:ascii="宋体" w:hAnsi="宋体" w:eastAsia="宋体" w:cs="宋体"/>
          <w:color w:val="auto"/>
          <w:sz w:val="28"/>
          <w:szCs w:val="28"/>
          <w:highlight w:val="none"/>
          <w:shd w:val="clear" w:color="auto" w:fill="auto"/>
        </w:rPr>
        <w:t>11.6</w:t>
      </w:r>
      <w:bookmarkEnd w:id="334"/>
      <w:bookmarkStart w:id="338" w:name="_Toc144974657"/>
      <w:r>
        <w:rPr>
          <w:rFonts w:hint="eastAsia" w:ascii="宋体" w:hAnsi="宋体" w:eastAsia="宋体" w:cs="宋体"/>
          <w:color w:val="auto"/>
          <w:sz w:val="28"/>
          <w:szCs w:val="28"/>
          <w:highlight w:val="none"/>
          <w:shd w:val="clear" w:color="auto" w:fill="auto"/>
        </w:rPr>
        <w:t xml:space="preserve"> 工期提前</w:t>
      </w:r>
      <w:bookmarkEnd w:id="335"/>
      <w:bookmarkEnd w:id="336"/>
      <w:bookmarkEnd w:id="337"/>
      <w:bookmarkEnd w:id="338"/>
    </w:p>
    <w:p w14:paraId="55729DF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专用合同条款约定的相应奖金。</w:t>
      </w:r>
    </w:p>
    <w:p w14:paraId="347457E1">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339" w:name="_Toc152045689"/>
      <w:bookmarkStart w:id="340" w:name="_Toc144974658"/>
      <w:bookmarkStart w:id="341" w:name="_Toc179632707"/>
      <w:bookmarkStart w:id="342" w:name="_Toc152042467"/>
      <w:bookmarkStart w:id="343" w:name="_Toc501382115"/>
      <w:bookmarkStart w:id="344" w:name="_Toc6023"/>
      <w:r>
        <w:rPr>
          <w:rFonts w:hint="eastAsia" w:ascii="宋体" w:hAnsi="宋体" w:eastAsia="宋体" w:cs="宋体"/>
          <w:color w:val="auto"/>
          <w:sz w:val="28"/>
          <w:szCs w:val="28"/>
          <w:highlight w:val="none"/>
          <w:shd w:val="clear" w:color="auto" w:fill="auto"/>
        </w:rPr>
        <w:t>12. 暂停施工</w:t>
      </w:r>
      <w:bookmarkEnd w:id="339"/>
      <w:bookmarkEnd w:id="340"/>
      <w:bookmarkEnd w:id="341"/>
      <w:bookmarkEnd w:id="342"/>
      <w:bookmarkEnd w:id="343"/>
      <w:bookmarkEnd w:id="344"/>
    </w:p>
    <w:p w14:paraId="04CDC47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45" w:name="_Toc152045690"/>
      <w:bookmarkStart w:id="346" w:name="_Toc179632708"/>
      <w:bookmarkStart w:id="347" w:name="_Toc152042468"/>
      <w:bookmarkStart w:id="348" w:name="_Toc144974659"/>
      <w:r>
        <w:rPr>
          <w:rFonts w:hint="eastAsia" w:ascii="宋体" w:hAnsi="宋体" w:eastAsia="宋体" w:cs="宋体"/>
          <w:color w:val="auto"/>
          <w:sz w:val="28"/>
          <w:szCs w:val="28"/>
          <w:highlight w:val="none"/>
          <w:shd w:val="clear" w:color="auto" w:fill="auto"/>
        </w:rPr>
        <w:t>12.1 承包人暂停施工的责任</w:t>
      </w:r>
      <w:bookmarkEnd w:id="345"/>
      <w:bookmarkEnd w:id="346"/>
      <w:bookmarkEnd w:id="347"/>
      <w:bookmarkEnd w:id="348"/>
    </w:p>
    <w:p w14:paraId="00DDBFF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因下列暂停施工增加的费用和（或）工期延误由承包人承担：</w:t>
      </w:r>
    </w:p>
    <w:p w14:paraId="0B8C217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（1）承包人违约引起的暂停施工；</w:t>
      </w:r>
    </w:p>
    <w:p w14:paraId="3FDF04B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（2）由于承包人原因为工程合理施工和安全保障所必需的暂停施工；</w:t>
      </w:r>
    </w:p>
    <w:p w14:paraId="5B4220C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（3）承包人擅自暂停施工；</w:t>
      </w:r>
    </w:p>
    <w:p w14:paraId="2558CCE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（4）承包人其他原因引起的暂停施工；</w:t>
      </w:r>
    </w:p>
    <w:p w14:paraId="575DFAE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（5）专用合同条款约定由承包人承担的其他暂停施工。</w:t>
      </w:r>
    </w:p>
    <w:p w14:paraId="54625CE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49" w:name="_Toc179632709"/>
      <w:bookmarkStart w:id="350" w:name="_Toc152042469"/>
      <w:bookmarkStart w:id="351" w:name="_Toc152045691"/>
      <w:bookmarkStart w:id="352" w:name="_Toc144974660"/>
      <w:r>
        <w:rPr>
          <w:rFonts w:hint="eastAsia" w:ascii="宋体" w:hAnsi="宋体" w:eastAsia="宋体" w:cs="宋体"/>
          <w:color w:val="auto"/>
          <w:sz w:val="28"/>
          <w:szCs w:val="28"/>
          <w:highlight w:val="none"/>
          <w:shd w:val="clear" w:color="auto" w:fill="auto"/>
        </w:rPr>
        <w:t>12.2 发包人暂停施工的责任</w:t>
      </w:r>
      <w:bookmarkEnd w:id="349"/>
      <w:bookmarkEnd w:id="350"/>
      <w:bookmarkEnd w:id="351"/>
      <w:bookmarkEnd w:id="352"/>
    </w:p>
    <w:p w14:paraId="1D170EA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由于发包人原因引起的暂停施工造成工期延误的，承包人有权要求发包人延长工期和（或）增加费用，并支付合理利润。</w:t>
      </w:r>
    </w:p>
    <w:p w14:paraId="2BB71017">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53" w:name="_Toc152045692"/>
      <w:bookmarkStart w:id="354" w:name="_Toc179632710"/>
      <w:bookmarkStart w:id="355" w:name="_Toc152042470"/>
      <w:bookmarkStart w:id="356" w:name="_Toc144974661"/>
      <w:r>
        <w:rPr>
          <w:rFonts w:hint="eastAsia" w:ascii="宋体" w:hAnsi="宋体" w:eastAsia="宋体" w:cs="宋体"/>
          <w:color w:val="auto"/>
          <w:sz w:val="28"/>
          <w:szCs w:val="28"/>
          <w:highlight w:val="none"/>
          <w:shd w:val="clear" w:color="auto" w:fill="auto"/>
        </w:rPr>
        <w:t>12.3 监理人暂停施工指示</w:t>
      </w:r>
      <w:bookmarkEnd w:id="353"/>
      <w:bookmarkEnd w:id="354"/>
      <w:bookmarkEnd w:id="355"/>
      <w:bookmarkEnd w:id="356"/>
    </w:p>
    <w:p w14:paraId="373B336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12.3.1监理人认为有必要时，可向承包人作出暂停施工的指示，承包人应按监理人指示暂停施工。不论由于何种原因引起的暂停施工，暂停施工期间承包人应负责妥善保护工程并提供安全保障。</w:t>
      </w:r>
    </w:p>
    <w:p w14:paraId="4B3F53B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12.3.2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p>
    <w:p w14:paraId="630F5C8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57" w:name="_Toc179632711"/>
      <w:bookmarkStart w:id="358" w:name="_Toc152042471"/>
      <w:bookmarkStart w:id="359" w:name="_Toc144974662"/>
      <w:bookmarkStart w:id="360" w:name="_Toc152045693"/>
      <w:r>
        <w:rPr>
          <w:rFonts w:hint="eastAsia" w:ascii="宋体" w:hAnsi="宋体" w:eastAsia="宋体" w:cs="宋体"/>
          <w:color w:val="auto"/>
          <w:sz w:val="28"/>
          <w:szCs w:val="28"/>
          <w:highlight w:val="none"/>
          <w:shd w:val="clear" w:color="auto" w:fill="auto"/>
        </w:rPr>
        <w:t>12.4 暂停施工后的复工</w:t>
      </w:r>
      <w:bookmarkEnd w:id="357"/>
      <w:bookmarkEnd w:id="358"/>
      <w:bookmarkEnd w:id="359"/>
      <w:bookmarkEnd w:id="360"/>
    </w:p>
    <w:p w14:paraId="24BF230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12.4.1暂停施工后，监理人应与发包人和承包人协商，采取有效措施积极消除暂停施工的影响。当工程具备复工条件时，监理人应立即向承包人发出复工通知。承包人收到复工通知后，应在监理人指定的期限内复工。</w:t>
      </w:r>
    </w:p>
    <w:p w14:paraId="1BCD79B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12.4.2承包人无故拖延和拒绝复工的，由此增加的费用和工期延误由承包人承担；因发包人原因无法按时复工的，承包人有权要求发包人延长工期和（或）增加费用，并支付合理利润。</w:t>
      </w:r>
    </w:p>
    <w:p w14:paraId="16A72EC1">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61" w:name="_Toc179632712"/>
      <w:bookmarkStart w:id="362" w:name="_Toc152042472"/>
      <w:bookmarkStart w:id="363" w:name="_Toc144974663"/>
      <w:bookmarkStart w:id="364" w:name="_Toc152045694"/>
      <w:r>
        <w:rPr>
          <w:rFonts w:hint="eastAsia" w:ascii="宋体" w:hAnsi="宋体" w:eastAsia="宋体" w:cs="宋体"/>
          <w:color w:val="auto"/>
          <w:sz w:val="28"/>
          <w:szCs w:val="28"/>
          <w:highlight w:val="none"/>
          <w:shd w:val="clear" w:color="auto" w:fill="auto"/>
        </w:rPr>
        <w:t>12.5 暂停施工持续56天以上</w:t>
      </w:r>
      <w:bookmarkEnd w:id="361"/>
      <w:bookmarkEnd w:id="362"/>
      <w:bookmarkEnd w:id="363"/>
      <w:bookmarkEnd w:id="364"/>
    </w:p>
    <w:p w14:paraId="3BE8BF2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14:paraId="3B8DDBF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12.5.2由于承包人责任引起的暂停施工，如承包人在收到监理人暂停施工指示后56天内不认真采取有效的复工措施，造成工期延误，可视为承包人违约，应按第22.1款的规定办理。</w:t>
      </w:r>
    </w:p>
    <w:p w14:paraId="5D7B2BF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365" w:name="_Toc152045695"/>
      <w:bookmarkStart w:id="366" w:name="_Toc179632713"/>
      <w:bookmarkStart w:id="367" w:name="_Toc501382116"/>
      <w:bookmarkStart w:id="368" w:name="_Toc144974664"/>
      <w:bookmarkStart w:id="369" w:name="_Toc12603"/>
      <w:bookmarkStart w:id="370" w:name="_Toc152042473"/>
      <w:r>
        <w:rPr>
          <w:rFonts w:hint="eastAsia" w:ascii="宋体" w:hAnsi="宋体" w:eastAsia="宋体" w:cs="宋体"/>
          <w:color w:val="auto"/>
          <w:sz w:val="28"/>
          <w:szCs w:val="28"/>
          <w:highlight w:val="none"/>
          <w:shd w:val="clear" w:color="auto" w:fill="auto"/>
        </w:rPr>
        <w:t>13. 工程质量</w:t>
      </w:r>
      <w:bookmarkEnd w:id="365"/>
      <w:bookmarkEnd w:id="366"/>
      <w:bookmarkEnd w:id="367"/>
      <w:bookmarkEnd w:id="368"/>
      <w:bookmarkEnd w:id="369"/>
      <w:bookmarkEnd w:id="370"/>
    </w:p>
    <w:p w14:paraId="01AF1CD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71" w:name="_Toc179632714"/>
      <w:bookmarkStart w:id="372" w:name="_Toc144974665"/>
      <w:bookmarkStart w:id="373" w:name="_Toc152045696"/>
      <w:bookmarkStart w:id="374" w:name="_Toc152042474"/>
      <w:r>
        <w:rPr>
          <w:rFonts w:hint="eastAsia" w:ascii="宋体" w:hAnsi="宋体" w:eastAsia="宋体" w:cs="宋体"/>
          <w:color w:val="auto"/>
          <w:sz w:val="28"/>
          <w:szCs w:val="28"/>
          <w:highlight w:val="none"/>
          <w:shd w:val="clear" w:color="auto" w:fill="auto"/>
        </w:rPr>
        <w:t>13.1 工程质量要求</w:t>
      </w:r>
      <w:bookmarkEnd w:id="371"/>
      <w:bookmarkEnd w:id="372"/>
      <w:bookmarkEnd w:id="373"/>
      <w:bookmarkEnd w:id="374"/>
    </w:p>
    <w:p w14:paraId="33E3B8F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13.1.1工程质量验收按合同约定验收标准执行。</w:t>
      </w:r>
    </w:p>
    <w:p w14:paraId="145DC7C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13.1.2因承包人原因造成工程质量达不到合同约定验收标准的，监理人有权要求承包人返工直至符合合同要求为止，由此造成的费用增加和（或）工期延误由承包人承担。</w:t>
      </w:r>
    </w:p>
    <w:p w14:paraId="2426D97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13.1.3因发包人原因造成工程质量达不到合同约定验收标准的，发包人应承担由于承包人返工造成的费用增加和（或）工期延误，并支付承包人合理利润。</w:t>
      </w:r>
    </w:p>
    <w:p w14:paraId="1220A79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75" w:name="_Toc144974666"/>
      <w:bookmarkStart w:id="376" w:name="_Toc152045697"/>
      <w:bookmarkStart w:id="377" w:name="_Toc179632715"/>
      <w:bookmarkStart w:id="378" w:name="_Toc152042475"/>
      <w:r>
        <w:rPr>
          <w:rFonts w:hint="eastAsia" w:ascii="宋体" w:hAnsi="宋体" w:eastAsia="宋体" w:cs="宋体"/>
          <w:color w:val="auto"/>
          <w:sz w:val="28"/>
          <w:szCs w:val="28"/>
          <w:highlight w:val="none"/>
          <w:shd w:val="clear" w:color="auto" w:fill="auto"/>
        </w:rPr>
        <w:t>13.2 承包人的质量管理</w:t>
      </w:r>
      <w:bookmarkEnd w:id="375"/>
      <w:bookmarkEnd w:id="376"/>
      <w:bookmarkEnd w:id="377"/>
      <w:bookmarkEnd w:id="378"/>
    </w:p>
    <w:p w14:paraId="152AC19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13.2.1承包人应在施工场地设置专门的质量检查机构，配备专职质量检查人员，建立完善的质量检查制度。承包人应在合同约定的期限内，提交工程质量保证措施文件，包括质量检查机构的组织和岗位责任、质检人员的组成、质量检查程序和实施细则等，报送监理人审批。</w:t>
      </w:r>
    </w:p>
    <w:p w14:paraId="7ADCC81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13.2.2承包人应加强对施工人员的质量教育和技术培训，定期考核施工人员的劳动技能，严格执行规范和操作规程。</w:t>
      </w:r>
    </w:p>
    <w:p w14:paraId="57174278">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79" w:name="_Toc152042476"/>
      <w:bookmarkStart w:id="380" w:name="_Toc179632716"/>
      <w:bookmarkStart w:id="381" w:name="_Toc152045698"/>
      <w:bookmarkStart w:id="382" w:name="_Toc144974667"/>
      <w:r>
        <w:rPr>
          <w:rFonts w:hint="eastAsia" w:ascii="宋体" w:hAnsi="宋体" w:eastAsia="宋体" w:cs="宋体"/>
          <w:color w:val="auto"/>
          <w:sz w:val="28"/>
          <w:szCs w:val="28"/>
          <w:highlight w:val="none"/>
          <w:shd w:val="clear" w:color="auto" w:fill="auto"/>
        </w:rPr>
        <w:t>13.3 承包人的质量检查</w:t>
      </w:r>
      <w:bookmarkEnd w:id="379"/>
      <w:bookmarkEnd w:id="380"/>
      <w:bookmarkEnd w:id="381"/>
      <w:bookmarkEnd w:id="382"/>
    </w:p>
    <w:p w14:paraId="06A4051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承包人应按合同约定对材料、工程设备以及工程的所有部位及其施工工艺进行全过程的质量检查和检验，并作详细记录，编制工程质量报表，报送监理人审查。</w:t>
      </w:r>
    </w:p>
    <w:p w14:paraId="69A16C8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83" w:name="_Toc152042477"/>
      <w:bookmarkStart w:id="384" w:name="_Toc152045699"/>
      <w:bookmarkStart w:id="385" w:name="_Toc144974668"/>
      <w:bookmarkStart w:id="386" w:name="_Toc179632717"/>
      <w:r>
        <w:rPr>
          <w:rFonts w:hint="eastAsia" w:ascii="宋体" w:hAnsi="宋体" w:eastAsia="宋体" w:cs="宋体"/>
          <w:color w:val="auto"/>
          <w:sz w:val="28"/>
          <w:szCs w:val="28"/>
          <w:highlight w:val="none"/>
          <w:shd w:val="clear" w:color="auto" w:fill="auto"/>
        </w:rPr>
        <w:t>13.4 监理人的质量检查</w:t>
      </w:r>
      <w:bookmarkEnd w:id="383"/>
      <w:bookmarkEnd w:id="384"/>
      <w:bookmarkEnd w:id="385"/>
      <w:bookmarkEnd w:id="386"/>
    </w:p>
    <w:p w14:paraId="700F495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p>
    <w:p w14:paraId="4E26FF2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87" w:name="_Toc179632718"/>
      <w:bookmarkStart w:id="388" w:name="_Toc152042478"/>
      <w:bookmarkStart w:id="389" w:name="_Toc144974669"/>
      <w:bookmarkStart w:id="390" w:name="_Toc152045700"/>
      <w:r>
        <w:rPr>
          <w:rFonts w:hint="eastAsia" w:ascii="宋体" w:hAnsi="宋体" w:eastAsia="宋体" w:cs="宋体"/>
          <w:color w:val="auto"/>
          <w:sz w:val="28"/>
          <w:szCs w:val="28"/>
          <w:highlight w:val="none"/>
          <w:shd w:val="clear" w:color="auto" w:fill="auto"/>
        </w:rPr>
        <w:t>13.5 工程隐蔽部位覆盖前的检查</w:t>
      </w:r>
      <w:bookmarkEnd w:id="387"/>
      <w:bookmarkEnd w:id="388"/>
      <w:bookmarkEnd w:id="389"/>
      <w:bookmarkEnd w:id="390"/>
    </w:p>
    <w:p w14:paraId="1211C5F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13.5.1通知监理人检查</w:t>
      </w:r>
    </w:p>
    <w:p w14:paraId="06BF229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7282FA8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13.5.2监理人未到场检查</w:t>
      </w:r>
    </w:p>
    <w:p w14:paraId="7821706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监理人未按第13.5.1项约定的时间进行检查的，除监理人另有指示外，承包人可自行完成覆盖工作，并作相应记录报送监理人，监理人应签字确认。监理人事后对检查记录有疑问的，可按第13.5.3项的约定重新检查。</w:t>
      </w:r>
    </w:p>
    <w:p w14:paraId="4F5A2DF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13.5.3监理人重新检查</w:t>
      </w:r>
    </w:p>
    <w:p w14:paraId="5BF10A6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14:paraId="6C5875B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13.5.4承包人私自覆盖</w:t>
      </w:r>
    </w:p>
    <w:p w14:paraId="368B2D4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承包人未通知监理人到场检查，私自将工程隐蔽部位覆盖的，监理人有权指示承包人钻孔探测或揭开检查，由此增加的费用和（或）工期延误由承包人承担。</w:t>
      </w:r>
    </w:p>
    <w:p w14:paraId="389A026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391" w:name="_Toc152042479"/>
      <w:bookmarkStart w:id="392" w:name="_Toc152045701"/>
      <w:bookmarkStart w:id="393" w:name="_Toc179632719"/>
      <w:bookmarkStart w:id="394" w:name="_Toc144974670"/>
      <w:r>
        <w:rPr>
          <w:rFonts w:hint="eastAsia" w:ascii="宋体" w:hAnsi="宋体" w:eastAsia="宋体" w:cs="宋体"/>
          <w:color w:val="auto"/>
          <w:sz w:val="28"/>
          <w:szCs w:val="28"/>
          <w:highlight w:val="none"/>
          <w:shd w:val="clear" w:color="auto" w:fill="auto"/>
        </w:rPr>
        <w:t>13.6 清除不合格工程</w:t>
      </w:r>
      <w:bookmarkEnd w:id="391"/>
      <w:bookmarkEnd w:id="392"/>
      <w:bookmarkEnd w:id="393"/>
      <w:bookmarkEnd w:id="394"/>
    </w:p>
    <w:p w14:paraId="1ED90DC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14:paraId="6D23A5F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13.6.2由于发包人提供的材料或工程设备不合格造成的工程不合格，需要承包人采取措施补救的，发包人应承担由此增加的费用和（或）工期延误，并支付承包人合理利润。</w:t>
      </w:r>
    </w:p>
    <w:p w14:paraId="7573A82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395" w:name="_Toc152042480"/>
      <w:bookmarkStart w:id="396" w:name="_Toc501382117"/>
      <w:bookmarkStart w:id="397" w:name="_Toc179632720"/>
      <w:bookmarkStart w:id="398" w:name="_Toc144974671"/>
      <w:bookmarkStart w:id="399" w:name="_Toc152045702"/>
      <w:bookmarkStart w:id="400" w:name="_Toc11417"/>
      <w:r>
        <w:rPr>
          <w:rFonts w:hint="eastAsia" w:ascii="宋体" w:hAnsi="宋体" w:eastAsia="宋体" w:cs="宋体"/>
          <w:color w:val="auto"/>
          <w:sz w:val="28"/>
          <w:szCs w:val="28"/>
          <w:highlight w:val="none"/>
          <w:shd w:val="clear" w:color="auto" w:fill="auto"/>
        </w:rPr>
        <w:t>14. 试验和检验</w:t>
      </w:r>
      <w:bookmarkEnd w:id="395"/>
      <w:bookmarkEnd w:id="396"/>
      <w:bookmarkEnd w:id="397"/>
      <w:bookmarkEnd w:id="398"/>
      <w:bookmarkEnd w:id="399"/>
      <w:bookmarkEnd w:id="400"/>
    </w:p>
    <w:p w14:paraId="1F384F3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01" w:name="_Toc152045703"/>
      <w:bookmarkStart w:id="402" w:name="_Toc152042481"/>
      <w:bookmarkStart w:id="403" w:name="_Toc144974672"/>
      <w:bookmarkStart w:id="404" w:name="_Toc179632721"/>
      <w:r>
        <w:rPr>
          <w:rFonts w:hint="eastAsia" w:ascii="宋体" w:hAnsi="宋体" w:eastAsia="宋体" w:cs="宋体"/>
          <w:color w:val="auto"/>
          <w:sz w:val="28"/>
          <w:szCs w:val="28"/>
          <w:highlight w:val="none"/>
          <w:shd w:val="clear" w:color="auto" w:fill="auto"/>
        </w:rPr>
        <w:t>14.1 材料、工程设备和工程的试验和检验</w:t>
      </w:r>
      <w:bookmarkEnd w:id="401"/>
      <w:bookmarkEnd w:id="402"/>
      <w:bookmarkEnd w:id="403"/>
      <w:bookmarkEnd w:id="404"/>
    </w:p>
    <w:p w14:paraId="36435A4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6BA3817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14.1.2监理人未按合同约定派员参加试验和检验的，除监理人另有指示外，承包人可自行试验和检验，并应立即将试验和检验结果报送监理人，监理人应签字确认。</w:t>
      </w:r>
    </w:p>
    <w:p w14:paraId="755C8DA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14:paraId="76231C98">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05" w:name="_Toc152042482"/>
      <w:bookmarkStart w:id="406" w:name="_Toc179632722"/>
      <w:bookmarkStart w:id="407" w:name="_Toc144974673"/>
      <w:bookmarkStart w:id="408" w:name="_Toc152045704"/>
      <w:r>
        <w:rPr>
          <w:rFonts w:hint="eastAsia" w:ascii="宋体" w:hAnsi="宋体" w:eastAsia="宋体" w:cs="宋体"/>
          <w:color w:val="auto"/>
          <w:sz w:val="28"/>
          <w:szCs w:val="28"/>
          <w:highlight w:val="none"/>
          <w:shd w:val="clear" w:color="auto" w:fill="auto"/>
        </w:rPr>
        <w:t>14.2 现场材料试验</w:t>
      </w:r>
      <w:bookmarkEnd w:id="405"/>
      <w:bookmarkEnd w:id="406"/>
      <w:bookmarkEnd w:id="407"/>
      <w:bookmarkEnd w:id="408"/>
    </w:p>
    <w:p w14:paraId="3AB58B6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14.2.1承包人根据合同约定或监理人指示进行的现场材料试验，应由承包人提供试验场所、试验人员、试验设备器材以及其他必要的试验条件。</w:t>
      </w:r>
    </w:p>
    <w:p w14:paraId="7ECE8B6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14.2.2监理人在必要时可以使用承包人的试验场所、试验设备器材以及其他试验条件，进行以工程质量检查为目的的复核性材料试验，承包人应予以协助。</w:t>
      </w:r>
    </w:p>
    <w:p w14:paraId="05447F0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09" w:name="_Toc179632723"/>
      <w:bookmarkStart w:id="410" w:name="_Toc144974674"/>
      <w:bookmarkStart w:id="411" w:name="_Toc152045705"/>
      <w:bookmarkStart w:id="412" w:name="_Toc152042483"/>
      <w:r>
        <w:rPr>
          <w:rFonts w:hint="eastAsia" w:ascii="宋体" w:hAnsi="宋体" w:eastAsia="宋体" w:cs="宋体"/>
          <w:color w:val="auto"/>
          <w:sz w:val="28"/>
          <w:szCs w:val="28"/>
          <w:highlight w:val="none"/>
          <w:shd w:val="clear" w:color="auto" w:fill="auto"/>
        </w:rPr>
        <w:t>14.3 现场工艺试验</w:t>
      </w:r>
      <w:bookmarkEnd w:id="409"/>
      <w:bookmarkEnd w:id="410"/>
      <w:bookmarkEnd w:id="411"/>
      <w:bookmarkEnd w:id="412"/>
    </w:p>
    <w:p w14:paraId="63D6F00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承包人应按合同约定或监理人指示进行现场工艺试验。对大型的现场工艺试验，监理人认为必要时，应由承包人根据监理人提出的工艺试验要求，编制工艺试验措施计划，报送监理人审批。</w:t>
      </w:r>
    </w:p>
    <w:p w14:paraId="02F2C75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413" w:name="_Toc26749"/>
      <w:bookmarkStart w:id="414" w:name="_Toc179632724"/>
      <w:bookmarkStart w:id="415" w:name="_Toc152045706"/>
      <w:bookmarkStart w:id="416" w:name="_Toc152042484"/>
      <w:bookmarkStart w:id="417" w:name="_Toc501382118"/>
      <w:bookmarkStart w:id="418" w:name="_Toc144974675"/>
      <w:r>
        <w:rPr>
          <w:rFonts w:hint="eastAsia" w:ascii="宋体" w:hAnsi="宋体" w:eastAsia="宋体" w:cs="宋体"/>
          <w:color w:val="auto"/>
          <w:sz w:val="28"/>
          <w:szCs w:val="28"/>
          <w:highlight w:val="none"/>
          <w:shd w:val="clear" w:color="auto" w:fill="auto"/>
        </w:rPr>
        <w:t>15. 变更</w:t>
      </w:r>
      <w:bookmarkEnd w:id="413"/>
      <w:bookmarkEnd w:id="414"/>
      <w:bookmarkEnd w:id="415"/>
      <w:bookmarkEnd w:id="416"/>
      <w:bookmarkEnd w:id="417"/>
      <w:bookmarkEnd w:id="418"/>
    </w:p>
    <w:p w14:paraId="49028AF6">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19" w:name="_Toc144974676"/>
      <w:bookmarkStart w:id="420" w:name="_Toc152045707"/>
      <w:bookmarkStart w:id="421" w:name="_Toc179632725"/>
      <w:bookmarkStart w:id="422" w:name="_Toc152042485"/>
      <w:r>
        <w:rPr>
          <w:rFonts w:hint="eastAsia" w:ascii="宋体" w:hAnsi="宋体" w:eastAsia="宋体" w:cs="宋体"/>
          <w:color w:val="auto"/>
          <w:sz w:val="28"/>
          <w:szCs w:val="28"/>
          <w:highlight w:val="none"/>
          <w:shd w:val="clear" w:color="auto" w:fill="auto"/>
        </w:rPr>
        <w:t>15.1 变更的范围和内容</w:t>
      </w:r>
      <w:bookmarkEnd w:id="419"/>
      <w:bookmarkEnd w:id="420"/>
      <w:bookmarkEnd w:id="421"/>
      <w:bookmarkEnd w:id="422"/>
    </w:p>
    <w:p w14:paraId="69C43B8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除专用合同条款另有约定外，在履行合同中发生以下情形之一，应按照本条规定进行变更。</w:t>
      </w:r>
    </w:p>
    <w:p w14:paraId="1D811AF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（1）取消合同中任何一项工作，但被取消的工作不能转由发包人或其他人实施；</w:t>
      </w:r>
    </w:p>
    <w:p w14:paraId="516552A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（2）改变合同中任何一项工作的质量或其他特性；</w:t>
      </w:r>
    </w:p>
    <w:p w14:paraId="6613119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（3）改变合同工程的基线、标高、位置或尺寸；</w:t>
      </w:r>
    </w:p>
    <w:p w14:paraId="5806AFC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（4）改变合同中任何一项工作的施工时间或改变已批准的施工工艺或顺序；</w:t>
      </w:r>
    </w:p>
    <w:p w14:paraId="753CF12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（5）为完成工程需要追加的额外工作。</w:t>
      </w:r>
    </w:p>
    <w:p w14:paraId="7C402AB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23" w:name="_Toc152042486"/>
      <w:bookmarkStart w:id="424" w:name="_Toc144974677"/>
      <w:bookmarkStart w:id="425" w:name="_Toc152045708"/>
      <w:bookmarkStart w:id="426" w:name="_Toc179632726"/>
      <w:r>
        <w:rPr>
          <w:rFonts w:hint="eastAsia" w:ascii="宋体" w:hAnsi="宋体" w:eastAsia="宋体" w:cs="宋体"/>
          <w:color w:val="auto"/>
          <w:sz w:val="28"/>
          <w:szCs w:val="28"/>
          <w:highlight w:val="none"/>
          <w:shd w:val="clear" w:color="auto" w:fill="auto"/>
        </w:rPr>
        <w:t>15.2 变更权</w:t>
      </w:r>
      <w:bookmarkEnd w:id="423"/>
      <w:bookmarkEnd w:id="424"/>
      <w:bookmarkEnd w:id="425"/>
      <w:bookmarkEnd w:id="426"/>
    </w:p>
    <w:p w14:paraId="68654EB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在履行合同过程中，经发包人同意，监理人可按第15.3款约定的变更程序向承包人作出变更指示，承包人应遵照执行。没有监理人的变更指示，承包人不得擅自变更。</w:t>
      </w:r>
    </w:p>
    <w:p w14:paraId="3A6CEA9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27" w:name="_Toc152045709"/>
      <w:bookmarkStart w:id="428" w:name="_Toc152042487"/>
      <w:bookmarkStart w:id="429" w:name="_Toc144974678"/>
      <w:bookmarkStart w:id="430" w:name="_Toc179632727"/>
      <w:r>
        <w:rPr>
          <w:rFonts w:hint="eastAsia" w:ascii="宋体" w:hAnsi="宋体" w:eastAsia="宋体" w:cs="宋体"/>
          <w:color w:val="auto"/>
          <w:sz w:val="28"/>
          <w:szCs w:val="28"/>
          <w:highlight w:val="none"/>
          <w:shd w:val="clear" w:color="auto" w:fill="auto"/>
        </w:rPr>
        <w:t>15.3 变更程序</w:t>
      </w:r>
      <w:bookmarkEnd w:id="427"/>
      <w:bookmarkEnd w:id="428"/>
      <w:bookmarkEnd w:id="429"/>
      <w:bookmarkEnd w:id="430"/>
    </w:p>
    <w:p w14:paraId="0D84C0F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15.3.1变更的提出</w:t>
      </w:r>
    </w:p>
    <w:p w14:paraId="63BDBDA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14:paraId="69AFF24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（2）在合同履行过程中，发生第15.1款约定情形的，监理人应按照第15.3.3项约定向承包人发出变更指示。</w:t>
      </w:r>
    </w:p>
    <w:p w14:paraId="7EAFCF9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p>
    <w:p w14:paraId="4E459BA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（4）若承包人收到监理人的变更意向书后认为难以实施此项变更，应立即通知监理人，说明原因并附详细依据。监理人与承包人和发包人协商后确定撤销、改变或不改变原变更意向书。</w:t>
      </w:r>
    </w:p>
    <w:p w14:paraId="55552AB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15.3.2变更估价</w:t>
      </w:r>
    </w:p>
    <w:p w14:paraId="4DC05E9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rPr>
          <w:rFonts w:hint="eastAsia" w:ascii="宋体" w:hAnsi="宋体" w:eastAsia="宋体" w:cs="宋体"/>
          <w:color w:val="auto"/>
          <w:sz w:val="28"/>
          <w:szCs w:val="28"/>
          <w:highlight w:val="none"/>
          <w:shd w:val="clear" w:color="auto" w:fill="auto"/>
          <w:lang w:val="en-US" w:eastAsia="zh-CN"/>
        </w:rPr>
        <w:t>承包人未在约定期限内提出变更报价书，视为承包人同意按照变更指示执行且无需变更报价。</w:t>
      </w:r>
    </w:p>
    <w:p w14:paraId="7148007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（2）变更工作影响工期的，承包人应提出调整工期的具体细节。监理人认为有必要时，可要求承包人提交要求提前或延长工期的施工进度计划及相应施工措施等详细资料。</w:t>
      </w:r>
    </w:p>
    <w:p w14:paraId="489A4BD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（3）除专用合同条款对期限另有约定外，监理人收到承包人变更报价书后的14天内，根据第15.4款约定的估价原则，按照第3.5款商定或确定变更价格。</w:t>
      </w:r>
    </w:p>
    <w:p w14:paraId="40833E0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15.3.3变更指示</w:t>
      </w:r>
    </w:p>
    <w:p w14:paraId="4A4B27C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（1）变更指示只能由监理人发出。</w:t>
      </w:r>
    </w:p>
    <w:p w14:paraId="46CBF0D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（2）变更指示应说明变更的目的、范围、变更内容以及变更的工程量及其进度和技术要求，并附有关图纸和文件。承包人收到变更指示后，应按变更指示进行变更工作。</w:t>
      </w:r>
    </w:p>
    <w:p w14:paraId="66B30EA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31" w:name="_Toc179632728"/>
      <w:bookmarkStart w:id="432" w:name="_Toc144974679"/>
      <w:bookmarkStart w:id="433" w:name="_Toc152045710"/>
      <w:bookmarkStart w:id="434" w:name="_Toc152042488"/>
      <w:r>
        <w:rPr>
          <w:rFonts w:hint="eastAsia" w:ascii="宋体" w:hAnsi="宋体" w:eastAsia="宋体" w:cs="宋体"/>
          <w:color w:val="auto"/>
          <w:sz w:val="28"/>
          <w:szCs w:val="28"/>
          <w:highlight w:val="none"/>
          <w:shd w:val="clear" w:color="auto" w:fill="auto"/>
        </w:rPr>
        <w:t>15.4 变更的估价原则</w:t>
      </w:r>
      <w:bookmarkEnd w:id="431"/>
      <w:bookmarkEnd w:id="432"/>
      <w:bookmarkEnd w:id="433"/>
      <w:bookmarkEnd w:id="434"/>
    </w:p>
    <w:p w14:paraId="31C4EE8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除专用合同条款另有约定外，因变更引起的价格调整按照本款约定处理。</w:t>
      </w:r>
    </w:p>
    <w:p w14:paraId="5EED6CB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15.4.1已标价工程量清单中有适用于变更工作的子目的，采用该子目的单价。</w:t>
      </w:r>
    </w:p>
    <w:p w14:paraId="6EE8A5C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15.4.2已标价工程量清单中无适用于变更工作的子目，但有类似子目的，可在合理范围内参照类似子目的单价，由监理人按第3.5款商定或确定变更工作的单价。</w:t>
      </w:r>
    </w:p>
    <w:p w14:paraId="7D87902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15.4.3已标价工程量清单中无适用或类似子目的单价，可按照成本加利润的原则，由监理人按第3.5款商定或确定变更工作的单价。</w:t>
      </w:r>
    </w:p>
    <w:p w14:paraId="73EA5B8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35" w:name="_Toc152042489"/>
      <w:bookmarkStart w:id="436" w:name="_Toc179632729"/>
      <w:bookmarkStart w:id="437" w:name="_Toc152045711"/>
      <w:bookmarkStart w:id="438" w:name="_Toc144974680"/>
      <w:r>
        <w:rPr>
          <w:rFonts w:hint="eastAsia" w:ascii="宋体" w:hAnsi="宋体" w:eastAsia="宋体" w:cs="宋体"/>
          <w:color w:val="auto"/>
          <w:sz w:val="28"/>
          <w:szCs w:val="28"/>
          <w:highlight w:val="none"/>
          <w:shd w:val="clear" w:color="auto" w:fill="auto"/>
        </w:rPr>
        <w:t>15.5 承包人的合理化建议</w:t>
      </w:r>
      <w:bookmarkEnd w:id="435"/>
      <w:bookmarkEnd w:id="436"/>
      <w:bookmarkEnd w:id="437"/>
      <w:bookmarkEnd w:id="438"/>
    </w:p>
    <w:p w14:paraId="460F830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14:paraId="124CB04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15.5.2承包人提出的合理化建议降低了合同价格、缩短了工期或者提高了工程经济效益的，发包人可按国家有关规定在专用合同条款中约定给予奖励。</w:t>
      </w:r>
    </w:p>
    <w:p w14:paraId="7F2A3AB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39" w:name="_Toc152045712"/>
      <w:bookmarkStart w:id="440" w:name="_Toc144974681"/>
      <w:bookmarkStart w:id="441" w:name="_Toc179632730"/>
      <w:bookmarkStart w:id="442" w:name="_Toc152042490"/>
      <w:r>
        <w:rPr>
          <w:rFonts w:hint="eastAsia" w:ascii="宋体" w:hAnsi="宋体" w:eastAsia="宋体" w:cs="宋体"/>
          <w:color w:val="auto"/>
          <w:sz w:val="28"/>
          <w:szCs w:val="28"/>
          <w:highlight w:val="none"/>
          <w:shd w:val="clear" w:color="auto" w:fill="auto"/>
        </w:rPr>
        <w:t>15.6 暂列金额</w:t>
      </w:r>
      <w:bookmarkEnd w:id="439"/>
      <w:bookmarkEnd w:id="440"/>
      <w:bookmarkEnd w:id="441"/>
      <w:bookmarkEnd w:id="442"/>
    </w:p>
    <w:p w14:paraId="074590F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暂列金额只能按照监理人的指示使用，并对合同价格进行相应调整。</w:t>
      </w:r>
    </w:p>
    <w:p w14:paraId="605B5B7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43" w:name="_Toc144974682"/>
      <w:bookmarkStart w:id="444" w:name="_Toc179632731"/>
      <w:bookmarkStart w:id="445" w:name="_Toc152045713"/>
      <w:bookmarkStart w:id="446" w:name="_Toc152042491"/>
      <w:r>
        <w:rPr>
          <w:rFonts w:hint="eastAsia" w:ascii="宋体" w:hAnsi="宋体" w:eastAsia="宋体" w:cs="宋体"/>
          <w:color w:val="auto"/>
          <w:sz w:val="28"/>
          <w:szCs w:val="28"/>
          <w:highlight w:val="none"/>
          <w:shd w:val="clear" w:color="auto" w:fill="auto"/>
        </w:rPr>
        <w:t>15.7 计日工</w:t>
      </w:r>
      <w:bookmarkEnd w:id="443"/>
      <w:bookmarkEnd w:id="444"/>
      <w:bookmarkEnd w:id="445"/>
      <w:bookmarkEnd w:id="446"/>
    </w:p>
    <w:p w14:paraId="5F639E9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15.7.1发包人认为有必要时，由监理人通知承包人以计日工方式实施变更的零星工作。其价款按列入已标价工程量清单中的计日工计价子目及其单价进行计算。</w:t>
      </w:r>
    </w:p>
    <w:p w14:paraId="3395E53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15.7.2采用计日工计价的任何一项变更工作，应从暂列金额中支付，承包人应在该项变更的实施过程中，每天提交以下报表和有关凭证报送监理人审批：</w:t>
      </w:r>
    </w:p>
    <w:p w14:paraId="442C9FE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（1）工作名称、内容和数量；</w:t>
      </w:r>
    </w:p>
    <w:p w14:paraId="06FAF70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（2）投入该工作所有人员的姓名、工种、级别和耗用工时；</w:t>
      </w:r>
    </w:p>
    <w:p w14:paraId="56CA17A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（3）投入该工作的材料类别和数量；</w:t>
      </w:r>
    </w:p>
    <w:p w14:paraId="151A7EA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（4）投入该工作的施工设备型号、台数和耗用台时；</w:t>
      </w:r>
    </w:p>
    <w:p w14:paraId="61595C4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（5）监理人要求提交的其他资料和凭证。</w:t>
      </w:r>
    </w:p>
    <w:p w14:paraId="04DCB59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15.7.3计日工由承包人汇总后，按第17.3.2项的约定列入进度付款申请单，由监理人复核并经发包人同意后列入进度付款。</w:t>
      </w:r>
    </w:p>
    <w:p w14:paraId="4E10D09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47" w:name="_Toc179632732"/>
      <w:bookmarkStart w:id="448" w:name="_Toc152045714"/>
      <w:bookmarkStart w:id="449" w:name="_Toc144974683"/>
      <w:bookmarkStart w:id="450" w:name="_Toc152042492"/>
      <w:r>
        <w:rPr>
          <w:rFonts w:hint="eastAsia" w:ascii="宋体" w:hAnsi="宋体" w:eastAsia="宋体" w:cs="宋体"/>
          <w:color w:val="auto"/>
          <w:sz w:val="28"/>
          <w:szCs w:val="28"/>
          <w:highlight w:val="none"/>
          <w:shd w:val="clear" w:color="auto" w:fill="auto"/>
        </w:rPr>
        <w:t>15.8 暂估价</w:t>
      </w:r>
      <w:bookmarkEnd w:id="447"/>
      <w:bookmarkEnd w:id="448"/>
      <w:bookmarkEnd w:id="449"/>
      <w:bookmarkEnd w:id="450"/>
    </w:p>
    <w:p w14:paraId="77100B3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15.8.1发包人在工程量清单中给定暂估价的材料、工程设备和专业工程属于依法必须招标的范围并达到规定的规模标准的，由发包人和承包人以招标的方式选择供应商或分包人。发包人和承包人的权利义务关系在专用合同条款中约定。中标金额与工程量清单中所列的暂估价的金额差以及相应的税金等其他费用列入合同价格。</w:t>
      </w:r>
    </w:p>
    <w:p w14:paraId="3E499F8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p>
    <w:p w14:paraId="3739F9E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15.8.3发包人在工程量清单中给定暂估价的专业工程不属于依法必须招标的范围或未达到规定的规模标准的，由监理人按照第15.4款进行估价，但专用合同条款另有约定的除外。经估价的专业工程与工程量清单中所列的暂估价的金额差以及相应的税金等其他费用列入合同价格。</w:t>
      </w:r>
    </w:p>
    <w:p w14:paraId="1F6C7EA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451" w:name="_Toc144974684"/>
      <w:bookmarkStart w:id="452" w:name="_Toc152045715"/>
      <w:bookmarkStart w:id="453" w:name="_Toc179632733"/>
      <w:bookmarkStart w:id="454" w:name="_Toc21637"/>
      <w:bookmarkStart w:id="455" w:name="_Toc501382119"/>
      <w:bookmarkStart w:id="456" w:name="_Toc152042493"/>
      <w:r>
        <w:rPr>
          <w:rFonts w:hint="eastAsia" w:ascii="宋体" w:hAnsi="宋体" w:eastAsia="宋体" w:cs="宋体"/>
          <w:color w:val="auto"/>
          <w:sz w:val="28"/>
          <w:szCs w:val="28"/>
          <w:highlight w:val="none"/>
          <w:shd w:val="clear" w:color="auto" w:fill="auto"/>
        </w:rPr>
        <w:t>16. 价格调整</w:t>
      </w:r>
      <w:bookmarkEnd w:id="451"/>
      <w:bookmarkEnd w:id="452"/>
      <w:bookmarkEnd w:id="453"/>
      <w:bookmarkEnd w:id="454"/>
      <w:bookmarkEnd w:id="455"/>
      <w:bookmarkEnd w:id="456"/>
    </w:p>
    <w:p w14:paraId="7E068FD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57" w:name="_Toc152045716"/>
      <w:bookmarkStart w:id="458" w:name="_Toc144974685"/>
      <w:bookmarkStart w:id="459" w:name="_Toc179632734"/>
      <w:bookmarkStart w:id="460" w:name="_Toc152042494"/>
      <w:r>
        <w:rPr>
          <w:rFonts w:hint="eastAsia" w:ascii="宋体" w:hAnsi="宋体" w:eastAsia="宋体" w:cs="宋体"/>
          <w:color w:val="auto"/>
          <w:sz w:val="28"/>
          <w:szCs w:val="28"/>
          <w:highlight w:val="none"/>
          <w:shd w:val="clear" w:color="auto" w:fill="auto"/>
        </w:rPr>
        <w:t>16.1 物价波动引起的价格调整</w:t>
      </w:r>
      <w:bookmarkEnd w:id="457"/>
      <w:bookmarkEnd w:id="458"/>
      <w:bookmarkEnd w:id="459"/>
      <w:bookmarkEnd w:id="460"/>
    </w:p>
    <w:p w14:paraId="54B2A87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除专用合同条款另有约定外，因物价波动引起的价格调整按照本款约定处理。</w:t>
      </w:r>
    </w:p>
    <w:p w14:paraId="23AFF63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16.1.1采用价格指数调整价格差额</w:t>
      </w:r>
    </w:p>
    <w:p w14:paraId="04CD4DA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16.1.1.1 价格调整公式</w:t>
      </w:r>
    </w:p>
    <w:p w14:paraId="537FF79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因人工、材料和设备等价格波动影响合同价格时，根据投标函附录中的价格指数和权重表约定的数据，按以下公式计算差额并调整合同价格。</w:t>
      </w:r>
    </w:p>
    <w:p w14:paraId="6F63AF5E">
      <w:pPr>
        <w:keepNext w:val="0"/>
        <w:keepLines w:val="0"/>
        <w:pageBreakBefore w:val="0"/>
        <w:widowControl w:val="0"/>
        <w:kinsoku/>
        <w:wordWrap/>
        <w:overflowPunct/>
        <w:topLinePunct w:val="0"/>
        <w:autoSpaceDE w:val="0"/>
        <w:autoSpaceDN w:val="0"/>
        <w:bidi w:val="0"/>
        <w:adjustRightInd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position w:val="-34"/>
          <w:sz w:val="28"/>
          <w:szCs w:val="28"/>
          <w:highlight w:val="none"/>
          <w:shd w:val="clear" w:color="auto" w:fill="auto"/>
        </w:rPr>
        <w:object>
          <v:shape id="_x0000_i1025" o:spt="75" type="#_x0000_t75" style="height:40.3pt;width:305.3pt;" o:ole="t" filled="f" o:preferrelative="t" stroked="f" coordsize="21600,21600">
            <v:path/>
            <v:fill on="f" focussize="0,0"/>
            <v:stroke on="f" joinstyle="miter"/>
            <v:imagedata r:id="rId10" o:title=""/>
            <o:lock v:ext="edit" aspectratio="t"/>
            <w10:wrap type="none"/>
            <w10:anchorlock/>
          </v:shape>
          <o:OLEObject Type="Embed" ProgID="Equation.3" ShapeID="_x0000_i1025" DrawAspect="Content" ObjectID="_1468075725" r:id="rId9">
            <o:LockedField>false</o:LockedField>
          </o:OLEObject>
        </w:object>
      </w:r>
    </w:p>
    <w:p w14:paraId="202A1E2E">
      <w:pPr>
        <w:keepNext w:val="0"/>
        <w:keepLines w:val="0"/>
        <w:pageBreakBefore w:val="0"/>
        <w:widowControl w:val="0"/>
        <w:tabs>
          <w:tab w:val="left" w:pos="1260"/>
        </w:tabs>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p>
    <w:p w14:paraId="242DB1C1">
      <w:pPr>
        <w:keepNext w:val="0"/>
        <w:keepLines w:val="0"/>
        <w:pageBreakBefore w:val="0"/>
        <w:widowControl w:val="0"/>
        <w:tabs>
          <w:tab w:val="left" w:pos="1260"/>
        </w:tabs>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式中：△P -- 需调整的价格差额；</w:t>
      </w:r>
    </w:p>
    <w:p w14:paraId="546ADDA1">
      <w:pPr>
        <w:keepNext w:val="0"/>
        <w:keepLines w:val="0"/>
        <w:pageBreakBefore w:val="0"/>
        <w:widowControl w:val="0"/>
        <w:tabs>
          <w:tab w:val="left" w:pos="1260"/>
        </w:tabs>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t>P</w:t>
      </w:r>
      <w:r>
        <w:rPr>
          <w:rFonts w:hint="eastAsia" w:ascii="宋体" w:hAnsi="宋体" w:eastAsia="宋体" w:cs="宋体"/>
          <w:color w:val="auto"/>
          <w:sz w:val="28"/>
          <w:szCs w:val="28"/>
          <w:highlight w:val="none"/>
          <w:shd w:val="clear" w:color="auto" w:fill="auto"/>
          <w:vertAlign w:val="subscript"/>
        </w:rPr>
        <w:t>0</w:t>
      </w:r>
      <w:r>
        <w:rPr>
          <w:rFonts w:hint="eastAsia" w:ascii="宋体" w:hAnsi="宋体" w:eastAsia="宋体" w:cs="宋体"/>
          <w:color w:val="auto"/>
          <w:sz w:val="28"/>
          <w:szCs w:val="28"/>
          <w:highlight w:val="none"/>
          <w:shd w:val="clear" w:color="auto" w:fill="auto"/>
        </w:rPr>
        <w:t xml:space="preserve"> -- 第17.3.3项、第17.5.2项和第17.6.2项约定的付款证书中承包人应得到的已完成工程量的金额。此项金额应不包括价格调整、不计质量保证金的扣留和支付、预付款的支付和扣回。第15条约定的变更及其他金额已按现行价格计价的，也不计在内；</w:t>
      </w:r>
    </w:p>
    <w:p w14:paraId="779F0D9A">
      <w:pPr>
        <w:keepNext w:val="0"/>
        <w:keepLines w:val="0"/>
        <w:pageBreakBefore w:val="0"/>
        <w:widowControl w:val="0"/>
        <w:tabs>
          <w:tab w:val="left" w:pos="1260"/>
        </w:tabs>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ab/>
      </w:r>
      <w:bookmarkStart w:id="461" w:name="_Toc152042495"/>
      <w:bookmarkStart w:id="462" w:name="_Toc144974686"/>
      <w:r>
        <w:rPr>
          <w:rFonts w:hint="eastAsia" w:ascii="宋体" w:hAnsi="宋体" w:eastAsia="宋体" w:cs="宋体"/>
          <w:color w:val="auto"/>
          <w:sz w:val="28"/>
          <w:szCs w:val="28"/>
          <w:highlight w:val="none"/>
          <w:shd w:val="clear" w:color="auto" w:fill="auto"/>
        </w:rPr>
        <w:t>A -- 定值权重(即不调部分的权重)；</w:t>
      </w:r>
      <w:bookmarkEnd w:id="461"/>
      <w:bookmarkEnd w:id="462"/>
    </w:p>
    <w:p w14:paraId="6BFB359E">
      <w:pPr>
        <w:keepNext w:val="0"/>
        <w:keepLines w:val="0"/>
        <w:pageBreakBefore w:val="0"/>
        <w:widowControl w:val="0"/>
        <w:tabs>
          <w:tab w:val="left" w:pos="1260"/>
        </w:tabs>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t>B</w:t>
      </w:r>
      <w:r>
        <w:rPr>
          <w:rFonts w:hint="eastAsia" w:ascii="宋体" w:hAnsi="宋体" w:eastAsia="宋体" w:cs="宋体"/>
          <w:color w:val="auto"/>
          <w:sz w:val="28"/>
          <w:szCs w:val="28"/>
          <w:highlight w:val="none"/>
          <w:shd w:val="clear" w:color="auto" w:fill="auto"/>
          <w:vertAlign w:val="subscript"/>
        </w:rPr>
        <w:t>1</w:t>
      </w:r>
      <w:r>
        <w:rPr>
          <w:rFonts w:hint="eastAsia" w:ascii="宋体" w:hAnsi="宋体" w:eastAsia="宋体" w:cs="宋体"/>
          <w:color w:val="auto"/>
          <w:sz w:val="28"/>
          <w:szCs w:val="28"/>
          <w:highlight w:val="none"/>
          <w:shd w:val="clear" w:color="auto" w:fill="auto"/>
        </w:rPr>
        <w:t>; B</w:t>
      </w:r>
      <w:r>
        <w:rPr>
          <w:rFonts w:hint="eastAsia" w:ascii="宋体" w:hAnsi="宋体" w:eastAsia="宋体" w:cs="宋体"/>
          <w:color w:val="auto"/>
          <w:sz w:val="28"/>
          <w:szCs w:val="28"/>
          <w:highlight w:val="none"/>
          <w:shd w:val="clear" w:color="auto" w:fill="auto"/>
          <w:vertAlign w:val="subscript"/>
        </w:rPr>
        <w:t>2</w:t>
      </w:r>
      <w:r>
        <w:rPr>
          <w:rFonts w:hint="eastAsia" w:ascii="宋体" w:hAnsi="宋体" w:eastAsia="宋体" w:cs="宋体"/>
          <w:color w:val="auto"/>
          <w:sz w:val="28"/>
          <w:szCs w:val="28"/>
          <w:highlight w:val="none"/>
          <w:shd w:val="clear" w:color="auto" w:fill="auto"/>
        </w:rPr>
        <w:t xml:space="preserve"> ;B</w:t>
      </w:r>
      <w:r>
        <w:rPr>
          <w:rFonts w:hint="eastAsia" w:ascii="宋体" w:hAnsi="宋体" w:eastAsia="宋体" w:cs="宋体"/>
          <w:color w:val="auto"/>
          <w:sz w:val="28"/>
          <w:szCs w:val="28"/>
          <w:highlight w:val="none"/>
          <w:shd w:val="clear" w:color="auto" w:fill="auto"/>
          <w:vertAlign w:val="subscript"/>
        </w:rPr>
        <w:t>3</w:t>
      </w:r>
      <w:r>
        <w:rPr>
          <w:rFonts w:hint="eastAsia" w:ascii="宋体" w:hAnsi="宋体" w:eastAsia="宋体" w:cs="宋体"/>
          <w:color w:val="auto"/>
          <w:sz w:val="28"/>
          <w:szCs w:val="28"/>
          <w:highlight w:val="none"/>
          <w:shd w:val="clear" w:color="auto" w:fill="auto"/>
        </w:rPr>
        <w:t>·····B</w:t>
      </w:r>
      <w:r>
        <w:rPr>
          <w:rFonts w:hint="eastAsia" w:ascii="宋体" w:hAnsi="宋体" w:eastAsia="宋体" w:cs="宋体"/>
          <w:color w:val="auto"/>
          <w:sz w:val="28"/>
          <w:szCs w:val="28"/>
          <w:highlight w:val="none"/>
          <w:shd w:val="clear" w:color="auto" w:fill="auto"/>
          <w:vertAlign w:val="subscript"/>
        </w:rPr>
        <w:t>n</w:t>
      </w:r>
      <w:r>
        <w:rPr>
          <w:rFonts w:hint="eastAsia" w:ascii="宋体" w:hAnsi="宋体" w:eastAsia="宋体" w:cs="宋体"/>
          <w:color w:val="auto"/>
          <w:sz w:val="28"/>
          <w:szCs w:val="28"/>
          <w:highlight w:val="none"/>
          <w:shd w:val="clear" w:color="auto" w:fill="auto"/>
        </w:rPr>
        <w:t xml:space="preserve"> -- 各可调因子的变值权重(即可调部分的权重)为各可调因子在投标函投标总报价中所占的比例；</w:t>
      </w:r>
    </w:p>
    <w:p w14:paraId="2C9702B5">
      <w:pPr>
        <w:keepNext w:val="0"/>
        <w:keepLines w:val="0"/>
        <w:pageBreakBefore w:val="0"/>
        <w:widowControl w:val="0"/>
        <w:tabs>
          <w:tab w:val="left" w:pos="1260"/>
        </w:tabs>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t>F</w:t>
      </w:r>
      <w:r>
        <w:rPr>
          <w:rFonts w:hint="eastAsia" w:ascii="宋体" w:hAnsi="宋体" w:eastAsia="宋体" w:cs="宋体"/>
          <w:color w:val="auto"/>
          <w:sz w:val="28"/>
          <w:szCs w:val="28"/>
          <w:highlight w:val="none"/>
          <w:shd w:val="clear" w:color="auto" w:fill="auto"/>
          <w:vertAlign w:val="subscript"/>
        </w:rPr>
        <w:t>t1</w:t>
      </w:r>
      <w:r>
        <w:rPr>
          <w:rFonts w:hint="eastAsia" w:ascii="宋体" w:hAnsi="宋体" w:eastAsia="宋体" w:cs="宋体"/>
          <w:color w:val="auto"/>
          <w:sz w:val="28"/>
          <w:szCs w:val="28"/>
          <w:highlight w:val="none"/>
          <w:shd w:val="clear" w:color="auto" w:fill="auto"/>
        </w:rPr>
        <w:t xml:space="preserve"> ;F</w:t>
      </w:r>
      <w:r>
        <w:rPr>
          <w:rFonts w:hint="eastAsia" w:ascii="宋体" w:hAnsi="宋体" w:eastAsia="宋体" w:cs="宋体"/>
          <w:color w:val="auto"/>
          <w:sz w:val="28"/>
          <w:szCs w:val="28"/>
          <w:highlight w:val="none"/>
          <w:shd w:val="clear" w:color="auto" w:fill="auto"/>
          <w:vertAlign w:val="subscript"/>
        </w:rPr>
        <w:t>t2</w:t>
      </w:r>
      <w:r>
        <w:rPr>
          <w:rFonts w:hint="eastAsia" w:ascii="宋体" w:hAnsi="宋体" w:eastAsia="宋体" w:cs="宋体"/>
          <w:color w:val="auto"/>
          <w:sz w:val="28"/>
          <w:szCs w:val="28"/>
          <w:highlight w:val="none"/>
          <w:shd w:val="clear" w:color="auto" w:fill="auto"/>
        </w:rPr>
        <w:t xml:space="preserve"> ;F</w:t>
      </w:r>
      <w:r>
        <w:rPr>
          <w:rFonts w:hint="eastAsia" w:ascii="宋体" w:hAnsi="宋体" w:eastAsia="宋体" w:cs="宋体"/>
          <w:color w:val="auto"/>
          <w:sz w:val="28"/>
          <w:szCs w:val="28"/>
          <w:highlight w:val="none"/>
          <w:shd w:val="clear" w:color="auto" w:fill="auto"/>
          <w:vertAlign w:val="subscript"/>
        </w:rPr>
        <w:t>t3</w:t>
      </w:r>
      <w:r>
        <w:rPr>
          <w:rFonts w:hint="eastAsia" w:ascii="宋体" w:hAnsi="宋体" w:eastAsia="宋体" w:cs="宋体"/>
          <w:color w:val="auto"/>
          <w:sz w:val="28"/>
          <w:szCs w:val="28"/>
          <w:highlight w:val="none"/>
          <w:shd w:val="clear" w:color="auto" w:fill="auto"/>
        </w:rPr>
        <w:t>·····F</w:t>
      </w:r>
      <w:r>
        <w:rPr>
          <w:rFonts w:hint="eastAsia" w:ascii="宋体" w:hAnsi="宋体" w:eastAsia="宋体" w:cs="宋体"/>
          <w:color w:val="auto"/>
          <w:sz w:val="28"/>
          <w:szCs w:val="28"/>
          <w:highlight w:val="none"/>
          <w:shd w:val="clear" w:color="auto" w:fill="auto"/>
          <w:vertAlign w:val="subscript"/>
        </w:rPr>
        <w:t>tn</w:t>
      </w:r>
      <w:r>
        <w:rPr>
          <w:rFonts w:hint="eastAsia" w:ascii="宋体" w:hAnsi="宋体" w:eastAsia="宋体" w:cs="宋体"/>
          <w:color w:val="auto"/>
          <w:sz w:val="28"/>
          <w:szCs w:val="28"/>
          <w:highlight w:val="none"/>
          <w:shd w:val="clear" w:color="auto" w:fill="auto"/>
        </w:rPr>
        <w:t xml:space="preserve"> -- 各可调因子的现行价格指数，指第17.3.3项、第17.5.2项和第17.6.2项约定的付款证书相关周期最后一天的前42天的各可调因子的价格指数；</w:t>
      </w:r>
    </w:p>
    <w:p w14:paraId="5A10622A">
      <w:pPr>
        <w:keepNext w:val="0"/>
        <w:keepLines w:val="0"/>
        <w:pageBreakBefore w:val="0"/>
        <w:widowControl w:val="0"/>
        <w:tabs>
          <w:tab w:val="left" w:pos="1260"/>
        </w:tabs>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ab/>
      </w:r>
      <w:r>
        <w:rPr>
          <w:rFonts w:hint="eastAsia" w:ascii="宋体" w:hAnsi="宋体" w:eastAsia="宋体" w:cs="宋体"/>
          <w:color w:val="auto"/>
          <w:sz w:val="28"/>
          <w:szCs w:val="28"/>
          <w:highlight w:val="none"/>
          <w:shd w:val="clear" w:color="auto" w:fill="auto"/>
        </w:rPr>
        <w:t>F</w:t>
      </w:r>
      <w:r>
        <w:rPr>
          <w:rFonts w:hint="eastAsia" w:ascii="宋体" w:hAnsi="宋体" w:eastAsia="宋体" w:cs="宋体"/>
          <w:color w:val="auto"/>
          <w:sz w:val="28"/>
          <w:szCs w:val="28"/>
          <w:highlight w:val="none"/>
          <w:shd w:val="clear" w:color="auto" w:fill="auto"/>
          <w:vertAlign w:val="subscript"/>
        </w:rPr>
        <w:t>o1</w:t>
      </w:r>
      <w:r>
        <w:rPr>
          <w:rFonts w:hint="eastAsia" w:ascii="宋体" w:hAnsi="宋体" w:eastAsia="宋体" w:cs="宋体"/>
          <w:color w:val="auto"/>
          <w:sz w:val="28"/>
          <w:szCs w:val="28"/>
          <w:highlight w:val="none"/>
          <w:shd w:val="clear" w:color="auto" w:fill="auto"/>
        </w:rPr>
        <w:t>; F</w:t>
      </w:r>
      <w:r>
        <w:rPr>
          <w:rFonts w:hint="eastAsia" w:ascii="宋体" w:hAnsi="宋体" w:eastAsia="宋体" w:cs="宋体"/>
          <w:color w:val="auto"/>
          <w:sz w:val="28"/>
          <w:szCs w:val="28"/>
          <w:highlight w:val="none"/>
          <w:shd w:val="clear" w:color="auto" w:fill="auto"/>
          <w:vertAlign w:val="subscript"/>
        </w:rPr>
        <w:t>o2</w:t>
      </w:r>
      <w:r>
        <w:rPr>
          <w:rFonts w:hint="eastAsia" w:ascii="宋体" w:hAnsi="宋体" w:eastAsia="宋体" w:cs="宋体"/>
          <w:color w:val="auto"/>
          <w:sz w:val="28"/>
          <w:szCs w:val="28"/>
          <w:highlight w:val="none"/>
          <w:shd w:val="clear" w:color="auto" w:fill="auto"/>
        </w:rPr>
        <w:t>; F</w:t>
      </w:r>
      <w:r>
        <w:rPr>
          <w:rFonts w:hint="eastAsia" w:ascii="宋体" w:hAnsi="宋体" w:eastAsia="宋体" w:cs="宋体"/>
          <w:color w:val="auto"/>
          <w:sz w:val="28"/>
          <w:szCs w:val="28"/>
          <w:highlight w:val="none"/>
          <w:shd w:val="clear" w:color="auto" w:fill="auto"/>
          <w:vertAlign w:val="subscript"/>
        </w:rPr>
        <w:t>o3</w:t>
      </w:r>
      <w:r>
        <w:rPr>
          <w:rFonts w:hint="eastAsia" w:ascii="宋体" w:hAnsi="宋体" w:eastAsia="宋体" w:cs="宋体"/>
          <w:color w:val="auto"/>
          <w:sz w:val="28"/>
          <w:szCs w:val="28"/>
          <w:highlight w:val="none"/>
          <w:shd w:val="clear" w:color="auto" w:fill="auto"/>
        </w:rPr>
        <w:t>·····F</w:t>
      </w:r>
      <w:r>
        <w:rPr>
          <w:rFonts w:hint="eastAsia" w:ascii="宋体" w:hAnsi="宋体" w:eastAsia="宋体" w:cs="宋体"/>
          <w:color w:val="auto"/>
          <w:sz w:val="28"/>
          <w:szCs w:val="28"/>
          <w:highlight w:val="none"/>
          <w:shd w:val="clear" w:color="auto" w:fill="auto"/>
          <w:vertAlign w:val="subscript"/>
        </w:rPr>
        <w:t>on</w:t>
      </w:r>
      <w:r>
        <w:rPr>
          <w:rFonts w:hint="eastAsia" w:ascii="宋体" w:hAnsi="宋体" w:eastAsia="宋体" w:cs="宋体"/>
          <w:color w:val="auto"/>
          <w:sz w:val="28"/>
          <w:szCs w:val="28"/>
          <w:highlight w:val="none"/>
          <w:shd w:val="clear" w:color="auto" w:fill="auto"/>
        </w:rPr>
        <w:t xml:space="preserve"> -- 各可调因子的基本价格指数，指基准日期的各可调因子的价格指数。</w:t>
      </w:r>
    </w:p>
    <w:p w14:paraId="008F036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14:paraId="05172A2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16.1.1.2 暂时确定调整差额</w:t>
      </w:r>
    </w:p>
    <w:p w14:paraId="442EEBA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在计算调整差额时得不到现行价格指数的，可暂用上一次价格指数计算，并在以后的付款中再按实际价格指数进行调整。</w:t>
      </w:r>
    </w:p>
    <w:p w14:paraId="7772173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16.1.1.3 权重的调整</w:t>
      </w:r>
    </w:p>
    <w:p w14:paraId="78540FC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按第15.1款约定的变更导致原定合同中的权重不合理时，由监理人与承包人和发包人协商后进行调整。</w:t>
      </w:r>
    </w:p>
    <w:p w14:paraId="6629177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16.1.1.4 承包人工期延误后的价格调整</w:t>
      </w:r>
    </w:p>
    <w:p w14:paraId="15AA158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由于承包人原因未在约定的工期内竣工的，则对原约定竣工日期后继续施工的工程，在使用第16.1.1.1目价格调整公式时，应采用原约定竣工日期与实际竣工日期的两个价格指数中较低的一个作为现行价格指数。</w:t>
      </w:r>
    </w:p>
    <w:p w14:paraId="708CF6C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16.1.2 采用造价信息调整价格差额</w:t>
      </w:r>
    </w:p>
    <w:p w14:paraId="45777F2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w:t>
      </w:r>
    </w:p>
    <w:p w14:paraId="2527E86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63" w:name="_Toc152042496"/>
      <w:bookmarkStart w:id="464" w:name="_Toc152045717"/>
      <w:bookmarkStart w:id="465" w:name="_Toc179632735"/>
      <w:bookmarkStart w:id="466" w:name="_Toc144974688"/>
      <w:r>
        <w:rPr>
          <w:rFonts w:hint="eastAsia" w:ascii="宋体" w:hAnsi="宋体" w:eastAsia="宋体" w:cs="宋体"/>
          <w:color w:val="auto"/>
          <w:sz w:val="28"/>
          <w:szCs w:val="28"/>
          <w:highlight w:val="none"/>
          <w:shd w:val="clear" w:color="auto" w:fill="auto"/>
        </w:rPr>
        <w:t>16.2 法律变化引起的价格调整</w:t>
      </w:r>
      <w:bookmarkEnd w:id="463"/>
      <w:bookmarkEnd w:id="464"/>
      <w:bookmarkEnd w:id="465"/>
      <w:bookmarkEnd w:id="466"/>
    </w:p>
    <w:p w14:paraId="609B9DD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在基准日后，因法律变化导致承包人在合同履行中所需要的工程费用发生除第16.1款约定以外的增减时，监理人应根据法律、国家或省、自治区、直辖市有关部门的规定，按第3.5款商定或确定需调整的合同价款。</w:t>
      </w:r>
    </w:p>
    <w:p w14:paraId="3C16208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467" w:name="_Toc144974689"/>
      <w:bookmarkStart w:id="468" w:name="_Toc501382120"/>
      <w:bookmarkStart w:id="469" w:name="_Toc152042497"/>
      <w:bookmarkStart w:id="470" w:name="_Toc29761"/>
      <w:bookmarkStart w:id="471" w:name="_Toc179632736"/>
      <w:bookmarkStart w:id="472" w:name="_Toc152045718"/>
      <w:r>
        <w:rPr>
          <w:rFonts w:hint="eastAsia" w:ascii="宋体" w:hAnsi="宋体" w:eastAsia="宋体" w:cs="宋体"/>
          <w:color w:val="auto"/>
          <w:sz w:val="28"/>
          <w:szCs w:val="28"/>
          <w:highlight w:val="none"/>
          <w:shd w:val="clear" w:color="auto" w:fill="auto"/>
        </w:rPr>
        <w:t>17. 计量与支付</w:t>
      </w:r>
      <w:bookmarkEnd w:id="467"/>
      <w:bookmarkEnd w:id="468"/>
      <w:bookmarkEnd w:id="469"/>
      <w:bookmarkEnd w:id="470"/>
      <w:bookmarkEnd w:id="471"/>
      <w:bookmarkEnd w:id="472"/>
    </w:p>
    <w:p w14:paraId="3868A15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73" w:name="_Toc179632737"/>
      <w:bookmarkStart w:id="474" w:name="_Toc152045719"/>
      <w:bookmarkStart w:id="475" w:name="_Toc152042498"/>
      <w:bookmarkStart w:id="476" w:name="_Toc144974690"/>
      <w:r>
        <w:rPr>
          <w:rFonts w:hint="eastAsia" w:ascii="宋体" w:hAnsi="宋体" w:eastAsia="宋体" w:cs="宋体"/>
          <w:color w:val="auto"/>
          <w:sz w:val="28"/>
          <w:szCs w:val="28"/>
          <w:highlight w:val="none"/>
          <w:shd w:val="clear" w:color="auto" w:fill="auto"/>
        </w:rPr>
        <w:t>17.1 计量</w:t>
      </w:r>
      <w:bookmarkEnd w:id="473"/>
      <w:bookmarkEnd w:id="474"/>
      <w:bookmarkEnd w:id="475"/>
      <w:bookmarkEnd w:id="476"/>
    </w:p>
    <w:p w14:paraId="164858F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17.1.1计量单位</w:t>
      </w:r>
    </w:p>
    <w:p w14:paraId="79721F4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计量采用国家法定的计量单位。</w:t>
      </w:r>
    </w:p>
    <w:p w14:paraId="7D2C2D3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17.1.2计量方法</w:t>
      </w:r>
    </w:p>
    <w:p w14:paraId="3C749A9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工程量清单中的工程量计算规则应按有关国家标准、行业标准的规定，并在合同中约定执行。</w:t>
      </w:r>
    </w:p>
    <w:p w14:paraId="65099CB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17.1.3计量周期</w:t>
      </w:r>
    </w:p>
    <w:p w14:paraId="7F2B134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除专用合同条款另有约定外，单价子目已完成工程量按月计量，总价子目的计量周期按批准的支付分解报告确定。</w:t>
      </w:r>
    </w:p>
    <w:p w14:paraId="623B524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17.1.4 单价子目的计量</w:t>
      </w:r>
    </w:p>
    <w:p w14:paraId="5267A98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（1）已标价工程量清单中的单价子目工程量为估算工程量。结算工程量是承包人实际完成的，并按合同约定的计量方法进行计量的工程量。</w:t>
      </w:r>
    </w:p>
    <w:p w14:paraId="6E3BFE3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（2）承包人对已完成的工程进行计量，向监理人提交进度付款申请单、已完成工程量报表和有关计量资料。</w:t>
      </w:r>
    </w:p>
    <w:p w14:paraId="4C47C49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14:paraId="5011C99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（4）监理人认为有必要时，可通知承包人共同进行联合测量、计量，承包人应遵照执行。</w:t>
      </w:r>
    </w:p>
    <w:p w14:paraId="2A6C35F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14:paraId="733D59C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（6）监理人应在收到承包人提交的工程量报表后的7天内进行复核，监理人未在约定时间内复核的，承包人提交的工程量报表中的工程量视为承包人实际完成的工程量，据此计算工程价款。</w:t>
      </w:r>
    </w:p>
    <w:p w14:paraId="38EE33C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17.1.5总价子目的计量</w:t>
      </w:r>
    </w:p>
    <w:p w14:paraId="5335FF8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除专用合同条款另有约定外，总价子目的分解和计量按照下述约定进行。</w:t>
      </w:r>
    </w:p>
    <w:p w14:paraId="6E33218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（1）总价子目的计量和支付应以总价为基础，不因第16.1款中的因素而进行调整。承包人实际完成的工程量，是进行工程目标管理和控制进度支付的依据。</w:t>
      </w:r>
    </w:p>
    <w:p w14:paraId="02FA328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p>
    <w:p w14:paraId="0796429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（3）监理人对承包人提交的上述资料进行复核，以确定分阶段实际完成的工程量和工程形象目标。对其有异议的，可要求承包人按第8.2款约定进行共同复核和抽样复测。</w:t>
      </w:r>
    </w:p>
    <w:p w14:paraId="3C852CC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（4）除按照第15条约定的变更外，总价子目的工程量是承包人用于结算的最终工程量。 </w:t>
      </w:r>
    </w:p>
    <w:p w14:paraId="0F28095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77" w:name="_Toc179632738"/>
      <w:bookmarkStart w:id="478" w:name="_Toc144974691"/>
      <w:bookmarkStart w:id="479" w:name="_Toc152042499"/>
      <w:bookmarkStart w:id="480" w:name="_Toc152045720"/>
      <w:r>
        <w:rPr>
          <w:rFonts w:hint="eastAsia" w:ascii="宋体" w:hAnsi="宋体" w:eastAsia="宋体" w:cs="宋体"/>
          <w:color w:val="auto"/>
          <w:sz w:val="28"/>
          <w:szCs w:val="28"/>
          <w:highlight w:val="none"/>
          <w:shd w:val="clear" w:color="auto" w:fill="auto"/>
        </w:rPr>
        <w:t>17.2 预付款</w:t>
      </w:r>
      <w:bookmarkEnd w:id="477"/>
      <w:bookmarkEnd w:id="478"/>
      <w:bookmarkEnd w:id="479"/>
      <w:bookmarkEnd w:id="480"/>
    </w:p>
    <w:p w14:paraId="1533658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17.2.1预付款</w:t>
      </w:r>
    </w:p>
    <w:p w14:paraId="24881F0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预付款用于承包人为合同工程施工购置材料、工程设备、施工设备、修建临时设施以及组织施工队伍进场等。预付款的额度和预付办法在专用合同条款中约定。预付款必须专用于合同工程。</w:t>
      </w:r>
    </w:p>
    <w:p w14:paraId="6BD304F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17.2.2预付款保函</w:t>
      </w:r>
    </w:p>
    <w:p w14:paraId="315AB81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除专用合同条款另有约定外，承包人应在收到预付款的同时向发包人提交预付款保函，预付款保函的担保金额应与预付款金额相同。保函的担保金额可根据预付款扣回的金额相应递减。</w:t>
      </w:r>
    </w:p>
    <w:p w14:paraId="39E260B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17.2.3预付款的扣回与还清</w:t>
      </w:r>
    </w:p>
    <w:p w14:paraId="256C6C7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预付款在进度付款中扣回，扣回办法在专用合同条款中约定。在颁发工程接收证书前，由于不可抗力或其他原因解除合同时，预付款尚未扣清的，尚未扣清的预付款余额应作为承包人的到期应付款。</w:t>
      </w:r>
    </w:p>
    <w:p w14:paraId="54EE7CF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81" w:name="_Toc179632739"/>
      <w:bookmarkStart w:id="482" w:name="_Toc144974692"/>
      <w:bookmarkStart w:id="483" w:name="_Toc152045721"/>
      <w:bookmarkStart w:id="484" w:name="_Toc152042500"/>
      <w:r>
        <w:rPr>
          <w:rFonts w:hint="eastAsia" w:ascii="宋体" w:hAnsi="宋体" w:eastAsia="宋体" w:cs="宋体"/>
          <w:color w:val="auto"/>
          <w:sz w:val="28"/>
          <w:szCs w:val="28"/>
          <w:highlight w:val="none"/>
          <w:shd w:val="clear" w:color="auto" w:fill="auto"/>
        </w:rPr>
        <w:t>17.3 工程进度付款</w:t>
      </w:r>
      <w:bookmarkEnd w:id="481"/>
      <w:bookmarkEnd w:id="482"/>
      <w:bookmarkEnd w:id="483"/>
      <w:bookmarkEnd w:id="484"/>
    </w:p>
    <w:p w14:paraId="334690B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17.3.1付款周期</w:t>
      </w:r>
    </w:p>
    <w:p w14:paraId="0A3AB9A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付款周期同计量周期。</w:t>
      </w:r>
    </w:p>
    <w:p w14:paraId="5D96326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17.3.2进度付款申请单</w:t>
      </w:r>
    </w:p>
    <w:p w14:paraId="3535ADD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dstrike/>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承包人应在每个付款周期末，按监理人批准的格式和专用合同条款约定的份数，向监理人提交进度付款申请单，并附相应的支持性证明文件。除专用合同条款另有约定外，进度付款申请单应包括下列内容：</w:t>
      </w:r>
    </w:p>
    <w:p w14:paraId="55AB16E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（1）截至本次付款周期末已实施工程的价款；</w:t>
      </w:r>
    </w:p>
    <w:p w14:paraId="7B2BCA3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（2）根据第15条应增加和扣减的变更金额；</w:t>
      </w:r>
    </w:p>
    <w:p w14:paraId="7E1A2CC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（3）根据第23条应增加和扣减的索赔金额；</w:t>
      </w:r>
    </w:p>
    <w:p w14:paraId="05721CE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（4）根据第17.2款约定应支付的预付款和扣减的返还预付款；</w:t>
      </w:r>
    </w:p>
    <w:p w14:paraId="4BC54EA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（5）根据第17.4.1项约定应扣减的质量保证金；</w:t>
      </w:r>
    </w:p>
    <w:p w14:paraId="21E42FF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（6）根据合同应增加和扣减的其他金额。</w:t>
      </w:r>
    </w:p>
    <w:p w14:paraId="7E924F9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17.3.3进度付款证书和支付时间</w:t>
      </w:r>
    </w:p>
    <w:p w14:paraId="1AF3935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14:paraId="0D90042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（2）发包人应在监理人收到进度付款申请单后的28天内，将进度应付款支付给承包人。发包人不按期支付的，按专用合同条款的约定支付逾期付款违约金。</w:t>
      </w:r>
    </w:p>
    <w:p w14:paraId="2737A77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（3）监理人出具进度付款证书，不应视为监理人已同意、批准或接受了承包人完成的该部分工作。</w:t>
      </w:r>
    </w:p>
    <w:p w14:paraId="688F640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（4）进度付款涉及政府投资资金的，按照国库集中支付等国家相关规定和专用合同条款的约定办理。</w:t>
      </w:r>
    </w:p>
    <w:p w14:paraId="205C03A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17.3.4工程进度付款的修正</w:t>
      </w:r>
    </w:p>
    <w:p w14:paraId="389E0FC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在对以往历次已签发的进度付款证书进行汇总和复核中发现错、漏或重复的，监理人有权予以修正，承包人也有权提出修正申请。经双方复核同意的修正，应在本次进度付款中支付或扣除。</w:t>
      </w:r>
    </w:p>
    <w:p w14:paraId="2F2567A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85" w:name="_Toc152045722"/>
      <w:bookmarkStart w:id="486" w:name="_Toc144974693"/>
      <w:bookmarkStart w:id="487" w:name="_Toc152042501"/>
      <w:bookmarkStart w:id="488" w:name="_Toc179632740"/>
      <w:r>
        <w:rPr>
          <w:rFonts w:hint="eastAsia" w:ascii="宋体" w:hAnsi="宋体" w:eastAsia="宋体" w:cs="宋体"/>
          <w:color w:val="auto"/>
          <w:sz w:val="28"/>
          <w:szCs w:val="28"/>
          <w:highlight w:val="none"/>
          <w:shd w:val="clear" w:color="auto" w:fill="auto"/>
        </w:rPr>
        <w:t xml:space="preserve">17.4 </w:t>
      </w:r>
      <w:bookmarkEnd w:id="485"/>
      <w:bookmarkEnd w:id="486"/>
      <w:bookmarkEnd w:id="487"/>
      <w:r>
        <w:rPr>
          <w:rFonts w:hint="eastAsia" w:ascii="宋体" w:hAnsi="宋体" w:eastAsia="宋体" w:cs="宋体"/>
          <w:color w:val="auto"/>
          <w:sz w:val="28"/>
          <w:szCs w:val="28"/>
          <w:highlight w:val="none"/>
          <w:shd w:val="clear" w:color="auto" w:fill="auto"/>
        </w:rPr>
        <w:t>质量保证金</w:t>
      </w:r>
      <w:bookmarkEnd w:id="488"/>
    </w:p>
    <w:p w14:paraId="0C7CF1E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17.4.1监理人应从第一个付款周期开始，在发包人的进度付款中，按专用合同条款的约定扣留质量保证金，直至扣留的质量保证金总额达到专用合同条款约定的金额或比例为止。质量保证金的计算额度不包括预付款的支付、扣回以及价格调整的金额。</w:t>
      </w:r>
    </w:p>
    <w:p w14:paraId="34B9600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17.4.2在第1.1.4.5目约定的缺陷责任期满时，承包人向发包人申请到期应返还承包人剩余的质量保证金金额，发包人应在14天内会同承包人按照合同约定的内容核实承包人是否完成缺陷责任。如无异议，发包人应当在核实后将剩余保证金返还承包人。</w:t>
      </w:r>
    </w:p>
    <w:p w14:paraId="398E326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17.4.3在第1.1.4.5目约定的缺陷责任期满时，承包人没有完成缺陷责任的，发包人有权扣留与未履行责任剩余工作所需金额相应的质量保证金余额，并有权根据第19.3款约定要求延长缺陷责任期，直至完成剩余工作为止。</w:t>
      </w:r>
    </w:p>
    <w:p w14:paraId="53D0E65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89" w:name="_Toc179632741"/>
      <w:bookmarkStart w:id="490" w:name="_Toc152045723"/>
      <w:bookmarkStart w:id="491" w:name="_Toc152042502"/>
      <w:bookmarkStart w:id="492" w:name="_Toc144974694"/>
      <w:r>
        <w:rPr>
          <w:rFonts w:hint="eastAsia" w:ascii="宋体" w:hAnsi="宋体" w:eastAsia="宋体" w:cs="宋体"/>
          <w:color w:val="auto"/>
          <w:sz w:val="28"/>
          <w:szCs w:val="28"/>
          <w:highlight w:val="none"/>
          <w:shd w:val="clear" w:color="auto" w:fill="auto"/>
        </w:rPr>
        <w:t>17.5 竣工结算</w:t>
      </w:r>
      <w:bookmarkEnd w:id="489"/>
      <w:bookmarkEnd w:id="490"/>
      <w:bookmarkEnd w:id="491"/>
      <w:bookmarkEnd w:id="492"/>
    </w:p>
    <w:p w14:paraId="318399F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17.5.1竣工付款申请单</w:t>
      </w:r>
    </w:p>
    <w:p w14:paraId="134DB4C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工程接收证书颁发后，承包人应按专用合同条款约定的份数和期限向监理人提交竣工付款申请单，并提供相关证明材料。除专用合同条款另有约定外，竣工付款申请单应包括下列内容：竣工结算合同总价、发包人已支付承包人的工程价款、应扣留的质量保证金、应支付的竣工付款金额。</w:t>
      </w:r>
    </w:p>
    <w:p w14:paraId="0A68210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（2）监理人对竣工付款申请单有异议的，有权要求承包人进行修正和提供补充资料。经监理人和承包人协商后，由承包人向监理人提交修正后的竣工付款申请单。</w:t>
      </w:r>
    </w:p>
    <w:p w14:paraId="7BB3671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17.5.2竣工付款证书及支付时间</w:t>
      </w:r>
    </w:p>
    <w:p w14:paraId="022E047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p>
    <w:p w14:paraId="19D5F37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（2）发包人应在监理人出具竣工付款证书后的14天内，将应支付款支付给承包人。发包人不按期支付的，按第17.3.3（2）目的约定，将逾期付款违约金支付给承包人。</w:t>
      </w:r>
    </w:p>
    <w:p w14:paraId="213F6CC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（3）承包人对发包人签认的竣工付款证书有异议的，发包人可出具竣工付款申请单中承包人已同意部分的临时付款证书。存在争议的部分，按第24条的约定办理。</w:t>
      </w:r>
    </w:p>
    <w:p w14:paraId="67CA17D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（4）竣工付款涉及政府投资资金的，按第17.3.3（４）目的约定办理。</w:t>
      </w:r>
    </w:p>
    <w:p w14:paraId="57B18C88">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493" w:name="_Toc152045724"/>
      <w:bookmarkStart w:id="494" w:name="_Toc179632742"/>
      <w:bookmarkStart w:id="495" w:name="_Toc152042503"/>
      <w:bookmarkStart w:id="496" w:name="_Toc144974695"/>
      <w:r>
        <w:rPr>
          <w:rFonts w:hint="eastAsia" w:ascii="宋体" w:hAnsi="宋体" w:eastAsia="宋体" w:cs="宋体"/>
          <w:color w:val="auto"/>
          <w:sz w:val="28"/>
          <w:szCs w:val="28"/>
          <w:highlight w:val="none"/>
          <w:shd w:val="clear" w:color="auto" w:fill="auto"/>
        </w:rPr>
        <w:t>17.6 最终结清</w:t>
      </w:r>
      <w:bookmarkEnd w:id="493"/>
      <w:bookmarkEnd w:id="494"/>
      <w:bookmarkEnd w:id="495"/>
      <w:bookmarkEnd w:id="496"/>
    </w:p>
    <w:p w14:paraId="7E27900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17.6.1最终结清申请单</w:t>
      </w:r>
    </w:p>
    <w:p w14:paraId="3C51E91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（1）缺陷责任期终止证书签发后，承包人可按专用合同条款约定的份数和期限向监理人提交最终结清申请单，并提供相关证明材料。</w:t>
      </w:r>
    </w:p>
    <w:p w14:paraId="53705CE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（2）发包人对最终结清申请单内容有异议的，有权要求承包人进行修正和提供补充资料，由承包人向监理人提交修正后的最终结清申请单。</w:t>
      </w:r>
    </w:p>
    <w:p w14:paraId="3484F22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17.6.2最终结清证书和支付时间</w:t>
      </w:r>
    </w:p>
    <w:p w14:paraId="27A6A2F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p>
    <w:p w14:paraId="2407D42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（2）发包人应在监理人出具最终结清证书后的14天内，将应支付款支付给承包人。发包人不按期支付的，按第17.3.3（2）目的约定，将逾期付款违约金支付给承包人。</w:t>
      </w:r>
    </w:p>
    <w:p w14:paraId="3DBD3D2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（3）承包人对发包人签认的最终结清证书有异议的，按第24条的约定办理。</w:t>
      </w:r>
    </w:p>
    <w:p w14:paraId="31D545E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（4）最终结清付款涉及政府投资资金的，按第17.3.3（４）目的约定办理。</w:t>
      </w:r>
    </w:p>
    <w:p w14:paraId="6163BCA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497" w:name="_Toc144974696"/>
      <w:bookmarkStart w:id="498" w:name="_Toc179632743"/>
      <w:bookmarkStart w:id="499" w:name="_Toc152042504"/>
      <w:bookmarkStart w:id="500" w:name="_Toc24768"/>
      <w:bookmarkStart w:id="501" w:name="_Toc152045725"/>
      <w:bookmarkStart w:id="502" w:name="_Toc501382121"/>
      <w:r>
        <w:rPr>
          <w:rFonts w:hint="eastAsia" w:ascii="宋体" w:hAnsi="宋体" w:eastAsia="宋体" w:cs="宋体"/>
          <w:color w:val="auto"/>
          <w:sz w:val="28"/>
          <w:szCs w:val="28"/>
          <w:highlight w:val="none"/>
          <w:shd w:val="clear" w:color="auto" w:fill="auto"/>
        </w:rPr>
        <w:t>18. 竣工验收</w:t>
      </w:r>
      <w:bookmarkEnd w:id="497"/>
      <w:bookmarkEnd w:id="498"/>
      <w:bookmarkEnd w:id="499"/>
      <w:bookmarkEnd w:id="500"/>
      <w:bookmarkEnd w:id="501"/>
      <w:bookmarkEnd w:id="502"/>
    </w:p>
    <w:p w14:paraId="0E1B02E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03" w:name="_Toc144974697"/>
      <w:bookmarkStart w:id="504" w:name="_Toc179632744"/>
      <w:bookmarkStart w:id="505" w:name="_Toc152045726"/>
      <w:bookmarkStart w:id="506" w:name="_Toc152042505"/>
      <w:r>
        <w:rPr>
          <w:rFonts w:hint="eastAsia" w:ascii="宋体" w:hAnsi="宋体" w:eastAsia="宋体" w:cs="宋体"/>
          <w:color w:val="auto"/>
          <w:sz w:val="28"/>
          <w:szCs w:val="28"/>
          <w:highlight w:val="none"/>
          <w:shd w:val="clear" w:color="auto" w:fill="auto"/>
        </w:rPr>
        <w:t>18.1 竣工验收的含义</w:t>
      </w:r>
      <w:bookmarkEnd w:id="503"/>
      <w:bookmarkEnd w:id="504"/>
      <w:bookmarkEnd w:id="505"/>
      <w:bookmarkEnd w:id="506"/>
    </w:p>
    <w:p w14:paraId="3D064B1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18.1.1竣工验收指承包人完成了全部合同工作后，发包人按合同要求进行的验收。</w:t>
      </w:r>
    </w:p>
    <w:p w14:paraId="0B9DBDE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18.1.2国家验收是政府有关部门根据法律、规范、规程和政策要求，针对发包人全面组织实施的整个工程正式交付投运前的验收。</w:t>
      </w:r>
    </w:p>
    <w:p w14:paraId="792038C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18.1.3需要进行国家验收的，竣工验收是国家验收的一部分。竣工验收所采用的各项验收和评定标准应符合国家验收标准。发包人和承包人为竣工验收提供的各项竣工验收资料应符合国家验收的要求。</w:t>
      </w:r>
    </w:p>
    <w:p w14:paraId="2D0CF0DE">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07" w:name="_Toc144974698"/>
      <w:bookmarkStart w:id="508" w:name="_Toc152042506"/>
      <w:bookmarkStart w:id="509" w:name="_Toc179632745"/>
      <w:bookmarkStart w:id="510" w:name="_Toc152045727"/>
      <w:r>
        <w:rPr>
          <w:rFonts w:hint="eastAsia" w:ascii="宋体" w:hAnsi="宋体" w:eastAsia="宋体" w:cs="宋体"/>
          <w:color w:val="auto"/>
          <w:sz w:val="28"/>
          <w:szCs w:val="28"/>
          <w:highlight w:val="none"/>
          <w:shd w:val="clear" w:color="auto" w:fill="auto"/>
        </w:rPr>
        <w:t>18.2 竣工验收申请报告</w:t>
      </w:r>
      <w:bookmarkEnd w:id="507"/>
      <w:bookmarkEnd w:id="508"/>
      <w:bookmarkEnd w:id="509"/>
      <w:bookmarkEnd w:id="510"/>
    </w:p>
    <w:p w14:paraId="7EB7313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当工程具备以下条件时，承包人即可向监理人报送竣工验收申请报告：</w:t>
      </w:r>
    </w:p>
    <w:p w14:paraId="324BD70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（1）除监理人同意列入缺陷责任期内完成的尾工（甩项）工程和缺陷修补工作外，合同范围内的全部单位工程以及有关工作，包括合同要求的试验、试运行以及检验和验收均已完成，并符合合同要求；</w:t>
      </w:r>
    </w:p>
    <w:p w14:paraId="7371989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（2）已按合同约定的内容和份数备齐了符合要求的竣工资料；</w:t>
      </w:r>
    </w:p>
    <w:p w14:paraId="2A3CCEC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（3）已按监理人的要求编制了在缺陷责任期内完成的尾工（甩项）工程和缺陷修补工作清单以及相应施工计划；</w:t>
      </w:r>
    </w:p>
    <w:p w14:paraId="20CF262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（4）监理人要求在竣工验收前应完成的其他工作；</w:t>
      </w:r>
    </w:p>
    <w:p w14:paraId="59B73A8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（5）监理人要求提交的竣工验收资料清单。</w:t>
      </w:r>
    </w:p>
    <w:p w14:paraId="0F78E58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11" w:name="_Toc152045728"/>
      <w:bookmarkStart w:id="512" w:name="_Toc179632746"/>
      <w:bookmarkStart w:id="513" w:name="_Toc152042507"/>
      <w:bookmarkStart w:id="514" w:name="_Toc144974699"/>
      <w:r>
        <w:rPr>
          <w:rFonts w:hint="eastAsia" w:ascii="宋体" w:hAnsi="宋体" w:eastAsia="宋体" w:cs="宋体"/>
          <w:color w:val="auto"/>
          <w:sz w:val="28"/>
          <w:szCs w:val="28"/>
          <w:highlight w:val="none"/>
          <w:shd w:val="clear" w:color="auto" w:fill="auto"/>
        </w:rPr>
        <w:t>18.3 验收</w:t>
      </w:r>
      <w:bookmarkEnd w:id="511"/>
      <w:bookmarkEnd w:id="512"/>
      <w:bookmarkEnd w:id="513"/>
      <w:bookmarkEnd w:id="514"/>
    </w:p>
    <w:p w14:paraId="5D5E838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监理人收到承包人按第18.2款约定提交的竣工验收申请报告后，应审查申请报告的各项内容，并按以下不同情况进行处理。</w:t>
      </w:r>
    </w:p>
    <w:p w14:paraId="25C7897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18.3.1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p>
    <w:p w14:paraId="6F3C5DB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18.3.2监理人审查后认为已具备竣工验收条件的，应在收到竣工验收申请报告后的28天内提请发包人进行工程验收。</w:t>
      </w:r>
    </w:p>
    <w:p w14:paraId="4C519E1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18.3.3发包人经过验收后同意接受工程的，应在监理人收到竣工验收申请报告后的56天内，由监理人向承包人出具经发包人签认的工程接收证书。发包人验收后同意接收工程但提出整修和完善要求的，缓发工程接收证书</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承包人应当在发包人的</w:t>
      </w:r>
      <w:r>
        <w:rPr>
          <w:rFonts w:hint="eastAsia" w:ascii="宋体" w:hAnsi="宋体" w:eastAsia="宋体" w:cs="宋体"/>
          <w:color w:val="auto"/>
          <w:sz w:val="28"/>
          <w:szCs w:val="28"/>
          <w:highlight w:val="none"/>
          <w:shd w:val="clear" w:color="auto" w:fill="auto"/>
        </w:rPr>
        <w:t>限期</w:t>
      </w:r>
      <w:r>
        <w:rPr>
          <w:rFonts w:hint="eastAsia" w:ascii="宋体" w:hAnsi="宋体" w:eastAsia="宋体" w:cs="宋体"/>
          <w:color w:val="auto"/>
          <w:sz w:val="28"/>
          <w:szCs w:val="28"/>
          <w:highlight w:val="none"/>
          <w:shd w:val="clear" w:color="auto" w:fill="auto"/>
          <w:lang w:val="en-US" w:eastAsia="zh-CN"/>
        </w:rPr>
        <w:t>内</w:t>
      </w:r>
      <w:r>
        <w:rPr>
          <w:rFonts w:hint="eastAsia" w:ascii="宋体" w:hAnsi="宋体" w:eastAsia="宋体" w:cs="宋体"/>
          <w:color w:val="auto"/>
          <w:sz w:val="28"/>
          <w:szCs w:val="28"/>
          <w:highlight w:val="none"/>
          <w:shd w:val="clear" w:color="auto" w:fill="auto"/>
        </w:rPr>
        <w:t>修好，监理人复查达到要求的，经发包人同意后，再向承包人出具工程接收证书。</w:t>
      </w:r>
    </w:p>
    <w:p w14:paraId="0962DB6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14:paraId="094D114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18.3.5除专用合同条款另有约定外，经验收合格工程的实际竣工日期，以提交竣工验收申请报告的日期为准，并在工程接收证书中写明。</w:t>
      </w:r>
    </w:p>
    <w:p w14:paraId="088AF8F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18.3.6发包人在收到承包人竣工验收申请报告56天后未进行验收的，视为验收合格，实际竣工日期以提交竣工验收申请报告的日期为准，但发包人由于不可抗力不能进行验收的除外。</w:t>
      </w:r>
    </w:p>
    <w:p w14:paraId="2038DF1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15" w:name="_Toc144974700"/>
      <w:bookmarkStart w:id="516" w:name="_Toc152045729"/>
      <w:bookmarkStart w:id="517" w:name="_Toc152042508"/>
      <w:bookmarkStart w:id="518" w:name="_Toc179632747"/>
      <w:r>
        <w:rPr>
          <w:rFonts w:hint="eastAsia" w:ascii="宋体" w:hAnsi="宋体" w:eastAsia="宋体" w:cs="宋体"/>
          <w:color w:val="auto"/>
          <w:sz w:val="28"/>
          <w:szCs w:val="28"/>
          <w:highlight w:val="none"/>
          <w:shd w:val="clear" w:color="auto" w:fill="auto"/>
        </w:rPr>
        <w:t>18.4 单位工程验收</w:t>
      </w:r>
      <w:bookmarkEnd w:id="515"/>
      <w:bookmarkEnd w:id="516"/>
      <w:bookmarkEnd w:id="517"/>
      <w:bookmarkEnd w:id="518"/>
    </w:p>
    <w:p w14:paraId="5C22E4F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18.4.1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14:paraId="1A3EDCC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18.4.2发包人在全部工程竣工前，使用已接收的单位工程导致承包人费用增加的，发包人应承担由此增加的费用和（或）工期延误，并支付承包人合理利润。</w:t>
      </w:r>
    </w:p>
    <w:p w14:paraId="42D6B9AB">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19" w:name="_Toc144974701"/>
      <w:bookmarkStart w:id="520" w:name="_Toc152042509"/>
      <w:bookmarkStart w:id="521" w:name="_Toc179632748"/>
      <w:bookmarkStart w:id="522" w:name="_Toc152045730"/>
      <w:r>
        <w:rPr>
          <w:rFonts w:hint="eastAsia" w:ascii="宋体" w:hAnsi="宋体" w:eastAsia="宋体" w:cs="宋体"/>
          <w:color w:val="auto"/>
          <w:sz w:val="28"/>
          <w:szCs w:val="28"/>
          <w:highlight w:val="none"/>
          <w:shd w:val="clear" w:color="auto" w:fill="auto"/>
        </w:rPr>
        <w:t>18.5 施工期运行</w:t>
      </w:r>
      <w:bookmarkEnd w:id="519"/>
      <w:bookmarkEnd w:id="520"/>
      <w:bookmarkEnd w:id="521"/>
      <w:bookmarkEnd w:id="522"/>
    </w:p>
    <w:p w14:paraId="4B9B3C1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18.5.1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p>
    <w:p w14:paraId="732A649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18.5.2在施工期运行中发现工程或工程设备损坏或存在缺陷的，由承包人按第19.2款约定进行修复。</w:t>
      </w:r>
    </w:p>
    <w:p w14:paraId="599CDD56">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23" w:name="_Toc144974702"/>
      <w:bookmarkStart w:id="524" w:name="_Toc152042510"/>
      <w:bookmarkStart w:id="525" w:name="_Toc179632749"/>
      <w:bookmarkStart w:id="526" w:name="_Toc152045731"/>
      <w:r>
        <w:rPr>
          <w:rFonts w:hint="eastAsia" w:ascii="宋体" w:hAnsi="宋体" w:eastAsia="宋体" w:cs="宋体"/>
          <w:color w:val="auto"/>
          <w:sz w:val="28"/>
          <w:szCs w:val="28"/>
          <w:highlight w:val="none"/>
          <w:shd w:val="clear" w:color="auto" w:fill="auto"/>
        </w:rPr>
        <w:t>18.6 试运行</w:t>
      </w:r>
      <w:bookmarkEnd w:id="523"/>
      <w:bookmarkEnd w:id="524"/>
      <w:bookmarkEnd w:id="525"/>
      <w:bookmarkEnd w:id="526"/>
    </w:p>
    <w:p w14:paraId="3F16242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18.6.1除专用合同条款另有约定外，承包人应按专用合同条款约定进行工程及工程设备试运行，负责提供试运行所需的人员、器材和必要的条件，并承担全部试运行费用。</w:t>
      </w:r>
    </w:p>
    <w:p w14:paraId="3D78157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18.6.2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p>
    <w:p w14:paraId="5732EF52">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27" w:name="_Toc152045732"/>
      <w:bookmarkStart w:id="528" w:name="_Toc144974703"/>
      <w:bookmarkStart w:id="529" w:name="_Toc152042511"/>
      <w:bookmarkStart w:id="530" w:name="_Toc179632750"/>
      <w:r>
        <w:rPr>
          <w:rFonts w:hint="eastAsia" w:ascii="宋体" w:hAnsi="宋体" w:eastAsia="宋体" w:cs="宋体"/>
          <w:color w:val="auto"/>
          <w:sz w:val="28"/>
          <w:szCs w:val="28"/>
          <w:highlight w:val="none"/>
          <w:shd w:val="clear" w:color="auto" w:fill="auto"/>
        </w:rPr>
        <w:t>18.7 竣工清场</w:t>
      </w:r>
      <w:bookmarkEnd w:id="527"/>
      <w:bookmarkEnd w:id="528"/>
      <w:bookmarkEnd w:id="529"/>
      <w:bookmarkEnd w:id="530"/>
    </w:p>
    <w:p w14:paraId="2A7FD27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18.7.1除合同另有约定外，工程接收证书颁发后，承包人应按以下要求对施工场地进行清理，直至监理人检验合格为止。竣工清场费用由承包人承担。</w:t>
      </w:r>
    </w:p>
    <w:p w14:paraId="07A2B80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（1）施工场地内残留的垃圾已全部清除出场；</w:t>
      </w:r>
    </w:p>
    <w:p w14:paraId="5F814A6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（2）临时工程已拆除，场地已按合同要求进行清理、平整或复原；</w:t>
      </w:r>
    </w:p>
    <w:p w14:paraId="26A9E35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（3）按合同约定应撤离的承包人设备和剩余的材料，包括废弃的施工设备和材料，已按计划撤离施工场地；</w:t>
      </w:r>
    </w:p>
    <w:p w14:paraId="354AD18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（4）工程建筑物周边及其附近道路、河道的施工堆积物，已按监理人指示全部清理；</w:t>
      </w:r>
    </w:p>
    <w:p w14:paraId="187497C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（5）监理人指示的其他场地清理工作已全部完成。</w:t>
      </w:r>
    </w:p>
    <w:p w14:paraId="1F8615D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18.7.2承包人未按监理人的要求恢复临时占地，或者场地清理未达到合同约定的，发包人有权委托其他人恢复或清理，所发生的金额从拟支付给承包人的款项中扣除。</w:t>
      </w:r>
    </w:p>
    <w:p w14:paraId="0E8D630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31" w:name="_Toc144974704"/>
      <w:bookmarkStart w:id="532" w:name="_Toc152045733"/>
      <w:bookmarkStart w:id="533" w:name="_Toc152042512"/>
      <w:bookmarkStart w:id="534" w:name="_Toc179632751"/>
      <w:r>
        <w:rPr>
          <w:rFonts w:hint="eastAsia" w:ascii="宋体" w:hAnsi="宋体" w:eastAsia="宋体" w:cs="宋体"/>
          <w:color w:val="auto"/>
          <w:sz w:val="28"/>
          <w:szCs w:val="28"/>
          <w:highlight w:val="none"/>
          <w:shd w:val="clear" w:color="auto" w:fill="auto"/>
        </w:rPr>
        <w:t>18.8 施工队伍的撤离</w:t>
      </w:r>
      <w:bookmarkEnd w:id="531"/>
      <w:bookmarkEnd w:id="532"/>
      <w:bookmarkEnd w:id="533"/>
      <w:bookmarkEnd w:id="534"/>
    </w:p>
    <w:p w14:paraId="7DC2EDF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p>
    <w:p w14:paraId="6DAB2F9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535" w:name="_Toc152042513"/>
      <w:bookmarkStart w:id="536" w:name="_Toc152045734"/>
      <w:bookmarkStart w:id="537" w:name="_Toc4760"/>
      <w:bookmarkStart w:id="538" w:name="_Toc144974705"/>
      <w:bookmarkStart w:id="539" w:name="_Toc179632752"/>
      <w:bookmarkStart w:id="540" w:name="_Toc501382122"/>
      <w:r>
        <w:rPr>
          <w:rFonts w:hint="eastAsia" w:ascii="宋体" w:hAnsi="宋体" w:eastAsia="宋体" w:cs="宋体"/>
          <w:color w:val="auto"/>
          <w:sz w:val="28"/>
          <w:szCs w:val="28"/>
          <w:highlight w:val="none"/>
          <w:shd w:val="clear" w:color="auto" w:fill="auto"/>
        </w:rPr>
        <w:t>19. 缺陷责任与保修责任</w:t>
      </w:r>
      <w:bookmarkEnd w:id="535"/>
      <w:bookmarkEnd w:id="536"/>
      <w:bookmarkEnd w:id="537"/>
      <w:bookmarkEnd w:id="538"/>
      <w:bookmarkEnd w:id="539"/>
      <w:bookmarkEnd w:id="540"/>
    </w:p>
    <w:p w14:paraId="219F7B1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41" w:name="_Toc144974706"/>
      <w:bookmarkStart w:id="542" w:name="_Toc179632753"/>
      <w:bookmarkStart w:id="543" w:name="_Toc152042514"/>
      <w:bookmarkStart w:id="544" w:name="_Toc152045735"/>
      <w:r>
        <w:rPr>
          <w:rFonts w:hint="eastAsia" w:ascii="宋体" w:hAnsi="宋体" w:eastAsia="宋体" w:cs="宋体"/>
          <w:color w:val="auto"/>
          <w:sz w:val="28"/>
          <w:szCs w:val="28"/>
          <w:highlight w:val="none"/>
          <w:shd w:val="clear" w:color="auto" w:fill="auto"/>
        </w:rPr>
        <w:t>19.1 缺陷责任期的起算时间</w:t>
      </w:r>
      <w:bookmarkEnd w:id="541"/>
      <w:bookmarkEnd w:id="542"/>
      <w:bookmarkEnd w:id="543"/>
      <w:bookmarkEnd w:id="544"/>
    </w:p>
    <w:p w14:paraId="38B6058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缺陷责任期自实际竣工日期起计算。在全部工程竣工验收前，已经发包人提前验收的单位工程，其缺陷责任期的起算日期相应提前。</w:t>
      </w:r>
    </w:p>
    <w:p w14:paraId="7811B7A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45" w:name="_Toc179632754"/>
      <w:bookmarkStart w:id="546" w:name="_Toc152045736"/>
      <w:bookmarkStart w:id="547" w:name="_Toc152042515"/>
      <w:bookmarkStart w:id="548" w:name="_Toc144974707"/>
      <w:r>
        <w:rPr>
          <w:rFonts w:hint="eastAsia" w:ascii="宋体" w:hAnsi="宋体" w:eastAsia="宋体" w:cs="宋体"/>
          <w:color w:val="auto"/>
          <w:sz w:val="28"/>
          <w:szCs w:val="28"/>
          <w:highlight w:val="none"/>
          <w:shd w:val="clear" w:color="auto" w:fill="auto"/>
        </w:rPr>
        <w:t>19.2 缺陷责任</w:t>
      </w:r>
      <w:bookmarkEnd w:id="545"/>
      <w:bookmarkEnd w:id="546"/>
      <w:bookmarkEnd w:id="547"/>
      <w:bookmarkEnd w:id="548"/>
    </w:p>
    <w:p w14:paraId="79D0142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19.2.1承包人应在缺陷责任期内对已交付使用的工程承担缺陷责任。</w:t>
      </w:r>
    </w:p>
    <w:p w14:paraId="7545C75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19.2.2缺陷责任期内，发包人对已接收使用的工程负责日常维护工作。发包人在使用过程中，发现已接收的工程存在新的缺陷或已修复的缺陷部位或部件又遭损坏的，承包人应负责修复，直至检验合格为止。</w:t>
      </w:r>
    </w:p>
    <w:p w14:paraId="2198D11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19.2.3监理人和承包人应共同查清缺陷和（或）损坏的原因。经查明属承包人原因造成的，应由承包人承担修复和查验的费用。经查验属发包人原因造成的，发包人应承担修复和查验的费用，并支付承包人合理利润。</w:t>
      </w:r>
    </w:p>
    <w:p w14:paraId="6B9664E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19.2.4承包人不能在合理时间内修复缺陷的，发包人可自行修复或委托其他人修复，所需费用和利润的承担，按第19.2.3项约定办理。</w:t>
      </w:r>
    </w:p>
    <w:p w14:paraId="754EAE17">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49" w:name="_Toc152045737"/>
      <w:bookmarkStart w:id="550" w:name="_Toc144974708"/>
      <w:bookmarkStart w:id="551" w:name="_Toc152042516"/>
      <w:bookmarkStart w:id="552" w:name="_Toc179632755"/>
      <w:r>
        <w:rPr>
          <w:rFonts w:hint="eastAsia" w:ascii="宋体" w:hAnsi="宋体" w:eastAsia="宋体" w:cs="宋体"/>
          <w:color w:val="auto"/>
          <w:sz w:val="28"/>
          <w:szCs w:val="28"/>
          <w:highlight w:val="none"/>
          <w:shd w:val="clear" w:color="auto" w:fill="auto"/>
        </w:rPr>
        <w:t>19.3 缺陷责任期的延长</w:t>
      </w:r>
      <w:bookmarkEnd w:id="549"/>
      <w:bookmarkEnd w:id="550"/>
      <w:bookmarkEnd w:id="551"/>
      <w:bookmarkEnd w:id="552"/>
    </w:p>
    <w:p w14:paraId="0F7CA3E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由于承包人原因造成某项缺陷或损坏使某项工程或工程设备不能按原定目标使用而需要再次检查、检验和修复的，发包人有权要求承包人相应延长缺陷责任期，但缺陷责任期最长不超过2年。</w:t>
      </w:r>
    </w:p>
    <w:p w14:paraId="5FE5C3D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53" w:name="_Toc152045738"/>
      <w:bookmarkStart w:id="554" w:name="_Toc152042517"/>
      <w:bookmarkStart w:id="555" w:name="_Toc179632756"/>
      <w:bookmarkStart w:id="556" w:name="_Toc144974709"/>
      <w:r>
        <w:rPr>
          <w:rFonts w:hint="eastAsia" w:ascii="宋体" w:hAnsi="宋体" w:eastAsia="宋体" w:cs="宋体"/>
          <w:color w:val="auto"/>
          <w:sz w:val="28"/>
          <w:szCs w:val="28"/>
          <w:highlight w:val="none"/>
          <w:shd w:val="clear" w:color="auto" w:fill="auto"/>
        </w:rPr>
        <w:t>19.4 进一步试验和试运行</w:t>
      </w:r>
      <w:bookmarkEnd w:id="553"/>
      <w:bookmarkEnd w:id="554"/>
      <w:bookmarkEnd w:id="555"/>
      <w:bookmarkEnd w:id="556"/>
    </w:p>
    <w:p w14:paraId="0BC71B6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任何一项缺陷或损坏修复后，经检查证明其影响了工程或工程设备的使用性能，承包人应重新进行合同约定的试验和试运行，试验和试运行的全部费用应由责任方承担。</w:t>
      </w:r>
    </w:p>
    <w:p w14:paraId="03886BF3">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57" w:name="_Toc144974710"/>
      <w:bookmarkStart w:id="558" w:name="_Toc179632757"/>
      <w:bookmarkStart w:id="559" w:name="_Toc152042518"/>
      <w:bookmarkStart w:id="560" w:name="_Toc152045739"/>
      <w:r>
        <w:rPr>
          <w:rFonts w:hint="eastAsia" w:ascii="宋体" w:hAnsi="宋体" w:eastAsia="宋体" w:cs="宋体"/>
          <w:color w:val="auto"/>
          <w:sz w:val="28"/>
          <w:szCs w:val="28"/>
          <w:highlight w:val="none"/>
          <w:shd w:val="clear" w:color="auto" w:fill="auto"/>
        </w:rPr>
        <w:t>19.5 承包人的进入权</w:t>
      </w:r>
      <w:bookmarkEnd w:id="557"/>
      <w:bookmarkEnd w:id="558"/>
      <w:bookmarkEnd w:id="559"/>
      <w:bookmarkEnd w:id="560"/>
    </w:p>
    <w:p w14:paraId="4E19847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缺陷责任期内承包人为缺陷修复工作需要，有权进入工程现场，但应遵守发包人的保安和保密规定。</w:t>
      </w:r>
    </w:p>
    <w:p w14:paraId="4ED19E70">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61" w:name="_Toc179632758"/>
      <w:bookmarkStart w:id="562" w:name="_Toc152045740"/>
      <w:bookmarkStart w:id="563" w:name="_Toc144974711"/>
      <w:bookmarkStart w:id="564" w:name="_Toc152042519"/>
      <w:r>
        <w:rPr>
          <w:rFonts w:hint="eastAsia" w:ascii="宋体" w:hAnsi="宋体" w:eastAsia="宋体" w:cs="宋体"/>
          <w:color w:val="auto"/>
          <w:sz w:val="28"/>
          <w:szCs w:val="28"/>
          <w:highlight w:val="none"/>
          <w:shd w:val="clear" w:color="auto" w:fill="auto"/>
        </w:rPr>
        <w:t>19.6 缺陷责任期终止证书</w:t>
      </w:r>
      <w:bookmarkEnd w:id="561"/>
      <w:bookmarkEnd w:id="562"/>
      <w:bookmarkEnd w:id="563"/>
      <w:bookmarkEnd w:id="564"/>
    </w:p>
    <w:p w14:paraId="02FAB5A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在第1.1.4.5目约定的缺陷责任期，包括根据第19.3款延长的期限终止后14天内，由监理人向承包人出具经发包人签认的缺陷责任期终止证书，并退还剩余的质量保证金。</w:t>
      </w:r>
    </w:p>
    <w:p w14:paraId="79285D5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65" w:name="_Toc144974712"/>
      <w:bookmarkStart w:id="566" w:name="_Toc152045741"/>
      <w:bookmarkStart w:id="567" w:name="_Toc152042520"/>
      <w:bookmarkStart w:id="568" w:name="_Toc179632759"/>
      <w:r>
        <w:rPr>
          <w:rFonts w:hint="eastAsia" w:ascii="宋体" w:hAnsi="宋体" w:eastAsia="宋体" w:cs="宋体"/>
          <w:color w:val="auto"/>
          <w:sz w:val="28"/>
          <w:szCs w:val="28"/>
          <w:highlight w:val="none"/>
          <w:shd w:val="clear" w:color="auto" w:fill="auto"/>
        </w:rPr>
        <w:t>19.7 保修责任</w:t>
      </w:r>
      <w:bookmarkEnd w:id="565"/>
      <w:bookmarkEnd w:id="566"/>
      <w:bookmarkEnd w:id="567"/>
      <w:bookmarkEnd w:id="568"/>
    </w:p>
    <w:p w14:paraId="3921B28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合同当事人根据有关法律规定，在专用合同条款中约定工程质量保修范围、期限和责任。保修期自实际竣工日期起计算。在全部工程竣工验收前，已经发包人提前验收的单位工程，其保修期的起算日期相应提前。</w:t>
      </w:r>
    </w:p>
    <w:p w14:paraId="5FC1F8A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569" w:name="_Toc152042521"/>
      <w:bookmarkStart w:id="570" w:name="_Toc501382123"/>
      <w:bookmarkStart w:id="571" w:name="_Toc152045742"/>
      <w:bookmarkStart w:id="572" w:name="_Toc144974713"/>
      <w:bookmarkStart w:id="573" w:name="_Toc18373"/>
      <w:bookmarkStart w:id="574" w:name="_Toc179632760"/>
      <w:r>
        <w:rPr>
          <w:rFonts w:hint="eastAsia" w:ascii="宋体" w:hAnsi="宋体" w:eastAsia="宋体" w:cs="宋体"/>
          <w:color w:val="auto"/>
          <w:sz w:val="28"/>
          <w:szCs w:val="28"/>
          <w:highlight w:val="none"/>
          <w:shd w:val="clear" w:color="auto" w:fill="auto"/>
        </w:rPr>
        <w:t>20. 保险</w:t>
      </w:r>
      <w:bookmarkEnd w:id="569"/>
      <w:bookmarkEnd w:id="570"/>
      <w:bookmarkEnd w:id="571"/>
      <w:bookmarkEnd w:id="572"/>
      <w:bookmarkEnd w:id="573"/>
      <w:bookmarkEnd w:id="574"/>
    </w:p>
    <w:p w14:paraId="735ED6A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75" w:name="_Toc152045743"/>
      <w:bookmarkStart w:id="576" w:name="_Toc179632761"/>
      <w:bookmarkStart w:id="577" w:name="_Toc152042522"/>
      <w:bookmarkStart w:id="578" w:name="_Toc144974714"/>
      <w:r>
        <w:rPr>
          <w:rFonts w:hint="eastAsia" w:ascii="宋体" w:hAnsi="宋体" w:eastAsia="宋体" w:cs="宋体"/>
          <w:color w:val="auto"/>
          <w:sz w:val="28"/>
          <w:szCs w:val="28"/>
          <w:highlight w:val="none"/>
          <w:shd w:val="clear" w:color="auto" w:fill="auto"/>
        </w:rPr>
        <w:t>20.1 工程保险</w:t>
      </w:r>
      <w:bookmarkEnd w:id="575"/>
      <w:bookmarkEnd w:id="576"/>
      <w:bookmarkEnd w:id="577"/>
      <w:bookmarkEnd w:id="578"/>
    </w:p>
    <w:p w14:paraId="64D1CCF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14:paraId="62101AA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79" w:name="_Toc152042523"/>
      <w:bookmarkStart w:id="580" w:name="_Toc152045744"/>
      <w:bookmarkStart w:id="581" w:name="_Toc144974715"/>
      <w:bookmarkStart w:id="582" w:name="_Toc179632762"/>
      <w:r>
        <w:rPr>
          <w:rFonts w:hint="eastAsia" w:ascii="宋体" w:hAnsi="宋体" w:eastAsia="宋体" w:cs="宋体"/>
          <w:color w:val="auto"/>
          <w:sz w:val="28"/>
          <w:szCs w:val="28"/>
          <w:highlight w:val="none"/>
          <w:shd w:val="clear" w:color="auto" w:fill="auto"/>
        </w:rPr>
        <w:t>20.2 人员工伤事故的保险</w:t>
      </w:r>
      <w:bookmarkEnd w:id="579"/>
      <w:bookmarkEnd w:id="580"/>
      <w:bookmarkEnd w:id="581"/>
      <w:bookmarkEnd w:id="582"/>
    </w:p>
    <w:p w14:paraId="25F8086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20.2.1承包人员工伤事故的保险</w:t>
      </w:r>
    </w:p>
    <w:p w14:paraId="35CCB5D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承包人应依照有关法律规定参加工伤保险，为其履行合同所雇佣的全部人员，缴纳工伤保险费，并要求其分包人也进行此项保险。</w:t>
      </w:r>
    </w:p>
    <w:p w14:paraId="0BDB06E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20.2.2 发包人员工伤事故的保险</w:t>
      </w:r>
    </w:p>
    <w:p w14:paraId="2E782ED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发包人应依照有关法律规定参加工伤保险，为其现场机构雇佣的全部人员，缴纳工伤保险费，并要求其监理人也进行此项保险。</w:t>
      </w:r>
    </w:p>
    <w:p w14:paraId="6AC94E46">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83" w:name="_Toc152042524"/>
      <w:bookmarkStart w:id="584" w:name="_Toc179632763"/>
      <w:bookmarkStart w:id="585" w:name="_Toc152045745"/>
      <w:bookmarkStart w:id="586" w:name="_Toc144974716"/>
      <w:r>
        <w:rPr>
          <w:rFonts w:hint="eastAsia" w:ascii="宋体" w:hAnsi="宋体" w:eastAsia="宋体" w:cs="宋体"/>
          <w:color w:val="auto"/>
          <w:sz w:val="28"/>
          <w:szCs w:val="28"/>
          <w:highlight w:val="none"/>
          <w:shd w:val="clear" w:color="auto" w:fill="auto"/>
        </w:rPr>
        <w:t>20.3 人身意外伤害险</w:t>
      </w:r>
      <w:bookmarkEnd w:id="583"/>
      <w:bookmarkEnd w:id="584"/>
      <w:bookmarkEnd w:id="585"/>
      <w:bookmarkEnd w:id="586"/>
    </w:p>
    <w:p w14:paraId="7742D79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20.3.1发包人应在整个施工期间为其现场机构雇用的全部人员，投保人身意外伤害险，缴纳保险费，并要求其监理人也进行此项保险。</w:t>
      </w:r>
    </w:p>
    <w:p w14:paraId="793BC5B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20.3.2承包人应在整个施工期间为其现场机构雇用的全部人员，投保人身意外伤害险，缴纳保险费，并要求其分包人也进行此项保险。</w:t>
      </w:r>
    </w:p>
    <w:p w14:paraId="593A8E3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87" w:name="_Toc144974717"/>
      <w:bookmarkStart w:id="588" w:name="_Toc152042525"/>
      <w:bookmarkStart w:id="589" w:name="_Toc152045746"/>
      <w:bookmarkStart w:id="590" w:name="_Toc179632764"/>
      <w:r>
        <w:rPr>
          <w:rFonts w:hint="eastAsia" w:ascii="宋体" w:hAnsi="宋体" w:eastAsia="宋体" w:cs="宋体"/>
          <w:color w:val="auto"/>
          <w:sz w:val="28"/>
          <w:szCs w:val="28"/>
          <w:highlight w:val="none"/>
          <w:shd w:val="clear" w:color="auto" w:fill="auto"/>
        </w:rPr>
        <w:t>20.4 第三者责任险</w:t>
      </w:r>
      <w:bookmarkEnd w:id="587"/>
      <w:bookmarkEnd w:id="588"/>
      <w:bookmarkEnd w:id="589"/>
      <w:bookmarkEnd w:id="590"/>
    </w:p>
    <w:p w14:paraId="446C180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14:paraId="1AA7967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20.4.2在缺陷责任期终止证书颁发前，承包人应以承包人和发包人的共同名义，投保第20.4.1项约定的第三者责任险，其保险费率、保险金额等有关内容在专用合同条款中约定。</w:t>
      </w:r>
    </w:p>
    <w:p w14:paraId="356E327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91" w:name="_Toc152042526"/>
      <w:bookmarkStart w:id="592" w:name="_Toc152045747"/>
      <w:bookmarkStart w:id="593" w:name="_Toc144974718"/>
      <w:bookmarkStart w:id="594" w:name="_Toc179632765"/>
      <w:r>
        <w:rPr>
          <w:rFonts w:hint="eastAsia" w:ascii="宋体" w:hAnsi="宋体" w:eastAsia="宋体" w:cs="宋体"/>
          <w:color w:val="auto"/>
          <w:sz w:val="28"/>
          <w:szCs w:val="28"/>
          <w:highlight w:val="none"/>
          <w:shd w:val="clear" w:color="auto" w:fill="auto"/>
        </w:rPr>
        <w:t>20.5 其他保险</w:t>
      </w:r>
      <w:bookmarkEnd w:id="591"/>
      <w:bookmarkEnd w:id="592"/>
      <w:bookmarkEnd w:id="593"/>
      <w:bookmarkEnd w:id="594"/>
    </w:p>
    <w:p w14:paraId="29E5177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除专用合同条款另有约定外，承包人应为其施工设备、进场的材料和工程设备等办理保险。</w:t>
      </w:r>
    </w:p>
    <w:p w14:paraId="2A4C68C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595" w:name="_Toc144974719"/>
      <w:bookmarkStart w:id="596" w:name="_Toc179632766"/>
      <w:bookmarkStart w:id="597" w:name="_Toc152045748"/>
      <w:bookmarkStart w:id="598" w:name="_Toc152042527"/>
      <w:r>
        <w:rPr>
          <w:rFonts w:hint="eastAsia" w:ascii="宋体" w:hAnsi="宋体" w:eastAsia="宋体" w:cs="宋体"/>
          <w:color w:val="auto"/>
          <w:sz w:val="28"/>
          <w:szCs w:val="28"/>
          <w:highlight w:val="none"/>
          <w:shd w:val="clear" w:color="auto" w:fill="auto"/>
        </w:rPr>
        <w:t>20.6 对各项保险的一般要求</w:t>
      </w:r>
      <w:bookmarkEnd w:id="595"/>
      <w:bookmarkEnd w:id="596"/>
      <w:bookmarkEnd w:id="597"/>
      <w:bookmarkEnd w:id="598"/>
    </w:p>
    <w:p w14:paraId="355C485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20.6.1保险凭证</w:t>
      </w:r>
    </w:p>
    <w:p w14:paraId="754272B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承包人应在专用合同条款约定的期限内向发包人提交各项保险生效的证据和保险单副本，保险单必须与专用合同条款约定的条件保持一致。</w:t>
      </w:r>
    </w:p>
    <w:p w14:paraId="34A1BBC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20.6.2保险合同条款的变动</w:t>
      </w:r>
    </w:p>
    <w:p w14:paraId="691890A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承包人需要变动保险合同条款时，应事先征得发包人同意，并通知监理人。保险人作出变动的，承包人应在收到保险人通知后立即通知发包人和监理人。</w:t>
      </w:r>
    </w:p>
    <w:p w14:paraId="68AF0F2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20.6.3持续保险</w:t>
      </w:r>
    </w:p>
    <w:p w14:paraId="08EFE34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承包人应与保险人保持联系，使保险人能够随时了解工程实施中的变动，并确保按保险合同条款要求持续保险。</w:t>
      </w:r>
    </w:p>
    <w:p w14:paraId="30DEB0E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20.6.4保险金不足的补偿</w:t>
      </w:r>
    </w:p>
    <w:p w14:paraId="03B99B6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保险金不足以补偿损失的，应由承包人和（或）发包人按合同约定负责补偿。</w:t>
      </w:r>
    </w:p>
    <w:p w14:paraId="54D940E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20.6.5未按约定投保的补救</w:t>
      </w:r>
    </w:p>
    <w:p w14:paraId="3B51221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（1）由于负有投保义务的一方当事人未按合同约定办理保险，或未能使保险持续有效的，另一方当事人可代为办理，所需费用由对方当事人承担。</w:t>
      </w:r>
    </w:p>
    <w:p w14:paraId="1CC8BE9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（2）由于负有投保义务的一方当事人未按合同约定办理某项保险，导致受益人未能得到保险人的赔偿，原应从该项保险得到的保险金应由负有投保义务的一方当事人支付。</w:t>
      </w:r>
    </w:p>
    <w:p w14:paraId="6F59445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20.6.6报告义务</w:t>
      </w:r>
    </w:p>
    <w:p w14:paraId="716B205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当保险事故发生时，投保人应按照保险单规定的条件和期限及时向保险人报告。</w:t>
      </w:r>
    </w:p>
    <w:p w14:paraId="0230FAA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599" w:name="_Toc152045749"/>
      <w:bookmarkStart w:id="600" w:name="_Toc501382124"/>
      <w:bookmarkStart w:id="601" w:name="_Toc152042528"/>
      <w:bookmarkStart w:id="602" w:name="_Toc30229"/>
      <w:bookmarkStart w:id="603" w:name="_Toc144974720"/>
      <w:bookmarkStart w:id="604" w:name="_Toc179632767"/>
      <w:r>
        <w:rPr>
          <w:rFonts w:hint="eastAsia" w:ascii="宋体" w:hAnsi="宋体" w:eastAsia="宋体" w:cs="宋体"/>
          <w:color w:val="auto"/>
          <w:sz w:val="28"/>
          <w:szCs w:val="28"/>
          <w:highlight w:val="none"/>
          <w:shd w:val="clear" w:color="auto" w:fill="auto"/>
        </w:rPr>
        <w:t>21. 不可抗力</w:t>
      </w:r>
      <w:bookmarkEnd w:id="599"/>
      <w:bookmarkEnd w:id="600"/>
      <w:bookmarkEnd w:id="601"/>
      <w:bookmarkEnd w:id="602"/>
      <w:bookmarkEnd w:id="603"/>
      <w:bookmarkEnd w:id="604"/>
    </w:p>
    <w:p w14:paraId="0E4E432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05" w:name="_Toc179632768"/>
      <w:bookmarkStart w:id="606" w:name="_Toc144974721"/>
      <w:bookmarkStart w:id="607" w:name="_Toc152045750"/>
      <w:bookmarkStart w:id="608" w:name="_Toc152042529"/>
      <w:r>
        <w:rPr>
          <w:rFonts w:hint="eastAsia" w:ascii="宋体" w:hAnsi="宋体" w:eastAsia="宋体" w:cs="宋体"/>
          <w:color w:val="auto"/>
          <w:sz w:val="28"/>
          <w:szCs w:val="28"/>
          <w:highlight w:val="none"/>
          <w:shd w:val="clear" w:color="auto" w:fill="auto"/>
        </w:rPr>
        <w:t>21.1 不可抗力的确认</w:t>
      </w:r>
      <w:bookmarkEnd w:id="605"/>
      <w:bookmarkEnd w:id="606"/>
      <w:bookmarkEnd w:id="607"/>
      <w:bookmarkEnd w:id="608"/>
    </w:p>
    <w:p w14:paraId="324C36C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21.1.1不可抗力是指承包人和发包人在订立合同时不可预见，在工程施工过程中不可避免发生并不能克服的自然灾害和社会性突发事件，如地震、海啸、瘟疫、水灾、骚乱、暴动、战争和专用合同条款约定的其他情形。</w:t>
      </w:r>
    </w:p>
    <w:p w14:paraId="5939258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p>
    <w:p w14:paraId="6F64F0A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09" w:name="_Toc179632769"/>
      <w:bookmarkStart w:id="610" w:name="_Toc152045751"/>
      <w:bookmarkStart w:id="611" w:name="_Toc144974722"/>
      <w:bookmarkStart w:id="612" w:name="_Toc152042530"/>
      <w:r>
        <w:rPr>
          <w:rFonts w:hint="eastAsia" w:ascii="宋体" w:hAnsi="宋体" w:eastAsia="宋体" w:cs="宋体"/>
          <w:color w:val="auto"/>
          <w:sz w:val="28"/>
          <w:szCs w:val="28"/>
          <w:highlight w:val="none"/>
          <w:shd w:val="clear" w:color="auto" w:fill="auto"/>
        </w:rPr>
        <w:t>21.2 不可抗力的通知</w:t>
      </w:r>
      <w:bookmarkEnd w:id="609"/>
      <w:bookmarkEnd w:id="610"/>
      <w:bookmarkEnd w:id="611"/>
      <w:bookmarkEnd w:id="612"/>
    </w:p>
    <w:p w14:paraId="258FFE8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21.2.1合同一方当事人遇到不可抗力事件，使其履行合同义务受到阻碍时，应立即通知合同另一方当事人和监理人，书面说明不可抗力和受阻碍的详细情况，并提供必要的证明。</w:t>
      </w:r>
    </w:p>
    <w:p w14:paraId="7DEE69B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21.2.2如不可抗力持续发生，合同一方当事人应及时向合同另一方当事人和监理人提交中间报告，说明不可抗力和履行合同受阻的情况，并于不可抗力事件结束后28天内提交最终报告及有关资料。</w:t>
      </w:r>
    </w:p>
    <w:p w14:paraId="7A440C0A">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13" w:name="_Toc152045752"/>
      <w:bookmarkStart w:id="614" w:name="_Toc152042531"/>
      <w:bookmarkStart w:id="615" w:name="_Toc144974723"/>
      <w:bookmarkStart w:id="616" w:name="_Toc179632770"/>
      <w:r>
        <w:rPr>
          <w:rFonts w:hint="eastAsia" w:ascii="宋体" w:hAnsi="宋体" w:eastAsia="宋体" w:cs="宋体"/>
          <w:color w:val="auto"/>
          <w:sz w:val="28"/>
          <w:szCs w:val="28"/>
          <w:highlight w:val="none"/>
          <w:shd w:val="clear" w:color="auto" w:fill="auto"/>
        </w:rPr>
        <w:t>21.3 不可抗力后果及其处理</w:t>
      </w:r>
      <w:bookmarkEnd w:id="613"/>
      <w:bookmarkEnd w:id="614"/>
      <w:bookmarkEnd w:id="615"/>
      <w:bookmarkEnd w:id="616"/>
    </w:p>
    <w:p w14:paraId="321C0A3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21.3.1不可抗力造成损害的责任</w:t>
      </w:r>
    </w:p>
    <w:p w14:paraId="1C92F6B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除专用合同条款另有约定外，不可抗力导致的人员伤亡、财产损失、费用增加和（或）工期延误等后果，由合同双方按以下原则承担：</w:t>
      </w:r>
    </w:p>
    <w:p w14:paraId="55670AE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（1）永久工程，包括已运至施工场地的材料和工程设备的损害，以及因工程损害造成的第三者人员伤亡和财产损失由发包人承担；</w:t>
      </w:r>
    </w:p>
    <w:p w14:paraId="3A8367B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（2）承包人设备的损坏由承包人承担；</w:t>
      </w:r>
    </w:p>
    <w:p w14:paraId="15C12B6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（3）发包人和承包人各自承担其人员伤亡和其他财产损失及其相关费用；</w:t>
      </w:r>
    </w:p>
    <w:p w14:paraId="26DCB83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（4）承包人的停工损失由承包人承担，但停工期间应监理人要求照管工程和清理、修复工程的金额由发包人承担；</w:t>
      </w:r>
    </w:p>
    <w:p w14:paraId="3C8F615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（5）不能按期竣工的，应合理延长工期，承包人不需支付逾期竣工违约金。发包人要求赶工的，承包人应采取赶工措施，赶工费用由发包人承担。</w:t>
      </w:r>
    </w:p>
    <w:p w14:paraId="7DC7243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21.3.2延迟履行期间发生的不可抗力</w:t>
      </w:r>
    </w:p>
    <w:p w14:paraId="0BF0FF7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合同一方当事人延迟履行，在延迟履行期间发生不可抗力的，不免除其责任。</w:t>
      </w:r>
    </w:p>
    <w:p w14:paraId="0B0206B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21.3.3避免和减少不可抗力损失</w:t>
      </w:r>
    </w:p>
    <w:p w14:paraId="73A4A7D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不可抗力发生后，发包人和承包人均应采取措施尽量避免和减少损失的扩大，任何一方没有采取有效措施导致损失扩大的，应对扩大的损失承担责任。</w:t>
      </w:r>
    </w:p>
    <w:p w14:paraId="4D85980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21.3.4因不可抗力解除合同</w:t>
      </w:r>
    </w:p>
    <w:p w14:paraId="1ECCAE3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p>
    <w:p w14:paraId="75C66471">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617" w:name="_Toc144974724"/>
      <w:bookmarkStart w:id="618" w:name="_Toc501382125"/>
      <w:bookmarkStart w:id="619" w:name="_Toc14284"/>
      <w:bookmarkStart w:id="620" w:name="_Toc152045753"/>
      <w:bookmarkStart w:id="621" w:name="_Toc152042532"/>
      <w:bookmarkStart w:id="622" w:name="_Toc179632771"/>
      <w:r>
        <w:rPr>
          <w:rFonts w:hint="eastAsia" w:ascii="宋体" w:hAnsi="宋体" w:eastAsia="宋体" w:cs="宋体"/>
          <w:color w:val="auto"/>
          <w:sz w:val="28"/>
          <w:szCs w:val="28"/>
          <w:highlight w:val="none"/>
          <w:shd w:val="clear" w:color="auto" w:fill="auto"/>
        </w:rPr>
        <w:t>22. 违约</w:t>
      </w:r>
      <w:bookmarkEnd w:id="617"/>
      <w:bookmarkEnd w:id="618"/>
      <w:bookmarkEnd w:id="619"/>
      <w:bookmarkEnd w:id="620"/>
      <w:bookmarkEnd w:id="621"/>
      <w:bookmarkEnd w:id="622"/>
    </w:p>
    <w:p w14:paraId="02D08367">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23" w:name="_Toc152045754"/>
      <w:bookmarkStart w:id="624" w:name="_Toc152042533"/>
      <w:bookmarkStart w:id="625" w:name="_Toc144974725"/>
      <w:bookmarkStart w:id="626" w:name="_Toc179632772"/>
      <w:r>
        <w:rPr>
          <w:rFonts w:hint="eastAsia" w:ascii="宋体" w:hAnsi="宋体" w:eastAsia="宋体" w:cs="宋体"/>
          <w:color w:val="auto"/>
          <w:sz w:val="28"/>
          <w:szCs w:val="28"/>
          <w:highlight w:val="none"/>
          <w:shd w:val="clear" w:color="auto" w:fill="auto"/>
        </w:rPr>
        <w:t>22.1 承包人违约</w:t>
      </w:r>
      <w:bookmarkEnd w:id="623"/>
      <w:bookmarkEnd w:id="624"/>
      <w:bookmarkEnd w:id="625"/>
      <w:bookmarkEnd w:id="626"/>
    </w:p>
    <w:p w14:paraId="6FAC4AA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22.1.1 承包人违约的情形</w:t>
      </w:r>
    </w:p>
    <w:p w14:paraId="18C2774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在履行合同过程中发生的下列情况属承包人违约：</w:t>
      </w:r>
    </w:p>
    <w:p w14:paraId="04266D4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（1）承包人违反第1.8款或第4.3款的约定，私自将合同的全部或部分权利转让给其他人，或私自将合同的全部或部分义务转移给其他人；</w:t>
      </w:r>
    </w:p>
    <w:p w14:paraId="3EDFF6A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（2）承包人违反第5.3款或第6.4款的约定，未经监理人批准，私自将已按合同约定进入施工场地的施工设备、临时设施或材料撤离施工场地；</w:t>
      </w:r>
    </w:p>
    <w:p w14:paraId="708605E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（3）承包人违反第5.4款的约定使用了不合格材料或工程设备，工程质量达不到标准要求，又拒绝清除不合格工程；</w:t>
      </w:r>
    </w:p>
    <w:p w14:paraId="52B9D11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（4）承包人未能按合同进度计划及时完成合同约定的工作，已造成或预期造成工期延误；</w:t>
      </w:r>
    </w:p>
    <w:p w14:paraId="519AE3A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（5）承包人在缺陷责任期内，未能对工程接收证书所列的缺陷清单的内容或缺陷责任期内发生的缺陷进行修复，而又拒绝按监理人指示再进行修补；</w:t>
      </w:r>
    </w:p>
    <w:p w14:paraId="58FAC13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（6）承包人无法继续履行或明确表示不履行或实质上已停止履行合同；</w:t>
      </w:r>
    </w:p>
    <w:p w14:paraId="4547558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（7）承包人不按合同约定履行义务的其他情况。</w:t>
      </w:r>
    </w:p>
    <w:p w14:paraId="744842D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22.1.2 对承包人违约的处理</w:t>
      </w:r>
    </w:p>
    <w:p w14:paraId="0DD1E07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（1）承包人发生第22.1.1（6）目约定的违约情况时，发包人可通知承包人立即解除合同，并按有关法律处理。</w:t>
      </w:r>
    </w:p>
    <w:p w14:paraId="28B196E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（2）承包人发生除第22.1.1（6）目约定以外的其他违约情况时，监理人可向承包人发出</w:t>
      </w:r>
      <w:r>
        <w:rPr>
          <w:rFonts w:hint="eastAsia" w:ascii="宋体" w:hAnsi="宋体" w:eastAsia="宋体" w:cs="宋体"/>
          <w:color w:val="auto"/>
          <w:sz w:val="28"/>
          <w:szCs w:val="28"/>
          <w:highlight w:val="none"/>
          <w:shd w:val="clear" w:color="auto" w:fill="auto"/>
          <w:lang w:val="en-US" w:eastAsia="zh-CN"/>
        </w:rPr>
        <w:t>暂停施工和</w:t>
      </w:r>
      <w:r>
        <w:rPr>
          <w:rFonts w:hint="eastAsia" w:ascii="宋体" w:hAnsi="宋体" w:eastAsia="宋体" w:cs="宋体"/>
          <w:color w:val="auto"/>
          <w:sz w:val="28"/>
          <w:szCs w:val="28"/>
          <w:highlight w:val="none"/>
          <w:shd w:val="clear" w:color="auto" w:fill="auto"/>
        </w:rPr>
        <w:t>整改通知，要求其在指定的期限内改正。承包人应承担其违约所引起的费用增加和（或）工期延误。</w:t>
      </w:r>
    </w:p>
    <w:p w14:paraId="2F33ADF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（3）经检查证明承包人已采取了有效措施纠正违约行为，具备复工条件的，可由监理人签发复工通知复工。</w:t>
      </w:r>
    </w:p>
    <w:p w14:paraId="5587B65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22.1.3 承包人违约解除合同</w:t>
      </w:r>
    </w:p>
    <w:p w14:paraId="1007DD8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w:t>
      </w:r>
      <w:r>
        <w:rPr>
          <w:rFonts w:hint="eastAsia" w:ascii="宋体" w:hAnsi="宋体" w:eastAsia="宋体" w:cs="宋体"/>
          <w:color w:val="auto"/>
          <w:sz w:val="28"/>
          <w:szCs w:val="28"/>
          <w:highlight w:val="none"/>
          <w:shd w:val="clear" w:color="auto" w:fill="auto"/>
          <w:lang w:val="en-US" w:eastAsia="zh-CN"/>
        </w:rPr>
        <w:t>或减轻</w:t>
      </w:r>
      <w:r>
        <w:rPr>
          <w:rFonts w:hint="eastAsia" w:ascii="宋体" w:hAnsi="宋体" w:eastAsia="宋体" w:cs="宋体"/>
          <w:color w:val="auto"/>
          <w:sz w:val="28"/>
          <w:szCs w:val="28"/>
          <w:highlight w:val="none"/>
          <w:shd w:val="clear" w:color="auto" w:fill="auto"/>
        </w:rPr>
        <w:t>承包人应承担的违约责任，也不影响发包人根据合同约定享有的索赔权利。</w:t>
      </w:r>
    </w:p>
    <w:p w14:paraId="0E6DA8A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22.1.4 合同解除后的估价、付款和结清</w:t>
      </w:r>
    </w:p>
    <w:p w14:paraId="083F5D2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（1）合同解除后，监理人按第3.5款商定或确定承包人实际完成工作的价值，以及承包人已提供的材料、施工设备、工程设备和临时工程等的价值。</w:t>
      </w:r>
    </w:p>
    <w:p w14:paraId="037D7B2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（2）合同解除后，发包人应暂停对承包人的一切付款，查清各项付款和已扣款金额，包括承包人应支付的违约金。</w:t>
      </w:r>
    </w:p>
    <w:p w14:paraId="00E8405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（3）合同解除后，发包人应按第23.4款的约定向承包人索赔由于解除合同给发包人造成的损失。</w:t>
      </w:r>
    </w:p>
    <w:p w14:paraId="7977F5B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（4）合同双方确认上述往来款项后，出具最终结清付款证书，结清全部合同款项。</w:t>
      </w:r>
    </w:p>
    <w:p w14:paraId="2DEA6B3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（5）发包人和承包人未能就解除合同后的结清达成一致而形成争议的，按第24条的约定办理。</w:t>
      </w:r>
    </w:p>
    <w:p w14:paraId="292998B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22.1.5 协议利益的转让</w:t>
      </w:r>
    </w:p>
    <w:p w14:paraId="77F13A1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因承包人违约解除合同的，发包人有权要求承包人将其为实施合同而签订的材料和设备的订货协议或任何服务协议利益转让给发包人，并在解除合同后的14天内，依法办理转让手续。</w:t>
      </w:r>
    </w:p>
    <w:p w14:paraId="79FF9EC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22.1.6 紧急情况下无能力或不愿进行抢救</w:t>
      </w:r>
    </w:p>
    <w:p w14:paraId="7E9765B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14:paraId="793EF28F">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27" w:name="_Toc152045755"/>
      <w:bookmarkStart w:id="628" w:name="_Toc144974726"/>
      <w:bookmarkStart w:id="629" w:name="_Toc152042534"/>
      <w:bookmarkStart w:id="630" w:name="_Toc179632773"/>
      <w:r>
        <w:rPr>
          <w:rFonts w:hint="eastAsia" w:ascii="宋体" w:hAnsi="宋体" w:eastAsia="宋体" w:cs="宋体"/>
          <w:color w:val="auto"/>
          <w:sz w:val="28"/>
          <w:szCs w:val="28"/>
          <w:highlight w:val="none"/>
          <w:shd w:val="clear" w:color="auto" w:fill="auto"/>
        </w:rPr>
        <w:t>22.2 发包人违约</w:t>
      </w:r>
      <w:bookmarkEnd w:id="627"/>
      <w:bookmarkEnd w:id="628"/>
      <w:bookmarkEnd w:id="629"/>
      <w:bookmarkEnd w:id="630"/>
    </w:p>
    <w:p w14:paraId="3A6CDC8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22.2.1发包人违约的情形</w:t>
      </w:r>
    </w:p>
    <w:p w14:paraId="01A7EAD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在履行合同过程中发生的下列情形，属发包人违约：</w:t>
      </w:r>
    </w:p>
    <w:p w14:paraId="71E1FE9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（1）发包人未能按合同约定支付预付款或合同价款，或拖延、拒绝批准付款申请和支付凭证，导致付款延误的；</w:t>
      </w:r>
    </w:p>
    <w:p w14:paraId="00469CF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（2）发包人原因造成停工的；</w:t>
      </w:r>
    </w:p>
    <w:p w14:paraId="1CAB9A8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（3）监理人无正当理由没有在约定期限内发出复工指示，导致承包人无法复工的；</w:t>
      </w:r>
    </w:p>
    <w:p w14:paraId="4A0BF37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（4）发包人无法继续履行或明确表示不履行或实质上已停止履行合同的；</w:t>
      </w:r>
    </w:p>
    <w:p w14:paraId="3C83311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（5）发包人不履行合同约定其他义务的。</w:t>
      </w:r>
    </w:p>
    <w:p w14:paraId="14F025D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22.2.2 承包人有权暂停施工</w:t>
      </w:r>
    </w:p>
    <w:p w14:paraId="4E0858C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14:paraId="50F216A0">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22.2.3 发包人违约解除合同</w:t>
      </w:r>
    </w:p>
    <w:p w14:paraId="1DBE9BF9">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（1）发生第22.2.1（4）目的违约情况时，承包人可书面通知发包人解除合同。</w:t>
      </w:r>
    </w:p>
    <w:p w14:paraId="1FEDEF0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（2）承包人按22.2.2项暂停施工28天后，发包人仍不纠正违约行为的，承包人可向发包人发出解除合同通知。但承包人的这一行动不免除</w:t>
      </w:r>
      <w:r>
        <w:rPr>
          <w:rFonts w:hint="eastAsia" w:ascii="宋体" w:hAnsi="宋体" w:eastAsia="宋体" w:cs="宋体"/>
          <w:color w:val="auto"/>
          <w:sz w:val="28"/>
          <w:szCs w:val="28"/>
          <w:highlight w:val="none"/>
          <w:shd w:val="clear" w:color="auto" w:fill="auto"/>
          <w:lang w:val="en-US" w:eastAsia="zh-CN"/>
        </w:rPr>
        <w:t>或减轻</w:t>
      </w:r>
      <w:r>
        <w:rPr>
          <w:rFonts w:hint="eastAsia" w:ascii="宋体" w:hAnsi="宋体" w:eastAsia="宋体" w:cs="宋体"/>
          <w:color w:val="auto"/>
          <w:sz w:val="28"/>
          <w:szCs w:val="28"/>
          <w:highlight w:val="none"/>
          <w:shd w:val="clear" w:color="auto" w:fill="auto"/>
        </w:rPr>
        <w:t>发包人承担的违约责任，也不影响承包人根据合同约定享有的索赔权利。</w:t>
      </w:r>
    </w:p>
    <w:p w14:paraId="080AE91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22.2.4 解除合同后的付款</w:t>
      </w:r>
    </w:p>
    <w:p w14:paraId="621FC30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因发包人违约解除合同的，发包人应在解除合同后28天内向承包人支付下列金额，承包人应在此期限内及时向发包人提交要求支付下列金额的有关资料和凭证：</w:t>
      </w:r>
    </w:p>
    <w:p w14:paraId="408DF4A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（1）合同解除日以前所完成工作的价款；</w:t>
      </w:r>
    </w:p>
    <w:p w14:paraId="0B2FC12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（2）承包人为该工程施工订购并已付款的材料、工程设备和其他物品的金额。发包人付款还后，该材料、工程设备和其他物品归发包人所有；</w:t>
      </w:r>
    </w:p>
    <w:p w14:paraId="5C4201D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（3）承包人为完成工程所发生的，而发包人未支付的金额；</w:t>
      </w:r>
    </w:p>
    <w:p w14:paraId="6DD2CE0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（4）承包人撤离施工场地以及遣散承包人人员的金额；</w:t>
      </w:r>
    </w:p>
    <w:p w14:paraId="38DCB0F1">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（5）由于解除合同应赔偿的承包人损失；</w:t>
      </w:r>
    </w:p>
    <w:p w14:paraId="6CAE3AC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（6）按合同约定在合同解除日前应支付给承包人的其他金额。</w:t>
      </w:r>
    </w:p>
    <w:p w14:paraId="057B4E1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发包人应按本项约定支付上述金额并退还质量保证金和履约担保，但有权要求承包人支付应偿还给发包人的各项金额。</w:t>
      </w:r>
    </w:p>
    <w:p w14:paraId="1919743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22.2.5 解除合同后的承包人撤离</w:t>
      </w:r>
    </w:p>
    <w:p w14:paraId="2B6E137B">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p>
    <w:p w14:paraId="15DC57F2">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31" w:name="_Toc152042535"/>
      <w:bookmarkStart w:id="632" w:name="_Toc152045756"/>
      <w:bookmarkStart w:id="633" w:name="_Toc179632774"/>
      <w:r>
        <w:rPr>
          <w:rFonts w:hint="eastAsia" w:ascii="宋体" w:hAnsi="宋体" w:eastAsia="宋体" w:cs="宋体"/>
          <w:color w:val="auto"/>
          <w:sz w:val="28"/>
          <w:szCs w:val="28"/>
          <w:highlight w:val="none"/>
          <w:shd w:val="clear" w:color="auto" w:fill="auto"/>
        </w:rPr>
        <w:t>22.3 第三人造成的违约</w:t>
      </w:r>
      <w:bookmarkEnd w:id="631"/>
      <w:bookmarkEnd w:id="632"/>
      <w:bookmarkEnd w:id="633"/>
    </w:p>
    <w:p w14:paraId="5B6948A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在履行合同过程中，一方当事人因第三人的原因造成违约的，应当向对方当事人承担违约责任。一方当事人和第三人之间的纠纷，依照法律规定或者按照约定解决。</w:t>
      </w:r>
    </w:p>
    <w:p w14:paraId="0507997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634" w:name="_Toc144974727"/>
      <w:bookmarkStart w:id="635" w:name="_Toc10781"/>
      <w:bookmarkStart w:id="636" w:name="_Toc501382126"/>
      <w:bookmarkStart w:id="637" w:name="_Toc152045757"/>
      <w:bookmarkStart w:id="638" w:name="_Toc179632775"/>
      <w:bookmarkStart w:id="639" w:name="_Toc152042536"/>
      <w:r>
        <w:rPr>
          <w:rFonts w:hint="eastAsia" w:ascii="宋体" w:hAnsi="宋体" w:eastAsia="宋体" w:cs="宋体"/>
          <w:color w:val="auto"/>
          <w:sz w:val="28"/>
          <w:szCs w:val="28"/>
          <w:highlight w:val="none"/>
          <w:shd w:val="clear" w:color="auto" w:fill="auto"/>
        </w:rPr>
        <w:t>23. 索赔</w:t>
      </w:r>
      <w:bookmarkEnd w:id="634"/>
      <w:bookmarkEnd w:id="635"/>
      <w:bookmarkEnd w:id="636"/>
      <w:bookmarkEnd w:id="637"/>
      <w:bookmarkEnd w:id="638"/>
      <w:bookmarkEnd w:id="639"/>
    </w:p>
    <w:p w14:paraId="7BF9B1FC">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40" w:name="_Toc179632776"/>
      <w:bookmarkStart w:id="641" w:name="_Toc144974728"/>
      <w:bookmarkStart w:id="642" w:name="_Toc152045758"/>
      <w:bookmarkStart w:id="643" w:name="_Toc152042537"/>
      <w:r>
        <w:rPr>
          <w:rFonts w:hint="eastAsia" w:ascii="宋体" w:hAnsi="宋体" w:eastAsia="宋体" w:cs="宋体"/>
          <w:color w:val="auto"/>
          <w:sz w:val="28"/>
          <w:szCs w:val="28"/>
          <w:highlight w:val="none"/>
          <w:shd w:val="clear" w:color="auto" w:fill="auto"/>
        </w:rPr>
        <w:t>23.1 承包人索赔的提出</w:t>
      </w:r>
      <w:bookmarkEnd w:id="640"/>
      <w:bookmarkEnd w:id="641"/>
      <w:bookmarkEnd w:id="642"/>
      <w:bookmarkEnd w:id="643"/>
    </w:p>
    <w:p w14:paraId="31330514">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根据合同约定，承包人认为有权得到追加付款和（或）延长工期的，应按以下程序向发包人提出索赔：</w:t>
      </w:r>
    </w:p>
    <w:p w14:paraId="42AEEB3A">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54ECF46F">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（2）承包人应在发出索赔意向通知书后28天内，向监理人正式递交索赔通知书。索赔通知书应详细说明索赔理由以及要求追加的付款金额和（或）延长的工期，并附必要的记录和证明材料；</w:t>
      </w:r>
    </w:p>
    <w:p w14:paraId="2DE3F69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（3）索赔事件具有连续影响的，承包人应按合理时间间隔继续递交延续索赔通知，说明连续影响的实际情况和记录，列出累计的追加付款金额和（或）工期延长天数；</w:t>
      </w:r>
    </w:p>
    <w:p w14:paraId="715D02F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（4）在索赔事件影响结束后的28天内，承包人应向监理人递交最终索赔通知书，说明最终要求索赔的追加付款金额和延长的工期，并附必要的记录和证明材料。</w:t>
      </w:r>
    </w:p>
    <w:p w14:paraId="6C827972">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44" w:name="_Toc179632777"/>
      <w:bookmarkStart w:id="645" w:name="_Toc144974729"/>
      <w:bookmarkStart w:id="646" w:name="_Toc152045759"/>
      <w:bookmarkStart w:id="647" w:name="_Toc152042538"/>
      <w:r>
        <w:rPr>
          <w:rFonts w:hint="eastAsia" w:ascii="宋体" w:hAnsi="宋体" w:eastAsia="宋体" w:cs="宋体"/>
          <w:color w:val="auto"/>
          <w:sz w:val="28"/>
          <w:szCs w:val="28"/>
          <w:highlight w:val="none"/>
          <w:shd w:val="clear" w:color="auto" w:fill="auto"/>
        </w:rPr>
        <w:t>23.2 承包人索赔处理程序</w:t>
      </w:r>
      <w:bookmarkEnd w:id="644"/>
      <w:bookmarkEnd w:id="645"/>
      <w:bookmarkEnd w:id="646"/>
      <w:bookmarkEnd w:id="647"/>
    </w:p>
    <w:p w14:paraId="63117F4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（1）监理人收到承包人提交的索赔通知书后，应及时审查索赔通知书的内容、查验承包人的记录和证明材料，必要时监理人可要求承包人提交全部原始记录副本。</w:t>
      </w:r>
    </w:p>
    <w:p w14:paraId="09A040AD">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（2）监理人应按第3.5款商定或确定追加的付款和（或）延长的工期，并在收到上述索赔通知书或有关索赔的进一步证明材料后的42天内，将索赔处理结果答复承包人。</w:t>
      </w:r>
    </w:p>
    <w:p w14:paraId="7331F50E">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（3）承包人接受索赔处理结果的，发包人应在作出索赔处理结果答复后28天内完成赔付。承包人不接受索赔处理结果的，按第24条的约定办理。</w:t>
      </w:r>
    </w:p>
    <w:p w14:paraId="2603F5B9">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48" w:name="_Toc144974730"/>
      <w:bookmarkStart w:id="649" w:name="_Toc179632778"/>
      <w:bookmarkStart w:id="650" w:name="_Toc152045760"/>
      <w:bookmarkStart w:id="651" w:name="_Toc152042539"/>
      <w:r>
        <w:rPr>
          <w:rFonts w:hint="eastAsia" w:ascii="宋体" w:hAnsi="宋体" w:eastAsia="宋体" w:cs="宋体"/>
          <w:color w:val="auto"/>
          <w:sz w:val="28"/>
          <w:szCs w:val="28"/>
          <w:highlight w:val="none"/>
          <w:shd w:val="clear" w:color="auto" w:fill="auto"/>
        </w:rPr>
        <w:t>23.3 承包人提出索赔的期限</w:t>
      </w:r>
      <w:bookmarkEnd w:id="648"/>
      <w:bookmarkEnd w:id="649"/>
      <w:bookmarkEnd w:id="650"/>
      <w:bookmarkEnd w:id="651"/>
    </w:p>
    <w:p w14:paraId="199352E2">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23.3.1承包人按第17.5款的约定接受了竣工付款证书后，应被认为已无权再提出在合同工程接收证书颁发前所发生的任何索赔。</w:t>
      </w:r>
    </w:p>
    <w:p w14:paraId="29E0EB9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23.3.2承包人按第17.6款的约定提交的最终结清申请单中，只限于提出工程接收证书颁发后发生的索赔。提出索赔的期限自接受最终结清证书时终止。</w:t>
      </w:r>
    </w:p>
    <w:p w14:paraId="30124E1D">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52" w:name="_Toc152042540"/>
      <w:bookmarkStart w:id="653" w:name="_Toc152045761"/>
      <w:bookmarkStart w:id="654" w:name="_Toc179632779"/>
      <w:bookmarkStart w:id="655" w:name="_Toc144974731"/>
      <w:r>
        <w:rPr>
          <w:rFonts w:hint="eastAsia" w:ascii="宋体" w:hAnsi="宋体" w:eastAsia="宋体" w:cs="宋体"/>
          <w:color w:val="auto"/>
          <w:sz w:val="28"/>
          <w:szCs w:val="28"/>
          <w:highlight w:val="none"/>
          <w:shd w:val="clear" w:color="auto" w:fill="auto"/>
        </w:rPr>
        <w:t>23.4 发包人的索赔</w:t>
      </w:r>
      <w:bookmarkEnd w:id="652"/>
      <w:bookmarkEnd w:id="653"/>
      <w:bookmarkEnd w:id="654"/>
      <w:bookmarkEnd w:id="655"/>
    </w:p>
    <w:p w14:paraId="1CE481F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14:paraId="755DADC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23.4.2监理人按第3.5款商定或确定发包人从承包人处得到赔付的金额和（或）缺陷责任期的延长期。承包人应付给发包人的金额可从拟支付给承包人的合同价款中扣除，或由承包人以其他方式支付给发包人。</w:t>
      </w:r>
    </w:p>
    <w:p w14:paraId="792EB95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outlineLvl w:val="2"/>
        <w:rPr>
          <w:rFonts w:hint="eastAsia" w:ascii="宋体" w:hAnsi="宋体" w:eastAsia="宋体" w:cs="宋体"/>
          <w:color w:val="auto"/>
          <w:sz w:val="28"/>
          <w:szCs w:val="28"/>
          <w:highlight w:val="none"/>
          <w:shd w:val="clear" w:color="auto" w:fill="auto"/>
        </w:rPr>
      </w:pPr>
      <w:bookmarkStart w:id="656" w:name="_Toc5241"/>
      <w:bookmarkStart w:id="657" w:name="_Toc501382127"/>
      <w:bookmarkStart w:id="658" w:name="_Toc152045762"/>
      <w:bookmarkStart w:id="659" w:name="_Toc144974732"/>
      <w:bookmarkStart w:id="660" w:name="_Toc179632780"/>
      <w:bookmarkStart w:id="661" w:name="_Toc152042541"/>
      <w:r>
        <w:rPr>
          <w:rFonts w:hint="eastAsia" w:ascii="宋体" w:hAnsi="宋体" w:eastAsia="宋体" w:cs="宋体"/>
          <w:color w:val="auto"/>
          <w:sz w:val="28"/>
          <w:szCs w:val="28"/>
          <w:highlight w:val="none"/>
          <w:shd w:val="clear" w:color="auto" w:fill="auto"/>
        </w:rPr>
        <w:t>24. 争议的解决</w:t>
      </w:r>
      <w:bookmarkEnd w:id="656"/>
      <w:bookmarkEnd w:id="657"/>
      <w:bookmarkEnd w:id="658"/>
      <w:bookmarkEnd w:id="659"/>
      <w:bookmarkEnd w:id="660"/>
      <w:bookmarkEnd w:id="661"/>
    </w:p>
    <w:p w14:paraId="5E9B779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62" w:name="_Toc144974733"/>
      <w:bookmarkStart w:id="663" w:name="_Toc152042542"/>
      <w:bookmarkStart w:id="664" w:name="_Toc152045763"/>
      <w:bookmarkStart w:id="665" w:name="_Toc179632781"/>
      <w:r>
        <w:rPr>
          <w:rFonts w:hint="eastAsia" w:ascii="宋体" w:hAnsi="宋体" w:eastAsia="宋体" w:cs="宋体"/>
          <w:color w:val="auto"/>
          <w:sz w:val="28"/>
          <w:szCs w:val="28"/>
          <w:highlight w:val="none"/>
          <w:shd w:val="clear" w:color="auto" w:fill="auto"/>
        </w:rPr>
        <w:t>24.1 争议的解决方式</w:t>
      </w:r>
      <w:bookmarkEnd w:id="662"/>
      <w:bookmarkEnd w:id="663"/>
      <w:bookmarkEnd w:id="664"/>
      <w:bookmarkEnd w:id="665"/>
    </w:p>
    <w:p w14:paraId="5D9BD7B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14:paraId="0C58168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（1）向约定的仲裁委员会申请仲裁；</w:t>
      </w:r>
    </w:p>
    <w:p w14:paraId="0CE7707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（2）向有管辖权的人民法院提起诉讼。</w:t>
      </w:r>
    </w:p>
    <w:p w14:paraId="14487DE5">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66" w:name="_Toc152042543"/>
      <w:bookmarkStart w:id="667" w:name="_Toc152045764"/>
      <w:bookmarkStart w:id="668" w:name="_Toc144974734"/>
      <w:bookmarkStart w:id="669" w:name="_Toc179632782"/>
      <w:r>
        <w:rPr>
          <w:rFonts w:hint="eastAsia" w:ascii="宋体" w:hAnsi="宋体" w:eastAsia="宋体" w:cs="宋体"/>
          <w:color w:val="auto"/>
          <w:sz w:val="28"/>
          <w:szCs w:val="28"/>
          <w:highlight w:val="none"/>
          <w:shd w:val="clear" w:color="auto" w:fill="auto"/>
        </w:rPr>
        <w:t>24.2 友好解决</w:t>
      </w:r>
      <w:bookmarkEnd w:id="666"/>
      <w:bookmarkEnd w:id="667"/>
      <w:bookmarkEnd w:id="668"/>
      <w:bookmarkEnd w:id="669"/>
    </w:p>
    <w:p w14:paraId="2DD04B7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在提请争议评审、仲裁或者诉讼前，以及在争议评审、仲裁或诉讼过程中，发包人和承包人均可共同努力友好协商解决争议。</w:t>
      </w:r>
    </w:p>
    <w:p w14:paraId="56F02C04">
      <w:pPr>
        <w:pStyle w:val="114"/>
        <w:keepNext w:val="0"/>
        <w:keepLines w:val="0"/>
        <w:pageBreakBefore w:val="0"/>
        <w:widowControl w:val="0"/>
        <w:kinsoku/>
        <w:wordWrap/>
        <w:overflowPunct/>
        <w:topLinePunct w:val="0"/>
        <w:bidi w:val="0"/>
        <w:snapToGrid/>
        <w:spacing w:before="0" w:after="0" w:afterLines="0" w:line="540" w:lineRule="exact"/>
        <w:ind w:left="0" w:right="0" w:firstLine="560" w:firstLineChars="200"/>
        <w:rPr>
          <w:rFonts w:hint="eastAsia" w:ascii="宋体" w:hAnsi="宋体" w:eastAsia="宋体" w:cs="宋体"/>
          <w:color w:val="auto"/>
          <w:sz w:val="28"/>
          <w:szCs w:val="28"/>
          <w:highlight w:val="none"/>
          <w:shd w:val="clear" w:color="auto" w:fill="auto"/>
        </w:rPr>
      </w:pPr>
      <w:bookmarkStart w:id="670" w:name="_Toc144974735"/>
      <w:bookmarkStart w:id="671" w:name="_Toc152045765"/>
      <w:bookmarkStart w:id="672" w:name="_Toc152042544"/>
      <w:bookmarkStart w:id="673" w:name="_Toc179632783"/>
      <w:r>
        <w:rPr>
          <w:rFonts w:hint="eastAsia" w:ascii="宋体" w:hAnsi="宋体" w:eastAsia="宋体" w:cs="宋体"/>
          <w:color w:val="auto"/>
          <w:sz w:val="28"/>
          <w:szCs w:val="28"/>
          <w:highlight w:val="none"/>
          <w:shd w:val="clear" w:color="auto" w:fill="auto"/>
        </w:rPr>
        <w:t>24.3 争议评审</w:t>
      </w:r>
      <w:bookmarkEnd w:id="670"/>
      <w:bookmarkEnd w:id="671"/>
      <w:bookmarkEnd w:id="672"/>
      <w:bookmarkEnd w:id="673"/>
    </w:p>
    <w:p w14:paraId="0D70DC13">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24.3.1 采用争议评审的，发包人和承包人应在开工日后的28天内或在争议发生后，协商成立争议评审组。争议评审组由有合同管理和工程实践经验的专家组成。</w:t>
      </w:r>
    </w:p>
    <w:p w14:paraId="01FAAB57">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24.3.2 合同双方的争议，应首先由申请人向争议评审组提交一份详细的评审申请报告，并附必要的文件、图纸和证明材料，申请人还应将上述报告的副本同时提交给被申请人和监理人。</w:t>
      </w:r>
    </w:p>
    <w:p w14:paraId="401F9F85">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24.3.3 被申请人在收到申请人评审申请报告副本后的28天内，向争议评审组提交一份答辩报告，并附证明材料。被申请人应将答辩报告的副本同时提交给申请人和监理人。</w:t>
      </w:r>
    </w:p>
    <w:p w14:paraId="7A2857FC">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24.3.4 除专用合同条款另有约定外，争议评审组在收到合同双方报告后的14天内，邀请双方代表和有关人员举行调查会，向双方调查争议细节；必要时争议评审组可要求双方进一步提供补充材料。</w:t>
      </w:r>
    </w:p>
    <w:p w14:paraId="62C3FE08">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14:paraId="1854AA16">
      <w:pPr>
        <w:keepNext w:val="0"/>
        <w:keepLines w:val="0"/>
        <w:pageBreakBefore w:val="0"/>
        <w:widowControl w:val="0"/>
        <w:kinsoku/>
        <w:wordWrap/>
        <w:overflowPunct/>
        <w:topLinePunct w:val="0"/>
        <w:bidi w:val="0"/>
        <w:snapToGrid/>
        <w:spacing w:line="540" w:lineRule="exact"/>
        <w:ind w:left="0" w:righ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24.3.6 发包人和承包人接受评审意见的，由监理人根据评审意见拟定执行协议，经争议双方签字后作为合同的补充文件，并遵照执行。</w:t>
      </w:r>
    </w:p>
    <w:p w14:paraId="0F16AF36">
      <w:pPr>
        <w:keepNext w:val="0"/>
        <w:keepLines w:val="0"/>
        <w:pageBreakBefore w:val="0"/>
        <w:widowControl w:val="0"/>
        <w:kinsoku/>
        <w:wordWrap/>
        <w:overflowPunct/>
        <w:topLinePunct w:val="0"/>
        <w:bidi w:val="0"/>
        <w:snapToGrid/>
        <w:spacing w:line="540" w:lineRule="exact"/>
        <w:ind w:left="0" w:right="0" w:firstLine="560" w:firstLineChars="200"/>
        <w:jc w:val="both"/>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24.3.7 发包人或承包人不接受评审意见，并要求提交仲裁或提起诉讼的，应在收到评审意见后的14天内将仲裁或起诉意向书面通知另一方，并抄送监理人，但在仲裁或诉讼结束前应暂按总监理工程师的确定执行。</w:t>
      </w:r>
      <w:r>
        <w:rPr>
          <w:rFonts w:hint="eastAsia" w:ascii="宋体" w:hAnsi="宋体" w:eastAsia="宋体" w:cs="宋体"/>
          <w:color w:val="auto"/>
          <w:sz w:val="28"/>
          <w:szCs w:val="28"/>
          <w:highlight w:val="none"/>
          <w:shd w:val="clear" w:color="auto" w:fill="auto"/>
        </w:rPr>
        <w:br w:type="page"/>
      </w:r>
    </w:p>
    <w:p w14:paraId="3CC09F73">
      <w:pPr>
        <w:pStyle w:val="113"/>
        <w:keepLines w:val="0"/>
        <w:pageBreakBefore w:val="0"/>
        <w:kinsoku/>
        <w:wordWrap/>
        <w:topLinePunct w:val="0"/>
        <w:bidi w:val="0"/>
        <w:spacing w:line="540" w:lineRule="exact"/>
        <w:ind w:left="4170"/>
        <w:rPr>
          <w:rFonts w:hint="eastAsia" w:ascii="宋体" w:hAnsi="宋体" w:eastAsia="宋体" w:cs="宋体"/>
          <w:color w:val="auto"/>
          <w:sz w:val="28"/>
          <w:szCs w:val="28"/>
          <w:highlight w:val="none"/>
          <w:shd w:val="clear" w:color="auto" w:fill="auto"/>
        </w:rPr>
      </w:pPr>
      <w:bookmarkStart w:id="674" w:name="_Toc7287622"/>
      <w:bookmarkStart w:id="675" w:name="_Toc307773987"/>
      <w:bookmarkStart w:id="676" w:name="_Toc485370919"/>
      <w:bookmarkStart w:id="677" w:name="_Toc501382128"/>
      <w:bookmarkStart w:id="678" w:name="_Toc322705119"/>
      <w:bookmarkStart w:id="679" w:name="_Toc6765"/>
      <w:r>
        <w:rPr>
          <w:rFonts w:hint="eastAsia" w:ascii="宋体" w:hAnsi="宋体" w:eastAsia="宋体" w:cs="宋体"/>
          <w:color w:val="auto"/>
          <w:sz w:val="28"/>
          <w:szCs w:val="28"/>
          <w:highlight w:val="none"/>
          <w:shd w:val="clear" w:color="auto" w:fill="auto"/>
        </w:rPr>
        <w:t>第二部分</w:t>
      </w:r>
      <w:bookmarkEnd w:id="674"/>
      <w:r>
        <w:rPr>
          <w:rFonts w:hint="eastAsia" w:ascii="宋体" w:hAnsi="宋体" w:eastAsia="宋体" w:cs="宋体"/>
          <w:color w:val="auto"/>
          <w:sz w:val="28"/>
          <w:szCs w:val="28"/>
          <w:highlight w:val="none"/>
          <w:shd w:val="clear" w:color="auto" w:fill="auto"/>
        </w:rPr>
        <w:t xml:space="preserve"> 专用合同条款</w:t>
      </w:r>
      <w:bookmarkEnd w:id="675"/>
      <w:bookmarkEnd w:id="676"/>
      <w:bookmarkEnd w:id="677"/>
      <w:bookmarkEnd w:id="678"/>
      <w:bookmarkEnd w:id="679"/>
    </w:p>
    <w:p w14:paraId="68E5DF26">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  一般约定</w:t>
      </w:r>
    </w:p>
    <w:p w14:paraId="37284200">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  词语定义</w:t>
      </w:r>
    </w:p>
    <w:p w14:paraId="7CB97DEF">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1.1.1合同</w:t>
      </w:r>
    </w:p>
    <w:p w14:paraId="650151BF">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1.1.1.6目修改为：</w:t>
      </w:r>
    </w:p>
    <w:p w14:paraId="28CD2A02">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1.1.1.6技术标准和要求：水电工程施工的“技术标准和要求”，称为技术条款。技术条款是指构成合同文件组成部分的名为技术条款的文件，包括合同双方当事人约定对其所作的修改或补充。</w:t>
      </w:r>
    </w:p>
    <w:p w14:paraId="46D4BE02">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1.1.1.7目修改为：</w:t>
      </w:r>
    </w:p>
    <w:p w14:paraId="2CCB67AB">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1.1.1.7图纸：指列入合同的招标图纸和投标图纸，以及发包人按合同约定向承包人提供的施工图纸和其他图纸（包括配套说明和有关资料）</w:t>
      </w:r>
    </w:p>
    <w:p w14:paraId="62E4E077">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  合同当事人和人员</w:t>
      </w:r>
    </w:p>
    <w:p w14:paraId="4B6B558E">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1.1.2.2  发包人：</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457689108"/>
          <w:placeholder>
            <w:docPart w:val="{d317c24e-af92-4770-8b88-e23435f703e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9"/>
        </w:sdtContent>
      </w:sdt>
    </w:p>
    <w:p w14:paraId="4F48DD26">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u w:val="single"/>
          <w:shd w:val="clear" w:color="auto" w:fill="auto"/>
          <w:lang w:eastAsia="zh-CN"/>
        </w:rPr>
      </w:pPr>
      <w:r>
        <w:rPr>
          <w:rFonts w:hint="eastAsia" w:ascii="宋体" w:hAnsi="宋体" w:eastAsia="宋体" w:cs="宋体"/>
          <w:color w:val="auto"/>
          <w:sz w:val="28"/>
          <w:szCs w:val="28"/>
          <w:highlight w:val="none"/>
          <w:shd w:val="clear" w:color="auto" w:fill="auto"/>
        </w:rPr>
        <w:t xml:space="preserve">1.1.2.3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承包人</w:t>
      </w:r>
      <w:r>
        <w:rPr>
          <w:rFonts w:hint="eastAsia" w:ascii="宋体" w:hAnsi="宋体" w:eastAsia="宋体" w:cs="宋体"/>
          <w:color w:val="auto"/>
          <w:sz w:val="28"/>
          <w:szCs w:val="28"/>
          <w:highlight w:val="none"/>
          <w:shd w:val="clear" w:color="auto" w:fill="auto"/>
          <w:lang w:eastAsia="zh-CN"/>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887393180"/>
          <w:placeholder>
            <w:docPart w:val="{9fed2a63-f67a-4179-882e-333c37d8b10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4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0"/>
        </w:sdtContent>
      </w:sdt>
    </w:p>
    <w:p w14:paraId="61B8826D">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1.1.2.6  监理人：</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1"/>
    </w:p>
    <w:p w14:paraId="6082673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1.1.3工程和设备</w:t>
      </w:r>
    </w:p>
    <w:p w14:paraId="3AC6A837">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1.1.3.4  单位工程：按监理人批准的单位工程。</w:t>
      </w:r>
    </w:p>
    <w:p w14:paraId="04B31F3B">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1.1.3.10  永久占地：指发包人为建设本合同工程永久占用的场地。</w:t>
      </w:r>
    </w:p>
    <w:p w14:paraId="27327589">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1.1.3.11  临时占地：指发包人为建设本合同工程临时征用，承包人在完工后须按合同要求退还的场地。</w:t>
      </w:r>
    </w:p>
    <w:p w14:paraId="69AF5D44">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1.1.4日期</w:t>
      </w:r>
    </w:p>
    <w:p w14:paraId="6E131E68">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1.1.4.5  缺陷责任期：</w:t>
      </w:r>
      <w:sdt>
        <w:sdtPr>
          <w:rPr>
            <w:rFonts w:hint="eastAsia" w:ascii="宋体" w:hAnsi="宋体" w:eastAsia="宋体" w:cs="宋体"/>
            <w:color w:val="auto"/>
            <w:kern w:val="2"/>
            <w:sz w:val="28"/>
            <w:szCs w:val="36"/>
            <w:shd w:val="clear" w:color="auto" w:fill="auto"/>
            <w:lang w:val="en-US" w:eastAsia="zh-CN" w:bidi="ar-SA"/>
          </w:rPr>
          <w:alias w:val="工程缺陷责任期不得超过2年"/>
          <w:tag w:val="质保期限"/>
          <w:id w:val="143247845"/>
          <w:placeholder>
            <w:docPart w:val="{173bced5-490f-4a1a-9a51-1d394a4ffb9b}"/>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42"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42"/>
        </w:sdtContent>
      </w:sdt>
    </w:p>
    <w:p w14:paraId="1BCCF6EC">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1.4  合同文件的优先顺序</w:t>
      </w:r>
    </w:p>
    <w:p w14:paraId="635FEEEA">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除合同另有规定外，解释合同文件的优先级如下：</w:t>
      </w:r>
    </w:p>
    <w:p w14:paraId="75C1D560">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（1）合同协议书（包括补充协议）；</w:t>
      </w:r>
    </w:p>
    <w:p w14:paraId="1D32819F">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（2）中标通知书；</w:t>
      </w:r>
    </w:p>
    <w:p w14:paraId="3A5591E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（3）投标函及投标函附录；</w:t>
      </w:r>
    </w:p>
    <w:p w14:paraId="6A39CA1A">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（4）专用合同条款；</w:t>
      </w:r>
    </w:p>
    <w:p w14:paraId="42B7E3A7">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（5）通用合同条款；</w:t>
      </w:r>
    </w:p>
    <w:p w14:paraId="7552467B">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（6）技术条款；</w:t>
      </w:r>
    </w:p>
    <w:p w14:paraId="3F5F5E6C">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（7）招标文件；</w:t>
      </w:r>
    </w:p>
    <w:p w14:paraId="42D14B9B">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（8）投标文件；</w:t>
      </w:r>
    </w:p>
    <w:p w14:paraId="2B5E42D7">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（9）图纸；</w:t>
      </w:r>
    </w:p>
    <w:p w14:paraId="3B26A76A">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（10）已标价工程量清单；</w:t>
      </w:r>
    </w:p>
    <w:p w14:paraId="7E73548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（11）经双方确认进入合同的其他合同文件。</w:t>
      </w:r>
    </w:p>
    <w:p w14:paraId="0C3C8452">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  图纸和承包人文件</w:t>
      </w:r>
    </w:p>
    <w:p w14:paraId="2DB5F88C">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1.6.1图纸的提供</w:t>
      </w:r>
    </w:p>
    <w:p w14:paraId="47C245A8">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发包人应按本合同技术条款约定的期限和数量将施工图纸,以及其他的图纸和文件提供给承包人。</w:t>
      </w:r>
    </w:p>
    <w:p w14:paraId="70B841A9">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1.6.2承包人提供的文件</w:t>
      </w:r>
    </w:p>
    <w:p w14:paraId="0EA7BF43">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承包人的文件应按本合同技术条款约定的期限和数量提供给监理人。监理人应按技术条款约定的期限批复承包人。</w:t>
      </w:r>
    </w:p>
    <w:p w14:paraId="1FE98701">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1.6.3图纸的修改</w:t>
      </w:r>
    </w:p>
    <w:p w14:paraId="6A737959">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监理人需要对已发给承包人的施工图纸进行修改，应按本合同技术条款约定的期限内签发施工图纸的修改图给承包人。</w:t>
      </w:r>
    </w:p>
    <w:p w14:paraId="0E264E45">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  联络</w:t>
      </w:r>
    </w:p>
    <w:p w14:paraId="646D91E2">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1.7.2修改为：来往函件均应按本合同技术条款约定的期限送达监理人。</w:t>
      </w:r>
    </w:p>
    <w:p w14:paraId="514AD081">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73FB66A3">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1.7.3来往函件均应按合同约定的期限及时发出和答复，不得无故扣压和拖延，亦不得无故拒收，否则由此造成的后果由责任方负责。</w:t>
      </w:r>
    </w:p>
    <w:p w14:paraId="0E07B532">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  专利</w:t>
      </w:r>
    </w:p>
    <w:p w14:paraId="29F71799">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73D18B17">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1.11</w:t>
      </w: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合同实施过程中，发包人要求承包人采用专利技术的，发包人应办理相应的申办和使用手续，承包人应按发包人约定的条件使用，并承担使用专利技术的一切试验工作。使用专利技术所需的费用由发包人承担</w:t>
      </w:r>
      <w:r>
        <w:rPr>
          <w:rFonts w:hint="eastAsia" w:ascii="宋体" w:hAnsi="宋体" w:eastAsia="宋体" w:cs="宋体"/>
          <w:color w:val="auto"/>
          <w:sz w:val="28"/>
          <w:szCs w:val="28"/>
          <w:highlight w:val="none"/>
          <w:shd w:val="clear" w:color="auto" w:fill="auto"/>
          <w:lang w:eastAsia="zh-CN"/>
        </w:rPr>
        <w:t>。</w:t>
      </w:r>
    </w:p>
    <w:p w14:paraId="6F43885C">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w:t>
      </w:r>
      <w:r>
        <w:rPr>
          <w:rFonts w:hint="eastAsia" w:ascii="宋体" w:hAnsi="宋体" w:eastAsia="宋体" w:cs="宋体"/>
          <w:color w:val="auto"/>
          <w:sz w:val="28"/>
          <w:szCs w:val="28"/>
          <w:highlight w:val="none"/>
          <w:shd w:val="clear" w:color="auto" w:fill="auto"/>
          <w:lang w:val="en-US" w:eastAsia="zh-CN"/>
        </w:rPr>
        <w:t>6</w:t>
      </w:r>
      <w:r>
        <w:rPr>
          <w:rFonts w:hint="eastAsia" w:ascii="宋体" w:hAnsi="宋体" w:eastAsia="宋体" w:cs="宋体"/>
          <w:color w:val="auto"/>
          <w:sz w:val="28"/>
          <w:szCs w:val="28"/>
          <w:highlight w:val="none"/>
          <w:shd w:val="clear" w:color="auto" w:fill="auto"/>
        </w:rPr>
        <w:t>本合同实施过程中产生的研究成果归发包人所有，就研究成果产生的专利权、申请奖励权、成果发布权等按以下约定处理：</w:t>
      </w:r>
    </w:p>
    <w:p w14:paraId="1DDFF49D">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1)研究成果申请专利的权利由双方共同享有，未经发包人许可，承包人不得申请专利或向第三方转让专利申请权。</w:t>
      </w:r>
    </w:p>
    <w:p w14:paraId="18E2CD0A">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2)研究成果申请奖励的权利归发包人享有。未经发包人许可，承包人不得申请奖励。</w:t>
      </w:r>
    </w:p>
    <w:p w14:paraId="21F3421A">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3)研究成果的发表权由双方共同享有。未经一方许可，另一方不得单方发表。一方项目参与人员个人发表有关项目研究内容的论文须征得双方的同意。</w:t>
      </w:r>
    </w:p>
    <w:p w14:paraId="133E97EC">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 发包人义务</w:t>
      </w:r>
    </w:p>
    <w:p w14:paraId="62E5E2F2">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  提供施工场地</w:t>
      </w:r>
    </w:p>
    <w:p w14:paraId="64FB62AD">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permStart w:id="43" w:edGrp="everyone"/>
      <w:r>
        <w:rPr>
          <w:rFonts w:hint="eastAsia" w:ascii="宋体" w:hAnsi="宋体" w:eastAsia="宋体" w:cs="宋体"/>
          <w:color w:val="auto"/>
          <w:sz w:val="28"/>
          <w:szCs w:val="28"/>
          <w:highlight w:val="none"/>
          <w:shd w:val="clear" w:color="auto" w:fill="auto"/>
        </w:rPr>
        <w:t>删去本款全文，并代之以：</w:t>
      </w:r>
    </w:p>
    <w:p w14:paraId="528AA718">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2.3.1 发包人负责向承包人提供施工场地，提供的施工场地范围见施工总布置图，使用时限为本标段的施工期。承包人可按招标图纸的用地范围布置施工临时工程。</w:t>
      </w:r>
    </w:p>
    <w:p w14:paraId="2C1A547F">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2.3.2 发包人应向承包人提供已有的与本合同工程有关的水文和地质勘探资料以及施工场地地下障碍物等有关资料。</w:t>
      </w:r>
    </w:p>
    <w:p w14:paraId="6993C0DF">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2.3.3 发包人负责办理施工场地范围内的征地和移民，并按合同约定的施工进度要求提供给承包人。</w:t>
      </w:r>
    </w:p>
    <w:p w14:paraId="345C5D82">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kern w:val="2"/>
          <w:sz w:val="28"/>
          <w:szCs w:val="28"/>
          <w:highlight w:val="none"/>
          <w:shd w:val="clear" w:color="auto" w:fill="auto"/>
        </w:rPr>
      </w:pPr>
      <w:r>
        <w:rPr>
          <w:rFonts w:hint="eastAsia" w:ascii="宋体" w:hAnsi="宋体" w:eastAsia="宋体" w:cs="宋体"/>
          <w:color w:val="auto"/>
          <w:kern w:val="2"/>
          <w:sz w:val="28"/>
          <w:szCs w:val="28"/>
          <w:highlight w:val="none"/>
          <w:shd w:val="clear" w:color="auto" w:fill="auto"/>
        </w:rPr>
        <w:t>2.3.4 发包人有权对施工用地范围作适当的调整。</w:t>
      </w:r>
    </w:p>
    <w:permEnd w:id="43"/>
    <w:p w14:paraId="179CD360">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 监理人和总监理工程师</w:t>
      </w:r>
    </w:p>
    <w:p w14:paraId="4C1B91C9">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  监理人的职责和权力</w:t>
      </w:r>
    </w:p>
    <w:p w14:paraId="2170AB3D">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3.1.1 项补充：</w:t>
      </w:r>
    </w:p>
    <w:p w14:paraId="3FC34566">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监理人在行使下列权力前，必须得到发包人的批准：</w:t>
      </w:r>
    </w:p>
    <w:p w14:paraId="46055913">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1)按第4.3款约定，批准工程的分包。</w:t>
      </w:r>
    </w:p>
    <w:p w14:paraId="2E2637C3">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2)按第11.3款约定，确定延长完工期限。</w:t>
      </w:r>
    </w:p>
    <w:p w14:paraId="7B341157">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3)按第15.6款约定，批准暂列金额的使用。</w:t>
      </w:r>
    </w:p>
    <w:p w14:paraId="41BCBB10">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按第15.3款约定，当变更引起的合同价格增加20万元以上时所作出的变更决定，若发包人有新制度规定监理人变更决定权限较之有变化的按发包人新制度执行。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监理人应按第15条的规定增加相应的费用，并及时通知承包人。</w:t>
      </w:r>
    </w:p>
    <w:p w14:paraId="7A25D69C">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发包人在合同履行期间有权根据具体情况调整监理人须经发包人批准的权力范围，并及时通知承包人。</w:t>
      </w:r>
    </w:p>
    <w:p w14:paraId="46855DD7">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 承包人</w:t>
      </w:r>
    </w:p>
    <w:p w14:paraId="4790D3AB">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 承包人的一般义务</w:t>
      </w:r>
    </w:p>
    <w:p w14:paraId="54C7C605">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4.1.3 完成各项承包工作</w:t>
      </w:r>
    </w:p>
    <w:p w14:paraId="34639FD9">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本项修改为：</w:t>
      </w:r>
    </w:p>
    <w:p w14:paraId="12A567DD">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按合同约定以及监理人根据第3.4款作出的指示，实施、完成全部工程，并修补工程中的任何缺陷。除专用合同条款另有约定外，承包人应提供为完成合同工作所需的劳务、材料、施工设施、施工设备、工程设备和其他物品，并按合同约定负责临时设施的设计、建造、运行、维护、管理和拆除。</w:t>
      </w:r>
    </w:p>
    <w:p w14:paraId="6D641EDD">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4.1.10  其它义务</w:t>
      </w:r>
    </w:p>
    <w:p w14:paraId="0370F263">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本项细化为：</w:t>
      </w:r>
    </w:p>
    <w:p w14:paraId="58318F96">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承包人在实施和完成承建合同工程及缺陷修复过程中的一切作业，应保证发包人免于承担因承包人借用、占用或进出其它标段和工区，或作业影响等所引起的索赔、诉讼费、损害赔偿及其它开支，有义务与相邻标段工程施工进行配合与协调，包括（但不限于）：</w:t>
      </w:r>
    </w:p>
    <w:p w14:paraId="410DEA44">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permStart w:id="44" w:edGrp="everyone"/>
      <w:r>
        <w:rPr>
          <w:rFonts w:hint="eastAsia" w:ascii="宋体" w:hAnsi="宋体" w:eastAsia="宋体" w:cs="宋体"/>
          <w:color w:val="auto"/>
          <w:sz w:val="28"/>
          <w:szCs w:val="28"/>
          <w:highlight w:val="none"/>
          <w:shd w:val="clear" w:color="auto" w:fill="auto"/>
        </w:rPr>
        <w:t>1）施工控制网的使用；</w:t>
      </w:r>
    </w:p>
    <w:p w14:paraId="38FEB521">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2）工作面的安全；</w:t>
      </w:r>
    </w:p>
    <w:p w14:paraId="26B5260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3）施工进度的协调；</w:t>
      </w:r>
    </w:p>
    <w:p w14:paraId="5CBBD457">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4）及时提供或移交工作面；</w:t>
      </w:r>
    </w:p>
    <w:p w14:paraId="43B510CC">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5）保持相邻界面附近的结构质量；</w:t>
      </w:r>
    </w:p>
    <w:p w14:paraId="1C67A0B4">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6）混凝土结构界面附近如有止水、排水系统和接地系统，先浇筑者应保护完整，直至移交下一个承包人；</w:t>
      </w:r>
    </w:p>
    <w:p w14:paraId="4371C9CD">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7）为其它标段的承包人提供交通道路、交叉工作面的作业场地；</w:t>
      </w:r>
    </w:p>
    <w:p w14:paraId="060E3659">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8）保证发包人提供的公用设施包括道路、供水管道、供电线路、照明设施、辅助生产设施在承建标段内的维护与保养，不得造成损坏而影响相邻标段的施工。</w:t>
      </w:r>
    </w:p>
    <w:permEnd w:id="44"/>
    <w:p w14:paraId="2FFB915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b w:val="0"/>
          <w:bCs w:val="0"/>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rPr>
        <w:t>（2）承包人在合同履行过程中，应严格执行发包人及其上级单位颁布的相关管理制度（不限于招标文件附件所列）。</w:t>
      </w:r>
    </w:p>
    <w:p w14:paraId="44D32D14">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4.2  履约担保</w:t>
      </w:r>
    </w:p>
    <w:p w14:paraId="3C4B49BD">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kern w:val="2"/>
          <w:sz w:val="28"/>
          <w:szCs w:val="28"/>
          <w:highlight w:val="none"/>
          <w:shd w:val="clear" w:color="auto" w:fill="auto"/>
          <w:lang w:val="en-US" w:eastAsia="zh-CN" w:bidi="ar-SA"/>
        </w:rPr>
      </w:pPr>
      <w:r>
        <w:rPr>
          <w:rFonts w:hint="eastAsia" w:ascii="宋体" w:hAnsi="宋体" w:eastAsia="宋体" w:cs="宋体"/>
          <w:color w:val="auto"/>
          <w:kern w:val="2"/>
          <w:sz w:val="28"/>
          <w:szCs w:val="28"/>
          <w:highlight w:val="none"/>
          <w:shd w:val="clear" w:color="auto" w:fill="auto"/>
          <w:lang w:val="en-US" w:eastAsia="zh-CN" w:bidi="ar-SA"/>
        </w:rPr>
        <w:t>本款修改为：</w:t>
      </w:r>
    </w:p>
    <w:p w14:paraId="62C21B73">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i w:val="0"/>
          <w:iCs w:val="0"/>
          <w:color w:val="auto"/>
          <w:kern w:val="2"/>
          <w:sz w:val="28"/>
          <w:szCs w:val="28"/>
          <w:highlight w:val="none"/>
          <w:shd w:val="clear" w:color="auto" w:fill="auto"/>
          <w:lang w:val="en-US" w:eastAsia="zh-CN" w:bidi="ar-SA"/>
        </w:rPr>
      </w:pPr>
      <w:r>
        <w:rPr>
          <w:rFonts w:hint="eastAsia" w:ascii="宋体" w:hAnsi="宋体" w:eastAsia="宋体" w:cs="宋体"/>
          <w:i w:val="0"/>
          <w:iCs w:val="0"/>
          <w:color w:val="auto"/>
          <w:kern w:val="2"/>
          <w:sz w:val="28"/>
          <w:szCs w:val="28"/>
          <w:highlight w:val="none"/>
          <w:shd w:val="clear" w:color="auto" w:fill="auto"/>
          <w:lang w:val="en-US" w:eastAsia="zh-CN" w:bidi="ar-SA"/>
        </w:rPr>
        <w:t>承包人应在合同签订后30天内且在</w:t>
      </w:r>
      <w:r>
        <w:rPr>
          <w:rFonts w:hint="eastAsia" w:ascii="宋体" w:eastAsia="宋体" w:cs="宋体"/>
          <w:i w:val="0"/>
          <w:iCs w:val="0"/>
          <w:color w:val="auto"/>
          <w:kern w:val="2"/>
          <w:sz w:val="28"/>
          <w:szCs w:val="28"/>
          <w:highlight w:val="none"/>
          <w:shd w:val="clear" w:color="auto" w:fill="auto"/>
          <w:lang w:val="en-US" w:eastAsia="zh-CN" w:bidi="ar-SA"/>
        </w:rPr>
        <w:t>发包人</w:t>
      </w:r>
      <w:r>
        <w:rPr>
          <w:rFonts w:hint="eastAsia" w:ascii="宋体" w:hAnsi="宋体" w:eastAsia="宋体" w:cs="宋体"/>
          <w:i w:val="0"/>
          <w:iCs w:val="0"/>
          <w:color w:val="auto"/>
          <w:kern w:val="2"/>
          <w:sz w:val="28"/>
          <w:szCs w:val="28"/>
          <w:highlight w:val="none"/>
          <w:shd w:val="clear" w:color="auto" w:fill="auto"/>
          <w:lang w:val="en-US" w:eastAsia="zh-CN" w:bidi="ar-SA"/>
        </w:rPr>
        <w:t>第一次付款前向发包人提交见索即付型履约担保。履约担保的担保金额为合同</w:t>
      </w:r>
      <w:r>
        <w:rPr>
          <w:rFonts w:hint="eastAsia" w:ascii="宋体" w:eastAsia="宋体" w:cs="宋体"/>
          <w:i w:val="0"/>
          <w:iCs w:val="0"/>
          <w:color w:val="auto"/>
          <w:kern w:val="2"/>
          <w:sz w:val="28"/>
          <w:szCs w:val="28"/>
          <w:highlight w:val="none"/>
          <w:shd w:val="clear" w:color="auto" w:fill="auto"/>
          <w:lang w:val="en-US" w:eastAsia="zh-CN" w:bidi="ar-SA"/>
        </w:rPr>
        <w:t>预计总</w:t>
      </w:r>
      <w:r>
        <w:rPr>
          <w:rFonts w:hint="eastAsia" w:ascii="宋体" w:hAnsi="宋体" w:eastAsia="宋体" w:cs="宋体"/>
          <w:i w:val="0"/>
          <w:iCs w:val="0"/>
          <w:color w:val="auto"/>
          <w:kern w:val="2"/>
          <w:sz w:val="28"/>
          <w:szCs w:val="28"/>
          <w:highlight w:val="none"/>
          <w:shd w:val="clear" w:color="auto" w:fill="auto"/>
          <w:lang w:val="en-US" w:eastAsia="zh-CN" w:bidi="ar-SA"/>
        </w:rPr>
        <w:t>金额的</w:t>
      </w:r>
      <w:sdt>
        <w:sdtPr>
          <w:rPr>
            <w:rFonts w:hint="eastAsia" w:ascii="宋体" w:hAnsi="宋体" w:eastAsia="宋体" w:cs="宋体"/>
            <w:color w:val="auto"/>
            <w:kern w:val="2"/>
            <w:sz w:val="28"/>
            <w:szCs w:val="36"/>
            <w:shd w:val="clear" w:color="auto" w:fill="auto"/>
            <w:lang w:val="en-US" w:eastAsia="zh-CN" w:bidi="ar-SA"/>
          </w:rPr>
          <w:alias w:val="履约保证金不得超过中标合同金额的10%"/>
          <w:tag w:val="履约担保比例"/>
          <w:id w:val="147471471"/>
          <w:placeholder>
            <w:docPart w:val="{4130b8d8-52f0-42b8-aa2d-2029c217e523}"/>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45"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45"/>
        </w:sdtContent>
      </w:sdt>
      <w:r>
        <w:rPr>
          <w:rFonts w:hint="eastAsia" w:ascii="宋体" w:hAnsi="宋体" w:eastAsia="宋体" w:cs="宋体"/>
          <w:i w:val="0"/>
          <w:iCs w:val="0"/>
          <w:color w:val="auto"/>
          <w:kern w:val="2"/>
          <w:sz w:val="28"/>
          <w:szCs w:val="28"/>
          <w:highlight w:val="none"/>
          <w:shd w:val="clear" w:color="auto" w:fill="auto"/>
          <w:lang w:val="en-US" w:eastAsia="zh-CN" w:bidi="ar-SA"/>
        </w:rPr>
        <w:t>。</w:t>
      </w:r>
    </w:p>
    <w:p w14:paraId="6175D275">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i w:val="0"/>
          <w:iCs w:val="0"/>
          <w:color w:val="auto"/>
          <w:kern w:val="2"/>
          <w:sz w:val="28"/>
          <w:szCs w:val="28"/>
          <w:highlight w:val="none"/>
          <w:shd w:val="clear" w:color="auto" w:fill="auto"/>
          <w:lang w:val="en-US" w:eastAsia="zh-CN" w:bidi="ar-SA"/>
        </w:rPr>
      </w:pPr>
      <w:r>
        <w:rPr>
          <w:rFonts w:hint="eastAsia" w:ascii="宋体" w:hAnsi="宋体" w:eastAsia="宋体" w:cs="宋体"/>
          <w:i w:val="0"/>
          <w:iCs w:val="0"/>
          <w:color w:val="auto"/>
          <w:kern w:val="2"/>
          <w:sz w:val="28"/>
          <w:szCs w:val="28"/>
          <w:highlight w:val="none"/>
          <w:shd w:val="clear" w:color="auto" w:fill="auto"/>
          <w:lang w:val="en-US" w:eastAsia="zh-CN" w:bidi="ar-SA"/>
        </w:rPr>
        <w:t>承包人应保证其履约保函在发包人颁发工程接收证书且扣留质量保证金或质量保证金保函前一直有效。发包人在扣留质量保证金或收到质量保证金保函且收到承包人提交的相关资料后</w:t>
      </w:r>
      <w:permStart w:id="46" w:edGrp="everyone"/>
      <w:r>
        <w:rPr>
          <w:rFonts w:hint="eastAsia" w:ascii="宋体" w:hAnsi="宋体" w:eastAsia="宋体" w:cs="宋体"/>
          <w:i w:val="0"/>
          <w:iCs w:val="0"/>
          <w:color w:val="auto"/>
          <w:kern w:val="2"/>
          <w:sz w:val="28"/>
          <w:szCs w:val="28"/>
          <w:highlight w:val="none"/>
          <w:shd w:val="clear" w:color="auto" w:fill="auto"/>
          <w:lang w:val="en-US" w:eastAsia="zh-CN" w:bidi="ar-SA"/>
        </w:rPr>
        <w:t>30个工作日内</w:t>
      </w:r>
      <w:permEnd w:id="46"/>
      <w:r>
        <w:rPr>
          <w:rFonts w:hint="eastAsia" w:ascii="宋体" w:hAnsi="宋体" w:eastAsia="宋体" w:cs="宋体"/>
          <w:i w:val="0"/>
          <w:iCs w:val="0"/>
          <w:color w:val="auto"/>
          <w:kern w:val="2"/>
          <w:sz w:val="28"/>
          <w:szCs w:val="28"/>
          <w:highlight w:val="none"/>
          <w:shd w:val="clear" w:color="auto" w:fill="auto"/>
          <w:lang w:val="en-US" w:eastAsia="zh-CN" w:bidi="ar-SA"/>
        </w:rPr>
        <w:t>把履约保函退回给承包人。</w:t>
      </w:r>
    </w:p>
    <w:p w14:paraId="2B4A1329">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  分包</w:t>
      </w:r>
    </w:p>
    <w:p w14:paraId="4720DA22">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snapToGrid w:val="0"/>
          <w:color w:val="auto"/>
          <w:sz w:val="28"/>
          <w:szCs w:val="28"/>
          <w:highlight w:val="none"/>
          <w:shd w:val="clear" w:color="auto" w:fill="auto"/>
        </w:rPr>
      </w:pPr>
      <w:r>
        <w:rPr>
          <w:rFonts w:hint="eastAsia" w:ascii="宋体" w:hAnsi="宋体" w:eastAsia="宋体" w:cs="宋体"/>
          <w:snapToGrid w:val="0"/>
          <w:color w:val="auto"/>
          <w:sz w:val="28"/>
          <w:szCs w:val="28"/>
          <w:highlight w:val="none"/>
          <w:shd w:val="clear" w:color="auto" w:fill="auto"/>
        </w:rPr>
        <w:t>增加条款：</w:t>
      </w:r>
    </w:p>
    <w:p w14:paraId="68A179F6">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snapToGrid w:val="0"/>
          <w:color w:val="auto"/>
          <w:sz w:val="28"/>
          <w:szCs w:val="28"/>
          <w:highlight w:val="none"/>
          <w:shd w:val="clear" w:color="auto" w:fill="auto"/>
        </w:rPr>
      </w:pPr>
      <w:r>
        <w:rPr>
          <w:rFonts w:hint="eastAsia" w:ascii="宋体" w:hAnsi="宋体" w:eastAsia="宋体" w:cs="宋体"/>
          <w:snapToGrid w:val="0"/>
          <w:color w:val="auto"/>
          <w:sz w:val="28"/>
          <w:szCs w:val="28"/>
          <w:highlight w:val="none"/>
          <w:shd w:val="clear" w:color="auto" w:fill="auto"/>
        </w:rPr>
        <w:t>4.3.6 承包人的工程分包业务，必须满足发包人的分包管理要求：（1）严禁非法转包、违规分包；（2）严禁以包代管；（3）严禁“皮包公司”、挂靠和借用资质施工队伍承包工程和入网施工；（4）严禁未落实安全风险控制措施开工作业；（5）严禁未经安全教育培训并合格的人员上岗作业；并经监理单位和发包人同意后，才可签订分包合同。并接受监理人和发包人的检查。</w:t>
      </w:r>
    </w:p>
    <w:p w14:paraId="737CD51D">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4.3.7承包人必须在分包商进场前向监理人和发包人提交分包申请，经审批合格后，方可签署合同、进场作业。劳务分包合同需采用发包人规定的范本。</w:t>
      </w:r>
    </w:p>
    <w:p w14:paraId="72E906CA">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4.3.8承包人必须将分包商人员纳入统一管理，全体人员进场后必须经三级教育培训和</w:t>
      </w:r>
      <w:r>
        <w:rPr>
          <w:rFonts w:hint="eastAsia" w:ascii="宋体" w:hAnsi="宋体" w:eastAsia="宋体" w:cs="宋体"/>
          <w:color w:val="auto"/>
          <w:sz w:val="28"/>
          <w:szCs w:val="28"/>
          <w:highlight w:val="none"/>
          <w:shd w:val="clear" w:color="auto" w:fill="auto"/>
          <w:lang w:eastAsia="zh-CN"/>
        </w:rPr>
        <w:t>安</w:t>
      </w:r>
      <w:r>
        <w:rPr>
          <w:rFonts w:hint="eastAsia" w:ascii="宋体" w:hAnsi="宋体" w:eastAsia="宋体" w:cs="宋体"/>
          <w:color w:val="auto"/>
          <w:sz w:val="28"/>
          <w:szCs w:val="28"/>
          <w:highlight w:val="none"/>
          <w:shd w:val="clear" w:color="auto" w:fill="auto"/>
        </w:rPr>
        <w:t>规考试，合格者方可入场作业，分包商安全员要纳入统一管理，定期组织开展培训、召开会议等。</w:t>
      </w:r>
    </w:p>
    <w:p w14:paraId="03859B78">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4.3.9承包人要为分包商全体人员提供符合现场需求的个人防护用品，并监督正确佩戴。</w:t>
      </w:r>
    </w:p>
    <w:p w14:paraId="796E2BBB">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4.3.10承包人须接受发包人和监理人定期对其进行分包专项检查。</w:t>
      </w:r>
    </w:p>
    <w:p w14:paraId="48331A5E">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4.3.11现场施工主要设备和材料只能由总包单位或者专业分包单位采购（专业分包人只能采购专业分包合同范围内涉及的设备和材料）。</w:t>
      </w:r>
    </w:p>
    <w:p w14:paraId="05C6C043">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4.3.12 承包人须严格执行关于保障农民工工资支付的</w:t>
      </w:r>
      <w:r>
        <w:rPr>
          <w:rFonts w:hint="eastAsia" w:ascii="宋体" w:hAnsi="宋体" w:eastAsia="宋体" w:cs="宋体"/>
          <w:color w:val="auto"/>
          <w:sz w:val="28"/>
          <w:szCs w:val="28"/>
          <w:highlight w:val="none"/>
          <w:shd w:val="clear" w:color="auto" w:fill="auto"/>
          <w:lang w:eastAsia="zh-CN"/>
        </w:rPr>
        <w:t>法律法规</w:t>
      </w:r>
      <w:r>
        <w:rPr>
          <w:rFonts w:hint="eastAsia" w:ascii="宋体" w:hAnsi="宋体" w:eastAsia="宋体" w:cs="宋体"/>
          <w:color w:val="auto"/>
          <w:sz w:val="28"/>
          <w:szCs w:val="28"/>
          <w:highlight w:val="none"/>
          <w:shd w:val="clear" w:color="auto" w:fill="auto"/>
        </w:rPr>
        <w:t>和有关政策的要求，规范农民工工资支付行为，保障农民工按时足额获得工资，切实保障农民工的合法权益，接受发包人关于保障农民工工资支付的监督管理。</w:t>
      </w:r>
    </w:p>
    <w:p w14:paraId="24848C08">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4.5 承包人项目经理</w:t>
      </w:r>
    </w:p>
    <w:p w14:paraId="06F08E40">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b w:val="0"/>
          <w:i w:val="0"/>
          <w:i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4.5.1 补充：项目经理离开现场须向监理人及发包人履行请假手续，获得批准后方可离开。项目经理未经批准私自离开或逾期不归，承包人按</w:t>
      </w:r>
      <w:r>
        <w:rPr>
          <w:rFonts w:hint="eastAsia" w:ascii="宋体" w:hAnsi="宋体" w:eastAsia="宋体" w:cs="宋体"/>
          <w:color w:val="auto"/>
          <w:sz w:val="28"/>
          <w:szCs w:val="28"/>
          <w:highlight w:val="none"/>
          <w:shd w:val="clear" w:color="auto" w:fill="auto"/>
          <w:lang w:val="en-US" w:eastAsia="zh-CN"/>
        </w:rPr>
        <w:t>每日</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日违约金金额"/>
          <w:id w:val="237362628"/>
          <w:placeholder>
            <w:docPart w:val="{30411628-fc3f-44a2-b70b-23428de59ae6}"/>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47"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47"/>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向发包人支付违约金。</w:t>
      </w:r>
    </w:p>
    <w:p w14:paraId="1FCBC8EB">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4.6 承包人人员的管理</w:t>
      </w:r>
    </w:p>
    <w:p w14:paraId="7217DD93">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增加条款：</w:t>
      </w:r>
    </w:p>
    <w:p w14:paraId="25B3E494">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4.6.5承包人的技术负责人未经</w:t>
      </w:r>
      <w:r>
        <w:rPr>
          <w:rFonts w:hint="eastAsia" w:ascii="宋体" w:hAnsi="宋体" w:eastAsia="宋体" w:cs="宋体"/>
          <w:iCs/>
          <w:color w:val="auto"/>
          <w:sz w:val="28"/>
          <w:szCs w:val="28"/>
          <w:highlight w:val="none"/>
          <w:shd w:val="clear" w:color="auto" w:fill="auto"/>
          <w:lang w:val="en-US" w:eastAsia="zh-CN"/>
        </w:rPr>
        <w:t>发包人</w:t>
      </w:r>
      <w:r>
        <w:rPr>
          <w:rFonts w:hint="eastAsia" w:ascii="宋体" w:hAnsi="宋体" w:eastAsia="宋体" w:cs="宋体"/>
          <w:iCs/>
          <w:color w:val="auto"/>
          <w:sz w:val="28"/>
          <w:szCs w:val="28"/>
          <w:highlight w:val="none"/>
          <w:shd w:val="clear" w:color="auto" w:fill="auto"/>
        </w:rPr>
        <w:t>批准不允许更换，因特殊原因需要更换的，须经发包人同意。更换后的技术负责人的资格、能力不得低于原委派人员，并须经发包人同意。</w:t>
      </w:r>
    </w:p>
    <w:p w14:paraId="3538CFE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技术负责人离开现场须向监理人及发包人履行请假手续，获得批准后方可离开。技术负责人未经批准私自离开或逾期不归，承包人按</w:t>
      </w:r>
      <w:r>
        <w:rPr>
          <w:rFonts w:hint="eastAsia" w:ascii="宋体" w:hAnsi="宋体" w:eastAsia="宋体" w:cs="宋体"/>
          <w:color w:val="auto"/>
          <w:sz w:val="28"/>
          <w:szCs w:val="28"/>
          <w:highlight w:val="none"/>
          <w:shd w:val="clear" w:color="auto" w:fill="auto"/>
          <w:lang w:val="en-US" w:eastAsia="zh-CN"/>
        </w:rPr>
        <w:t>每日</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日违约金金额"/>
          <w:id w:val="476556317"/>
          <w:placeholder>
            <w:docPart w:val="{87c9797c-d344-463c-a1e9-8a6ee142f584}"/>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48"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48"/>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向发包人支付违约金。</w:t>
      </w:r>
    </w:p>
    <w:p w14:paraId="63D5E20B">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4.11  不利物质条件</w:t>
      </w:r>
    </w:p>
    <w:p w14:paraId="52F564F9">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2AFC4B4B">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4.11.3除现场异常恶劣的气候条件外，水电工程的不利物质条件指在施工中遭遇不可预见的外界障碍或自然条件造成施工受阻。承包人有权根据第23.1款的约定,要求延长工期及增加费用。监理人收到此类要求后,应在分析上述外界障碍或自然条件是否不可预见及不可预见程度的基础上,按第3.5款的约定，与合同双方商定或确定增加的费用和延长的工期。</w:t>
      </w:r>
    </w:p>
    <w:p w14:paraId="05B9D21C">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 材料和工程设备</w:t>
      </w:r>
    </w:p>
    <w:p w14:paraId="2C84F8AD">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5.2  发包人提供的材料和工程设备</w:t>
      </w:r>
    </w:p>
    <w:p w14:paraId="484DB610">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发包人不提供材料和工程设备。</w:t>
      </w:r>
    </w:p>
    <w:p w14:paraId="5BD3F32F">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 施工设备和临时设施</w:t>
      </w:r>
    </w:p>
    <w:p w14:paraId="3F18223E">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6.1  承包人提供的施工设备和临时设施</w:t>
      </w:r>
    </w:p>
    <w:p w14:paraId="2D47517C">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6.1.2修改为：除合同约定由发包人提供的施工设备和临时设施外，承包人应提供为完成合同工作所需的施工设备，以及按合同约定负责临时设施的设计、建造、运行、维护和管理，并承担相应费用。</w:t>
      </w:r>
    </w:p>
    <w:p w14:paraId="7C79F8C6">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 交通运输</w:t>
      </w:r>
    </w:p>
    <w:p w14:paraId="0B7869FD">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7.2  场内施工道路</w:t>
      </w:r>
    </w:p>
    <w:p w14:paraId="36D8040F">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7.2.1 修改为：承包人应负责修建、维修、养护和管理其施工所需的全部场内临时道路和交通设施(包括合同约定由发包人提供的部分道路和交通设施的维修、养护和管理)，并承担相应的费用。</w:t>
      </w:r>
    </w:p>
    <w:p w14:paraId="695DE45A">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7.2.2 修改为：承包人修建的临时道路和交通设施，应免费提供发包人、监理人，以及与本合同有关的其他承包人使用。</w:t>
      </w:r>
    </w:p>
    <w:p w14:paraId="1541BBA6">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 测量放线</w:t>
      </w:r>
    </w:p>
    <w:p w14:paraId="3AB420F7">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8.1  施工控制网</w:t>
      </w:r>
    </w:p>
    <w:p w14:paraId="2A61E7B1">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8.1.1  补充：施工控制网由承包人负责测设，发包人应在本合同技术条款约定的期限内，向承包人提供测量基准点、基准线和水准点及其书面资料。承包人应在收到上述施工控制网资料后的 14 天内，将实测的施工控制网资料提交监理人批准。监理人应在收到报批件后的 14 天内批复承包人。</w:t>
      </w:r>
    </w:p>
    <w:p w14:paraId="73F9CFDC">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4C53F9E6">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8.5 地质勘探</w:t>
      </w:r>
    </w:p>
    <w:p w14:paraId="40CDB3D2">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合同实施期间，监理人可以指示承包人进行必要的补充地质勘探和提供有关资料；承包人认为本合同永久工程施工的需要进行补充地质勘探时，须经监理人批准，并应向监理人提交有关资料，上述补充勘探的费用由发包人承担。承包人为其临时工程所需进行的补充地质勘探，其费用由承包人承担。</w:t>
      </w:r>
    </w:p>
    <w:p w14:paraId="35601A69">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 施工安全、治安保卫和环境保护</w:t>
      </w:r>
    </w:p>
    <w:p w14:paraId="5FA5D3F9">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标题修改为</w:t>
      </w:r>
    </w:p>
    <w:p w14:paraId="1738A76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 施工安全文明、治安保卫、环境保护及水土保持</w:t>
      </w:r>
    </w:p>
    <w:p w14:paraId="2D444B47">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9.1  发包人的施工安全责任</w:t>
      </w:r>
    </w:p>
    <w:p w14:paraId="48F65763">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9.1.1补充：发包人应委托监理人根据国家、地方及行业有关安全的</w:t>
      </w:r>
      <w:r>
        <w:rPr>
          <w:rFonts w:hint="eastAsia" w:ascii="宋体" w:hAnsi="宋体" w:eastAsia="宋体" w:cs="宋体"/>
          <w:color w:val="auto"/>
          <w:sz w:val="28"/>
          <w:szCs w:val="28"/>
          <w:highlight w:val="none"/>
          <w:shd w:val="clear" w:color="auto" w:fill="auto"/>
          <w:lang w:eastAsia="zh-CN"/>
        </w:rPr>
        <w:t>法律法规</w:t>
      </w:r>
      <w:r>
        <w:rPr>
          <w:rFonts w:hint="eastAsia" w:ascii="宋体" w:hAnsi="宋体" w:eastAsia="宋体" w:cs="宋体"/>
          <w:color w:val="auto"/>
          <w:sz w:val="28"/>
          <w:szCs w:val="28"/>
          <w:highlight w:val="none"/>
          <w:shd w:val="clear" w:color="auto" w:fill="auto"/>
        </w:rPr>
        <w:t>和条例，对承包人的施工安全工作进行全面和全过程的监督和检查。监理人的监督检查不减轻承包人应负的安全责任。</w:t>
      </w:r>
    </w:p>
    <w:p w14:paraId="3EC133E1">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  承包人的施工安全责任</w:t>
      </w:r>
    </w:p>
    <w:p w14:paraId="42413D6E">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标题修改为</w:t>
      </w:r>
    </w:p>
    <w:p w14:paraId="269C29BE">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  承包人的施工安全文明责任</w:t>
      </w:r>
    </w:p>
    <w:p w14:paraId="674B5C00">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i/>
          <w:i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9.2.1补充：承包人应按本合同技术条款约定的内容和期限以及监理人的指示，编制施工安全文明措施计划提交监理人批准，现场安全文明施工情况需满足南方电网公司基建项目作业环境管理有关要求。</w:t>
      </w:r>
    </w:p>
    <w:p w14:paraId="2C374F95">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本款增加：</w:t>
      </w:r>
    </w:p>
    <w:p w14:paraId="38FD9D8E">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9.2.8承包人应按合同约定履行安全职责，严格执行国家、省及行业现行的有关施工安全管理方面的</w:t>
      </w:r>
      <w:r>
        <w:rPr>
          <w:rFonts w:hint="eastAsia" w:ascii="宋体" w:hAnsi="宋体" w:eastAsia="宋体" w:cs="宋体"/>
          <w:color w:val="auto"/>
          <w:sz w:val="28"/>
          <w:szCs w:val="28"/>
          <w:highlight w:val="none"/>
          <w:shd w:val="clear" w:color="auto" w:fill="auto"/>
          <w:lang w:eastAsia="zh-CN"/>
        </w:rPr>
        <w:t>法律法规</w:t>
      </w:r>
      <w:r>
        <w:rPr>
          <w:rFonts w:hint="eastAsia" w:ascii="宋体" w:hAnsi="宋体" w:eastAsia="宋体" w:cs="宋体"/>
          <w:color w:val="auto"/>
          <w:sz w:val="28"/>
          <w:szCs w:val="28"/>
          <w:highlight w:val="none"/>
          <w:shd w:val="clear" w:color="auto" w:fill="auto"/>
        </w:rPr>
        <w:t>及规章制度外，同时严格执行发包人制订的本项目安全生产管理方面的规章制度、安全检查程序及施工安全管理要求，以及监理人有关安全工作的指示，费用包含在报价中。</w:t>
      </w:r>
    </w:p>
    <w:p w14:paraId="3CAD03B6">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9.2.9承包人应成立承包工程所需的组织架构，配备专职、兼职安全管理人员，制定相关安全管理制度，并按照制度落实相关职责。其中，安全管理人员需持有政府或行业颁发的安全管理人员证件且人员稳定，且在有效期内。</w:t>
      </w:r>
    </w:p>
    <w:p w14:paraId="7D1C1A80">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9.2.10承包人负责组织建立健全施工安全生产责任制，逐级传递和落实安全生产职责。按照发包人基建安全风险管控有关制度落实现场风险评估、管控职责，定期组织开展各类安全检查，督促按期整改到位。</w:t>
      </w:r>
    </w:p>
    <w:p w14:paraId="75AE50F5">
      <w:pPr>
        <w:keepNext w:val="0"/>
        <w:keepLines w:val="0"/>
        <w:pageBreakBefore w:val="0"/>
        <w:widowControl w:val="0"/>
        <w:kinsoku/>
        <w:wordWrap/>
        <w:overflowPunct/>
        <w:topLinePunct w:val="0"/>
        <w:autoSpaceDE/>
        <w:autoSpaceDN/>
        <w:bidi w:val="0"/>
        <w:adjustRightInd/>
        <w:snapToGrid/>
        <w:spacing w:line="540" w:lineRule="exact"/>
        <w:ind w:left="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9.2.11承包人应根据本工程的实际安全施工要求，编制施工安全技术措施，并在签订合同协议书后</w:t>
      </w:r>
      <w:permStart w:id="49" w:edGrp="everyone"/>
      <w:r>
        <w:rPr>
          <w:rFonts w:hint="eastAsia" w:ascii="宋体" w:hAnsi="宋体" w:eastAsia="宋体" w:cs="宋体"/>
          <w:color w:val="auto"/>
          <w:sz w:val="28"/>
          <w:szCs w:val="28"/>
          <w:highlight w:val="none"/>
          <w:shd w:val="clear" w:color="auto" w:fill="auto"/>
        </w:rPr>
        <w:t>28天</w:t>
      </w:r>
      <w:permEnd w:id="49"/>
      <w:r>
        <w:rPr>
          <w:rFonts w:hint="eastAsia" w:ascii="宋体" w:hAnsi="宋体" w:eastAsia="宋体" w:cs="宋体"/>
          <w:color w:val="auto"/>
          <w:sz w:val="28"/>
          <w:szCs w:val="28"/>
          <w:highlight w:val="none"/>
          <w:shd w:val="clear" w:color="auto" w:fill="auto"/>
        </w:rPr>
        <w:t>内，报监理人和发包人批准。该施工安全技术措施包括（但不限于）施工安全保障体系，安全生产责任制，安全生产管理规章制度，安全防护施工方案，施工现场临时用电方案，施工作业安全风险评估，安全预控及保证措施方案，紧急应变措施，安全标识、警示和围护方案等。</w:t>
      </w:r>
    </w:p>
    <w:p w14:paraId="71A5DB1F">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9.2.12承包人的防风防汛工作，除满足国家法律法规、规程规范外，还需满足发包人有关防风防汛制度和要求。</w:t>
      </w:r>
    </w:p>
    <w:p w14:paraId="0132E408">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9.2.13承包人应建立健全承包人应急管理体系，识别承包工程面临风险，制定相应应急预案和现场处置方案，并与发包方的应急管理体系相衔接，配备相应的应急队伍和物资，应急处置时，接受发包方的统一指挥和协调。</w:t>
      </w:r>
    </w:p>
    <w:p w14:paraId="39E4164C">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9.2.14承包人负责在发生事故时，按照发包方的突发事件报送流程，第一时间报送事故相关信息，并对受伤人员进行救治，降低事故损失。对施工过程中发生的未遂事件、事件进行根本原因分析，制定整改措施。</w:t>
      </w:r>
    </w:p>
    <w:p w14:paraId="12BB884A">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9.2.15承包人需与涉及交叉作业的参建单位签订安全互保协议，落实安全防护措施，协调施工安排，确保交叉作业安全。</w:t>
      </w:r>
    </w:p>
    <w:p w14:paraId="15A578B9">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9.2.16对关键的施工作业，承包人要在开工前梳理危险性较大的分部分项工程、超过一定规模的危险性较大分部分项工程及关键施工工序，在施工作业前按照法律法规及发包人基建工程危险性较大分部分项工程安全管理有关规定组织施工。</w:t>
      </w:r>
    </w:p>
    <w:p w14:paraId="4D0D2360">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9.2.17承包人在施工安全管理工作中，除满足相关的法律法规、规程规范外，应严格按照南方电网公司施工安全“四步法”有关要求开展施工作业。</w:t>
      </w:r>
    </w:p>
    <w:p w14:paraId="2CBF5A04">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9.2.18承包人对施工机械设备管理，除满足国家法律法规、规程规范外，还须满足南方电网公司施工机械（具）和设备管理有关要求。</w:t>
      </w:r>
    </w:p>
    <w:p w14:paraId="1C3BE3A3">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9.2.19承包人应履行防灾减灾责任。承包人在进场后，需针对施工区域内的地质条件，制定施工临时营地、加工场等选址方案，选址前需开展地质灾害风险分析和评估，组织对易发生泥石流、山体滑坡等地质灾害的生活办公营地、生产设备设施、施工现场及周边环境开展地质灾害隐患排查，避开存在地质灾害风险的部位，并在使用过程中进行地质灾害监测。</w:t>
      </w:r>
    </w:p>
    <w:p w14:paraId="74F4EA6F">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9.2.20承包人对施工临时用电管理，除满足国家法律法规、规程规范外，须严格执行发包人有关临时用电管理规定。承包人在进场前做好工程的用电规划，制定临时用电方案，按照要求进行电箱的配置，采用全新电箱，杜绝碘钨灯在工地现场的使用。</w:t>
      </w:r>
    </w:p>
    <w:p w14:paraId="7FBF554F">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9.2.21承包人应做好高处作业管理，除满足国家法律法规、规程规范外，还应按照发包人脚手架管理相关制度规范搭设脚手架。</w:t>
      </w:r>
    </w:p>
    <w:p w14:paraId="6D4B0362">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9.2.22承包人应做好施工爆破管理，除满足国家法律法规、规程规范外，还应按照发包人针对工程项目制定的爆破管理有关制度做好爆破管理。邀请符合资质要求的专业公司开展爆破作业，理清界面，履行主承包商职责，对分包商进行管理，定期检查爆破管理情况，做好爆破的沟通与协调。</w:t>
      </w:r>
    </w:p>
    <w:p w14:paraId="0A803F24">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9.2.23承包人应按照发包人的管理要求做好地下洞室人员和车辆进出管理，组织制定进洞挂牌管理制度，并在各洞室口设置交通岗，对进出人员、车辆进行检查。</w:t>
      </w:r>
    </w:p>
    <w:p w14:paraId="1ED9C9DF">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9.2.24承包人应做好工区内的消防工作，其费用包括在投标报价中。承包人应定期开展消防检查和防火知识培训，及时消除火灾隐患。</w:t>
      </w:r>
    </w:p>
    <w:p w14:paraId="744E1120">
      <w:pPr>
        <w:keepNext w:val="0"/>
        <w:keepLines w:val="0"/>
        <w:pageBreakBefore w:val="0"/>
        <w:widowControl w:val="0"/>
        <w:kinsoku/>
        <w:wordWrap/>
        <w:overflowPunct/>
        <w:topLinePunct w:val="0"/>
        <w:bidi w:val="0"/>
        <w:snapToGrid/>
        <w:spacing w:line="540" w:lineRule="exact"/>
        <w:ind w:left="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9.2.25承包人必须基于作业岗位面临的风险为施工人员配置符合要求的个人防护用品，地下洞室和光线昏暗区域内作业还需配置反光衣。</w:t>
      </w:r>
    </w:p>
    <w:p w14:paraId="3319ABAC">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9.2.26承包人应做好施工期间交通安全管理，除满足国家法律法规、规程规范外，还应按照发包人针对建设项目制定的施工区域交通安全有关规定做好现场交通安全管理，配备符合规定的上下班班车，做好施工车辆的管理及驾驶员的教育培训，遵守工地交通安全管理要求，督促驾驶员严禁超速、超载、酒驾等严重违章行为。</w:t>
      </w:r>
    </w:p>
    <w:p w14:paraId="436307EA">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9.3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治安保卫</w:t>
      </w:r>
    </w:p>
    <w:p w14:paraId="699869B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9.3.1</w:t>
      </w:r>
      <w:r>
        <w:rPr>
          <w:rFonts w:hint="eastAsia" w:ascii="宋体" w:hAnsi="宋体" w:eastAsia="宋体" w:cs="宋体"/>
          <w:color w:val="auto"/>
          <w:sz w:val="28"/>
          <w:szCs w:val="28"/>
          <w:highlight w:val="none"/>
          <w:shd w:val="clear" w:color="auto" w:fill="auto"/>
          <w:lang w:val="en-US" w:eastAsia="zh-CN"/>
        </w:rPr>
        <w:t>与9.3.2修改为：</w:t>
      </w:r>
      <w:r>
        <w:rPr>
          <w:rFonts w:hint="eastAsia" w:ascii="宋体" w:hAnsi="宋体" w:eastAsia="宋体" w:cs="宋体"/>
          <w:color w:val="auto"/>
          <w:sz w:val="28"/>
          <w:szCs w:val="28"/>
          <w:highlight w:val="none"/>
          <w:shd w:val="clear" w:color="auto" w:fill="auto"/>
        </w:rPr>
        <w:t>发包人和承包人除应协助当地治安部门组织维护施工场地的社会治安，并应做好包括生活区在内的各自管辖区的治安保卫工作。</w:t>
      </w:r>
    </w:p>
    <w:p w14:paraId="4BC96F68">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9.4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环境保护</w:t>
      </w:r>
    </w:p>
    <w:p w14:paraId="0954427E">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标题修改为：</w:t>
      </w:r>
    </w:p>
    <w:p w14:paraId="3407C0EE">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  环境保护和水土保持</w:t>
      </w:r>
    </w:p>
    <w:p w14:paraId="5F761E83">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9.4.1补充：承包人在施工过程中，应遵守有关环境保护和水土保持的法律，履行合同约定的环境保护和水土保持义务，并对违反法律和合同约定义务所造成的环境破坏、水土流失、人身伤害和财产损失负责。</w:t>
      </w:r>
    </w:p>
    <w:p w14:paraId="36D7700D">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9.4.2补充：承包人应按合同约定的环境保护和水土保持工作内容，编制施工环境保护和水土保持措施计划，提交监理人批准。</w:t>
      </w:r>
    </w:p>
    <w:p w14:paraId="58240575">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本款增加：</w:t>
      </w:r>
    </w:p>
    <w:p w14:paraId="706448F6">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9.6 安全文明施工措施费</w:t>
      </w:r>
    </w:p>
    <w:p w14:paraId="6A9AC258">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安全文明施工措施费专款专用，承包人应严格遵守</w:t>
      </w:r>
      <w:r>
        <w:rPr>
          <w:rFonts w:hint="eastAsia" w:ascii="宋体" w:hAnsi="宋体" w:eastAsia="宋体" w:cs="宋体"/>
          <w:i w:val="0"/>
          <w:iCs w:val="0"/>
          <w:color w:val="auto"/>
          <w:sz w:val="28"/>
          <w:szCs w:val="28"/>
          <w:highlight w:val="none"/>
          <w:shd w:val="clear" w:color="auto" w:fill="auto"/>
        </w:rPr>
        <w:t>《南方电网调峰调频发电有限公司基建工程造价管理办法》</w:t>
      </w:r>
      <w:r>
        <w:rPr>
          <w:rFonts w:hint="eastAsia" w:ascii="宋体" w:hAnsi="宋体" w:eastAsia="宋体" w:cs="宋体"/>
          <w:color w:val="auto"/>
          <w:sz w:val="28"/>
          <w:szCs w:val="28"/>
          <w:highlight w:val="none"/>
          <w:shd w:val="clear" w:color="auto" w:fill="auto"/>
        </w:rPr>
        <w:t>的相关规定，并在财务账目中单独列项备查，不得挪作他用，否则监理人有权责令其限期改正；逾期未改正的，可以责令其暂停施工，由此造成的损失和延误的工期由承包人承担。</w:t>
      </w:r>
    </w:p>
    <w:p w14:paraId="748769F0">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 进度计划</w:t>
      </w:r>
    </w:p>
    <w:p w14:paraId="52B4DB68">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10.1  合同进度计划</w:t>
      </w:r>
    </w:p>
    <w:p w14:paraId="4587CCE8">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补充：承包人应在</w:t>
      </w:r>
      <w:r>
        <w:rPr>
          <w:rFonts w:hint="eastAsia" w:ascii="宋体" w:hAnsi="宋体" w:eastAsia="宋体" w:cs="宋体"/>
          <w:iCs/>
          <w:color w:val="auto"/>
          <w:sz w:val="28"/>
          <w:szCs w:val="28"/>
          <w:highlight w:val="none"/>
          <w:shd w:val="clear" w:color="auto" w:fill="auto"/>
        </w:rPr>
        <w:t>开工前28天</w:t>
      </w:r>
      <w:r>
        <w:rPr>
          <w:rFonts w:hint="eastAsia" w:ascii="宋体" w:hAnsi="宋体" w:eastAsia="宋体" w:cs="宋体"/>
          <w:color w:val="auto"/>
          <w:sz w:val="28"/>
          <w:szCs w:val="28"/>
          <w:highlight w:val="none"/>
          <w:shd w:val="clear" w:color="auto" w:fill="auto"/>
        </w:rPr>
        <w:t>按本合同技术条款约定的内容，以及监理人的指示，编制详细的施工总进度计划及其说明提交监理人批准。监理人应在收到施工总进度计划的</w:t>
      </w:r>
      <w:r>
        <w:rPr>
          <w:rFonts w:hint="eastAsia" w:ascii="宋体" w:hAnsi="宋体" w:eastAsia="宋体" w:cs="宋体"/>
          <w:iCs/>
          <w:color w:val="auto"/>
          <w:sz w:val="28"/>
          <w:szCs w:val="28"/>
          <w:highlight w:val="none"/>
          <w:shd w:val="clear" w:color="auto" w:fill="auto"/>
        </w:rPr>
        <w:t>14天内</w:t>
      </w:r>
      <w:r>
        <w:rPr>
          <w:rFonts w:hint="eastAsia" w:ascii="宋体" w:hAnsi="宋体" w:eastAsia="宋体" w:cs="宋体"/>
          <w:color w:val="auto"/>
          <w:sz w:val="28"/>
          <w:szCs w:val="28"/>
          <w:highlight w:val="none"/>
          <w:shd w:val="clear" w:color="auto" w:fill="auto"/>
        </w:rPr>
        <w:t>批复承包人。</w:t>
      </w:r>
    </w:p>
    <w:p w14:paraId="611FF6E6">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10.2  合同进度计划的修订</w:t>
      </w:r>
    </w:p>
    <w:p w14:paraId="282E8071">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本款补充：</w:t>
      </w:r>
    </w:p>
    <w:p w14:paraId="772E4326">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不论何种原因造成工程的实际进度与第10.1款的合同进度计划不符时，承包人均应在14天内向监理人提交修订合同进度计划的申请报告，并附有关措施和相关资料，报监理人审批。当监理人认为需要修订合同进度计划时，承包人应按监理人的指示，在14天内向监理人提交修订的合同进度计划，并附调整计划的相关资料，提交监理人审批。</w:t>
      </w:r>
    </w:p>
    <w:p w14:paraId="4DACAE93">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监理人批复修订合同进度计划的期限：收到修订合同进度计划申请报告后的7天内。</w:t>
      </w:r>
    </w:p>
    <w:p w14:paraId="2B4DFB1D">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不论何种原因造成施工进度计划拖后，承包人均应按监理人的指示，</w:t>
      </w:r>
      <w:r>
        <w:rPr>
          <w:rFonts w:hint="eastAsia" w:ascii="宋体" w:hAnsi="宋体" w:eastAsia="宋体" w:cs="宋体"/>
          <w:color w:val="auto"/>
          <w:sz w:val="28"/>
          <w:szCs w:val="28"/>
          <w:highlight w:val="none"/>
          <w:shd w:val="clear" w:color="auto" w:fill="auto"/>
          <w:lang w:eastAsia="zh-CN"/>
        </w:rPr>
        <w:t>采取有效措施</w:t>
      </w:r>
      <w:r>
        <w:rPr>
          <w:rFonts w:hint="eastAsia" w:ascii="宋体" w:hAnsi="宋体" w:eastAsia="宋体" w:cs="宋体"/>
          <w:color w:val="auto"/>
          <w:sz w:val="28"/>
          <w:szCs w:val="28"/>
          <w:highlight w:val="none"/>
          <w:shd w:val="clear" w:color="auto" w:fill="auto"/>
        </w:rPr>
        <w:t>赶上进度。承包应在向监理人报送修订合同进度计划的同时，编制一份赶上措施报告提交监理人批准，赶上措施应以保证工程按期完工为前提调整和修改进度计划。由于发包人原因造成施工进度拖后，应按第11.3款的约定办理；由于承包人原因造成施工进度拖后，应按第11.5款的约定办理。</w:t>
      </w:r>
    </w:p>
    <w:p w14:paraId="5603CEF8">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本款增加：</w:t>
      </w:r>
    </w:p>
    <w:p w14:paraId="09968D94">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10.3  单位工程进度计划</w:t>
      </w:r>
    </w:p>
    <w:p w14:paraId="2BCDA297">
      <w:pPr>
        <w:keepNext w:val="0"/>
        <w:keepLines w:val="0"/>
        <w:pageBreakBefore w:val="0"/>
        <w:widowControl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在监理人认为有必要时，承包人应按监理人指示的内容和期限，根据合同进度计划控制要求，编制单位工程进度计划，提交监理人批准实施。</w:t>
      </w:r>
    </w:p>
    <w:p w14:paraId="6281356E">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10.4  提交资金计划</w:t>
      </w:r>
    </w:p>
    <w:p w14:paraId="3D3DB0E1">
      <w:pPr>
        <w:keepNext w:val="0"/>
        <w:keepLines w:val="0"/>
        <w:pageBreakBefore w:val="0"/>
        <w:widowControl w:val="0"/>
        <w:kinsoku/>
        <w:wordWrap/>
        <w:overflowPunct/>
        <w:topLinePunct w:val="0"/>
        <w:autoSpaceDE/>
        <w:autoSpaceDN/>
        <w:bidi w:val="0"/>
        <w:adjustRightInd/>
        <w:snapToGrid/>
        <w:spacing w:line="540" w:lineRule="exact"/>
        <w:ind w:left="0" w:firstLine="560" w:firstLineChars="200"/>
        <w:jc w:val="left"/>
        <w:textAlignment w:val="auto"/>
        <w:rPr>
          <w:rFonts w:hint="eastAsia" w:ascii="宋体" w:hAnsi="宋体" w:eastAsia="宋体" w:cs="宋体"/>
          <w:b/>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rPr>
        <w:t>承包人应按发包人要求的格式，每年10月报送下一年的资金计划、每年5月报送调整下半年的资金计划。</w:t>
      </w:r>
    </w:p>
    <w:p w14:paraId="5920EFDE">
      <w:pPr>
        <w:keepLines w:val="0"/>
        <w:pageBreakBefore w:val="0"/>
        <w:kinsoku/>
        <w:wordWrap/>
        <w:topLinePunct w:val="0"/>
        <w:bidi w:val="0"/>
        <w:snapToGrid/>
        <w:spacing w:line="540" w:lineRule="exact"/>
        <w:ind w:left="0" w:firstLine="560" w:firstLineChars="200"/>
        <w:jc w:val="center"/>
        <w:rPr>
          <w:rFonts w:hint="eastAsia" w:ascii="宋体" w:hAnsi="宋体" w:eastAsia="宋体" w:cs="宋体"/>
          <w:b/>
          <w:color w:val="auto"/>
          <w:sz w:val="28"/>
          <w:szCs w:val="28"/>
          <w:highlight w:val="none"/>
          <w:u w:val="single"/>
          <w:shd w:val="clear" w:color="auto" w:fill="auto"/>
        </w:rPr>
      </w:pPr>
      <w:permStart w:id="50" w:edGrp="everyone"/>
      <w:r>
        <w:rPr>
          <w:rFonts w:hint="eastAsia" w:ascii="宋体" w:hAnsi="宋体" w:eastAsia="宋体" w:cs="宋体"/>
          <w:color w:val="auto"/>
          <w:sz w:val="28"/>
          <w:szCs w:val="28"/>
          <w:highlight w:val="none"/>
          <w:shd w:val="clear" w:color="auto" w:fill="auto"/>
        </w:rPr>
        <w:t>XX资金计划                  金额单位：元</w:t>
      </w:r>
    </w:p>
    <w:tbl>
      <w:tblPr>
        <w:tblStyle w:val="45"/>
        <w:tblW w:w="8428" w:type="dxa"/>
        <w:tblInd w:w="0" w:type="dxa"/>
        <w:tblLayout w:type="fixed"/>
        <w:tblCellMar>
          <w:top w:w="0" w:type="dxa"/>
          <w:left w:w="28" w:type="dxa"/>
          <w:bottom w:w="0" w:type="dxa"/>
          <w:right w:w="28" w:type="dxa"/>
        </w:tblCellMar>
      </w:tblPr>
      <w:tblGrid>
        <w:gridCol w:w="538"/>
        <w:gridCol w:w="645"/>
        <w:gridCol w:w="1406"/>
        <w:gridCol w:w="1219"/>
        <w:gridCol w:w="1083"/>
        <w:gridCol w:w="1237"/>
        <w:gridCol w:w="860"/>
        <w:gridCol w:w="1440"/>
      </w:tblGrid>
      <w:tr w14:paraId="4726C2C4">
        <w:trPr>
          <w:cantSplit/>
        </w:trPr>
        <w:tc>
          <w:tcPr>
            <w:tcW w:w="538" w:type="dxa"/>
            <w:tcBorders>
              <w:top w:val="single" w:color="auto" w:sz="6" w:space="0"/>
              <w:left w:val="single" w:color="auto" w:sz="6" w:space="0"/>
              <w:bottom w:val="single" w:color="auto" w:sz="6" w:space="0"/>
              <w:right w:val="single" w:color="auto" w:sz="6" w:space="0"/>
            </w:tcBorders>
            <w:vAlign w:val="center"/>
          </w:tcPr>
          <w:p w14:paraId="1FAD6C84">
            <w:pPr>
              <w:pStyle w:val="92"/>
              <w:keepLines w:val="0"/>
              <w:pageBreakBefore w:val="0"/>
              <w:kinsoku/>
              <w:wordWrap/>
              <w:topLinePunct w:val="0"/>
              <w:autoSpaceDE w:val="0"/>
              <w:autoSpaceDN w:val="0"/>
              <w:bidi w:val="0"/>
              <w:snapToGrid/>
              <w:spacing w:line="540" w:lineRule="exact"/>
              <w:jc w:val="center"/>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年</w:t>
            </w:r>
          </w:p>
        </w:tc>
        <w:tc>
          <w:tcPr>
            <w:tcW w:w="645" w:type="dxa"/>
            <w:tcBorders>
              <w:top w:val="single" w:color="auto" w:sz="6" w:space="0"/>
              <w:left w:val="single" w:color="auto" w:sz="6" w:space="0"/>
              <w:bottom w:val="single" w:color="auto" w:sz="6" w:space="0"/>
              <w:right w:val="single" w:color="auto" w:sz="6" w:space="0"/>
            </w:tcBorders>
            <w:vAlign w:val="center"/>
          </w:tcPr>
          <w:p w14:paraId="53B66447">
            <w:pPr>
              <w:pStyle w:val="92"/>
              <w:keepLines w:val="0"/>
              <w:pageBreakBefore w:val="0"/>
              <w:kinsoku/>
              <w:wordWrap/>
              <w:topLinePunct w:val="0"/>
              <w:autoSpaceDE w:val="0"/>
              <w:autoSpaceDN w:val="0"/>
              <w:bidi w:val="0"/>
              <w:snapToGrid/>
              <w:spacing w:line="540" w:lineRule="exact"/>
              <w:jc w:val="center"/>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月</w:t>
            </w:r>
          </w:p>
        </w:tc>
        <w:tc>
          <w:tcPr>
            <w:tcW w:w="1406" w:type="dxa"/>
            <w:tcBorders>
              <w:top w:val="single" w:color="auto" w:sz="6" w:space="0"/>
              <w:left w:val="single" w:color="auto" w:sz="6" w:space="0"/>
              <w:bottom w:val="single" w:color="auto" w:sz="6" w:space="0"/>
              <w:right w:val="single" w:color="auto" w:sz="6" w:space="0"/>
            </w:tcBorders>
            <w:vAlign w:val="center"/>
          </w:tcPr>
          <w:p w14:paraId="16AFBB4A">
            <w:pPr>
              <w:pStyle w:val="92"/>
              <w:keepLines w:val="0"/>
              <w:pageBreakBefore w:val="0"/>
              <w:kinsoku/>
              <w:wordWrap/>
              <w:topLinePunct w:val="0"/>
              <w:autoSpaceDE w:val="0"/>
              <w:autoSpaceDN w:val="0"/>
              <w:bidi w:val="0"/>
              <w:snapToGrid/>
              <w:spacing w:line="540" w:lineRule="exact"/>
              <w:jc w:val="center"/>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工程预付款</w:t>
            </w:r>
          </w:p>
        </w:tc>
        <w:tc>
          <w:tcPr>
            <w:tcW w:w="1219" w:type="dxa"/>
            <w:tcBorders>
              <w:top w:val="single" w:color="auto" w:sz="6" w:space="0"/>
              <w:left w:val="single" w:color="auto" w:sz="6" w:space="0"/>
              <w:bottom w:val="single" w:color="auto" w:sz="6" w:space="0"/>
              <w:right w:val="single" w:color="auto" w:sz="6" w:space="0"/>
            </w:tcBorders>
            <w:vAlign w:val="center"/>
          </w:tcPr>
          <w:p w14:paraId="7D6D1302">
            <w:pPr>
              <w:pStyle w:val="92"/>
              <w:keepLines w:val="0"/>
              <w:pageBreakBefore w:val="0"/>
              <w:kinsoku/>
              <w:wordWrap/>
              <w:topLinePunct w:val="0"/>
              <w:autoSpaceDE w:val="0"/>
              <w:autoSpaceDN w:val="0"/>
              <w:bidi w:val="0"/>
              <w:snapToGrid/>
              <w:spacing w:line="540" w:lineRule="exact"/>
              <w:jc w:val="center"/>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完成工作量付款</w:t>
            </w:r>
          </w:p>
        </w:tc>
        <w:tc>
          <w:tcPr>
            <w:tcW w:w="1083" w:type="dxa"/>
            <w:tcBorders>
              <w:top w:val="single" w:color="auto" w:sz="6" w:space="0"/>
              <w:left w:val="single" w:color="auto" w:sz="6" w:space="0"/>
              <w:bottom w:val="single" w:color="auto" w:sz="6" w:space="0"/>
              <w:right w:val="single" w:color="auto" w:sz="6" w:space="0"/>
            </w:tcBorders>
            <w:vAlign w:val="center"/>
          </w:tcPr>
          <w:p w14:paraId="0A2B3CE4">
            <w:pPr>
              <w:pStyle w:val="92"/>
              <w:keepLines w:val="0"/>
              <w:pageBreakBefore w:val="0"/>
              <w:kinsoku/>
              <w:wordWrap/>
              <w:topLinePunct w:val="0"/>
              <w:autoSpaceDE w:val="0"/>
              <w:autoSpaceDN w:val="0"/>
              <w:bidi w:val="0"/>
              <w:snapToGrid/>
              <w:spacing w:line="540" w:lineRule="exact"/>
              <w:jc w:val="center"/>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保留金扣留</w:t>
            </w:r>
          </w:p>
        </w:tc>
        <w:tc>
          <w:tcPr>
            <w:tcW w:w="1237" w:type="dxa"/>
            <w:tcBorders>
              <w:top w:val="single" w:color="auto" w:sz="6" w:space="0"/>
              <w:left w:val="single" w:color="auto" w:sz="6" w:space="0"/>
              <w:bottom w:val="single" w:color="auto" w:sz="6" w:space="0"/>
              <w:right w:val="single" w:color="auto" w:sz="6" w:space="0"/>
            </w:tcBorders>
            <w:vAlign w:val="center"/>
          </w:tcPr>
          <w:p w14:paraId="3DDC1735">
            <w:pPr>
              <w:pStyle w:val="92"/>
              <w:keepLines w:val="0"/>
              <w:pageBreakBefore w:val="0"/>
              <w:kinsoku/>
              <w:wordWrap/>
              <w:topLinePunct w:val="0"/>
              <w:autoSpaceDE w:val="0"/>
              <w:autoSpaceDN w:val="0"/>
              <w:bidi w:val="0"/>
              <w:snapToGrid/>
              <w:spacing w:line="540" w:lineRule="exact"/>
              <w:jc w:val="center"/>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预付款扣还</w:t>
            </w:r>
          </w:p>
        </w:tc>
        <w:tc>
          <w:tcPr>
            <w:tcW w:w="860" w:type="dxa"/>
            <w:tcBorders>
              <w:top w:val="single" w:color="auto" w:sz="6" w:space="0"/>
              <w:left w:val="single" w:color="auto" w:sz="6" w:space="0"/>
              <w:bottom w:val="single" w:color="auto" w:sz="6" w:space="0"/>
              <w:right w:val="single" w:color="auto" w:sz="6" w:space="0"/>
            </w:tcBorders>
            <w:vAlign w:val="center"/>
          </w:tcPr>
          <w:p w14:paraId="7DBD51E1">
            <w:pPr>
              <w:pStyle w:val="92"/>
              <w:keepLines w:val="0"/>
              <w:pageBreakBefore w:val="0"/>
              <w:kinsoku/>
              <w:wordWrap/>
              <w:topLinePunct w:val="0"/>
              <w:autoSpaceDE w:val="0"/>
              <w:autoSpaceDN w:val="0"/>
              <w:bidi w:val="0"/>
              <w:snapToGrid/>
              <w:spacing w:line="540" w:lineRule="exact"/>
              <w:jc w:val="center"/>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其它</w:t>
            </w:r>
          </w:p>
        </w:tc>
        <w:tc>
          <w:tcPr>
            <w:tcW w:w="1440" w:type="dxa"/>
            <w:tcBorders>
              <w:top w:val="single" w:color="auto" w:sz="6" w:space="0"/>
              <w:left w:val="single" w:color="auto" w:sz="6" w:space="0"/>
              <w:bottom w:val="single" w:color="auto" w:sz="6" w:space="0"/>
              <w:right w:val="single" w:color="auto" w:sz="6" w:space="0"/>
            </w:tcBorders>
            <w:vAlign w:val="center"/>
          </w:tcPr>
          <w:p w14:paraId="04B9EE4A">
            <w:pPr>
              <w:pStyle w:val="92"/>
              <w:keepLines w:val="0"/>
              <w:pageBreakBefore w:val="0"/>
              <w:kinsoku/>
              <w:wordWrap/>
              <w:topLinePunct w:val="0"/>
              <w:autoSpaceDE w:val="0"/>
              <w:autoSpaceDN w:val="0"/>
              <w:bidi w:val="0"/>
              <w:snapToGrid/>
              <w:spacing w:line="540" w:lineRule="exact"/>
              <w:jc w:val="center"/>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应得付款</w:t>
            </w:r>
          </w:p>
        </w:tc>
      </w:tr>
      <w:tr w14:paraId="0CD7C608">
        <w:trPr>
          <w:cantSplit/>
        </w:trPr>
        <w:tc>
          <w:tcPr>
            <w:tcW w:w="538" w:type="dxa"/>
            <w:tcBorders>
              <w:top w:val="single" w:color="auto" w:sz="6" w:space="0"/>
              <w:left w:val="single" w:color="auto" w:sz="6" w:space="0"/>
              <w:bottom w:val="single" w:color="auto" w:sz="6" w:space="0"/>
              <w:right w:val="single" w:color="auto" w:sz="6" w:space="0"/>
            </w:tcBorders>
            <w:vAlign w:val="center"/>
          </w:tcPr>
          <w:p w14:paraId="425A6406">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645" w:type="dxa"/>
            <w:tcBorders>
              <w:top w:val="single" w:color="auto" w:sz="6" w:space="0"/>
              <w:left w:val="single" w:color="auto" w:sz="6" w:space="0"/>
              <w:bottom w:val="single" w:color="auto" w:sz="6" w:space="0"/>
              <w:right w:val="single" w:color="auto" w:sz="6" w:space="0"/>
            </w:tcBorders>
            <w:vAlign w:val="center"/>
          </w:tcPr>
          <w:p w14:paraId="5E0D7F0C">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406" w:type="dxa"/>
            <w:tcBorders>
              <w:top w:val="single" w:color="auto" w:sz="6" w:space="0"/>
              <w:left w:val="single" w:color="auto" w:sz="6" w:space="0"/>
              <w:bottom w:val="single" w:color="auto" w:sz="6" w:space="0"/>
              <w:right w:val="single" w:color="auto" w:sz="6" w:space="0"/>
            </w:tcBorders>
            <w:vAlign w:val="center"/>
          </w:tcPr>
          <w:p w14:paraId="417DCA4A">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219" w:type="dxa"/>
            <w:tcBorders>
              <w:top w:val="single" w:color="auto" w:sz="6" w:space="0"/>
              <w:left w:val="single" w:color="auto" w:sz="6" w:space="0"/>
              <w:bottom w:val="single" w:color="auto" w:sz="6" w:space="0"/>
              <w:right w:val="single" w:color="auto" w:sz="6" w:space="0"/>
            </w:tcBorders>
            <w:vAlign w:val="center"/>
          </w:tcPr>
          <w:p w14:paraId="36DD9D9A">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083" w:type="dxa"/>
            <w:tcBorders>
              <w:top w:val="single" w:color="auto" w:sz="6" w:space="0"/>
              <w:left w:val="single" w:color="auto" w:sz="6" w:space="0"/>
              <w:bottom w:val="single" w:color="auto" w:sz="6" w:space="0"/>
              <w:right w:val="single" w:color="auto" w:sz="6" w:space="0"/>
            </w:tcBorders>
            <w:vAlign w:val="center"/>
          </w:tcPr>
          <w:p w14:paraId="368D1949">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237" w:type="dxa"/>
            <w:tcBorders>
              <w:top w:val="single" w:color="auto" w:sz="6" w:space="0"/>
              <w:left w:val="single" w:color="auto" w:sz="6" w:space="0"/>
              <w:bottom w:val="single" w:color="auto" w:sz="6" w:space="0"/>
              <w:right w:val="single" w:color="auto" w:sz="6" w:space="0"/>
            </w:tcBorders>
            <w:vAlign w:val="center"/>
          </w:tcPr>
          <w:p w14:paraId="48D5BA4B">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860" w:type="dxa"/>
            <w:tcBorders>
              <w:top w:val="single" w:color="auto" w:sz="6" w:space="0"/>
              <w:left w:val="single" w:color="auto" w:sz="6" w:space="0"/>
              <w:bottom w:val="single" w:color="auto" w:sz="6" w:space="0"/>
              <w:right w:val="single" w:color="auto" w:sz="6" w:space="0"/>
            </w:tcBorders>
            <w:vAlign w:val="center"/>
          </w:tcPr>
          <w:p w14:paraId="6829AE20">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440" w:type="dxa"/>
            <w:tcBorders>
              <w:top w:val="single" w:color="auto" w:sz="6" w:space="0"/>
              <w:left w:val="single" w:color="auto" w:sz="6" w:space="0"/>
              <w:bottom w:val="single" w:color="auto" w:sz="6" w:space="0"/>
              <w:right w:val="single" w:color="auto" w:sz="6" w:space="0"/>
            </w:tcBorders>
            <w:vAlign w:val="center"/>
          </w:tcPr>
          <w:p w14:paraId="02211734">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r>
      <w:tr w14:paraId="7CF7A42E">
        <w:trPr>
          <w:cantSplit/>
        </w:trPr>
        <w:tc>
          <w:tcPr>
            <w:tcW w:w="538" w:type="dxa"/>
            <w:tcBorders>
              <w:top w:val="single" w:color="auto" w:sz="6" w:space="0"/>
              <w:left w:val="single" w:color="auto" w:sz="6" w:space="0"/>
              <w:bottom w:val="single" w:color="auto" w:sz="6" w:space="0"/>
              <w:right w:val="single" w:color="auto" w:sz="6" w:space="0"/>
            </w:tcBorders>
            <w:vAlign w:val="center"/>
          </w:tcPr>
          <w:p w14:paraId="2629DDEF">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645" w:type="dxa"/>
            <w:tcBorders>
              <w:top w:val="single" w:color="auto" w:sz="6" w:space="0"/>
              <w:left w:val="single" w:color="auto" w:sz="6" w:space="0"/>
              <w:bottom w:val="single" w:color="auto" w:sz="6" w:space="0"/>
              <w:right w:val="single" w:color="auto" w:sz="6" w:space="0"/>
            </w:tcBorders>
            <w:vAlign w:val="center"/>
          </w:tcPr>
          <w:p w14:paraId="7D7097A1">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406" w:type="dxa"/>
            <w:tcBorders>
              <w:top w:val="single" w:color="auto" w:sz="6" w:space="0"/>
              <w:left w:val="single" w:color="auto" w:sz="6" w:space="0"/>
              <w:bottom w:val="single" w:color="auto" w:sz="6" w:space="0"/>
              <w:right w:val="single" w:color="auto" w:sz="6" w:space="0"/>
            </w:tcBorders>
            <w:vAlign w:val="center"/>
          </w:tcPr>
          <w:p w14:paraId="3350C390">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219" w:type="dxa"/>
            <w:tcBorders>
              <w:top w:val="single" w:color="auto" w:sz="6" w:space="0"/>
              <w:left w:val="single" w:color="auto" w:sz="6" w:space="0"/>
              <w:bottom w:val="single" w:color="auto" w:sz="6" w:space="0"/>
              <w:right w:val="single" w:color="auto" w:sz="6" w:space="0"/>
            </w:tcBorders>
            <w:vAlign w:val="center"/>
          </w:tcPr>
          <w:p w14:paraId="2A759786">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083" w:type="dxa"/>
            <w:tcBorders>
              <w:top w:val="single" w:color="auto" w:sz="6" w:space="0"/>
              <w:left w:val="single" w:color="auto" w:sz="6" w:space="0"/>
              <w:bottom w:val="single" w:color="auto" w:sz="6" w:space="0"/>
              <w:right w:val="single" w:color="auto" w:sz="6" w:space="0"/>
            </w:tcBorders>
            <w:vAlign w:val="center"/>
          </w:tcPr>
          <w:p w14:paraId="13879707">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237" w:type="dxa"/>
            <w:tcBorders>
              <w:top w:val="single" w:color="auto" w:sz="6" w:space="0"/>
              <w:left w:val="single" w:color="auto" w:sz="6" w:space="0"/>
              <w:bottom w:val="single" w:color="auto" w:sz="6" w:space="0"/>
              <w:right w:val="single" w:color="auto" w:sz="6" w:space="0"/>
            </w:tcBorders>
            <w:vAlign w:val="center"/>
          </w:tcPr>
          <w:p w14:paraId="7E8A4B9C">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860" w:type="dxa"/>
            <w:tcBorders>
              <w:top w:val="single" w:color="auto" w:sz="6" w:space="0"/>
              <w:left w:val="single" w:color="auto" w:sz="6" w:space="0"/>
              <w:bottom w:val="single" w:color="auto" w:sz="6" w:space="0"/>
              <w:right w:val="single" w:color="auto" w:sz="6" w:space="0"/>
            </w:tcBorders>
            <w:vAlign w:val="center"/>
          </w:tcPr>
          <w:p w14:paraId="09CF43A4">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c>
          <w:tcPr>
            <w:tcW w:w="1440" w:type="dxa"/>
            <w:tcBorders>
              <w:top w:val="single" w:color="auto" w:sz="6" w:space="0"/>
              <w:left w:val="single" w:color="auto" w:sz="6" w:space="0"/>
              <w:bottom w:val="single" w:color="auto" w:sz="6" w:space="0"/>
              <w:right w:val="single" w:color="auto" w:sz="6" w:space="0"/>
            </w:tcBorders>
            <w:vAlign w:val="center"/>
          </w:tcPr>
          <w:p w14:paraId="7ED1D4C0">
            <w:pPr>
              <w:pStyle w:val="92"/>
              <w:keepNext/>
              <w:keepLines w:val="0"/>
              <w:pageBreakBefore w:val="0"/>
              <w:kinsoku/>
              <w:wordWrap/>
              <w:overflowPunct w:val="0"/>
              <w:topLinePunct w:val="0"/>
              <w:autoSpaceDE w:val="0"/>
              <w:autoSpaceDN w:val="0"/>
              <w:bidi w:val="0"/>
              <w:snapToGrid/>
              <w:spacing w:line="540" w:lineRule="exact"/>
              <w:ind w:left="0" w:firstLine="560" w:firstLineChars="200"/>
              <w:jc w:val="center"/>
              <w:textAlignment w:val="bottom"/>
              <w:outlineLvl w:val="0"/>
              <w:rPr>
                <w:rFonts w:hint="eastAsia" w:ascii="宋体" w:hAnsi="宋体" w:eastAsia="宋体" w:cs="宋体"/>
                <w:color w:val="auto"/>
                <w:sz w:val="28"/>
                <w:szCs w:val="28"/>
                <w:highlight w:val="none"/>
                <w:shd w:val="clear" w:color="auto" w:fill="auto"/>
              </w:rPr>
            </w:pPr>
          </w:p>
        </w:tc>
      </w:tr>
      <w:permEnd w:id="50"/>
    </w:tbl>
    <w:p w14:paraId="5BE3F898">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 开工和竣工</w:t>
      </w:r>
    </w:p>
    <w:p w14:paraId="082E577B">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 开工</w:t>
      </w:r>
    </w:p>
    <w:p w14:paraId="6FD5CF75">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11.1.1款修改为：监理人在认为条件具备时发出开工通知。监理人在发出开工通知前应获得发包人同意。工期自监理人发出的开工通知中载明的开工日期起计算。承包人应在开工日期后尽快施工。</w:t>
      </w:r>
    </w:p>
    <w:p w14:paraId="3550D1CD">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616B90B1">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11.1.3若发包人未能按合同约定向承包人提供开工的必要条件，承包人有权要求延长工期。监理人应在收到承包人的书面要求后，按第3.5款的约定，与合同双方商定或确定增加的费用和延长工的工期。</w:t>
      </w:r>
    </w:p>
    <w:p w14:paraId="1C9EEE66">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11.1.4承包人在接到开工通知后14天内未按进度计划要求及时进场组织施工，监理人可通知承包人在接到通知后7天内提交一份说明其进场延误的书面报告，提交监理人。书面报告应说明不能及时进场的原因和补救措施，由此增加的费用和工期延误责任由承包人承担。</w:t>
      </w:r>
    </w:p>
    <w:p w14:paraId="18C65351">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11.2 竣工</w:t>
      </w:r>
    </w:p>
    <w:p w14:paraId="08E97843">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b w:val="0"/>
          <w:i w:val="0"/>
          <w:iCs/>
          <w:color w:val="auto"/>
          <w:sz w:val="28"/>
          <w:szCs w:val="28"/>
          <w:highlight w:val="none"/>
          <w:shd w:val="clear" w:color="auto" w:fill="auto"/>
        </w:rPr>
      </w:pPr>
      <w:permStart w:id="51" w:edGrp="everyone"/>
      <w:r>
        <w:rPr>
          <w:rFonts w:hint="eastAsia" w:ascii="宋体" w:hAnsi="宋体" w:eastAsia="宋体" w:cs="宋体"/>
          <w:iCs/>
          <w:color w:val="auto"/>
          <w:sz w:val="28"/>
          <w:szCs w:val="28"/>
          <w:highlight w:val="none"/>
          <w:shd w:val="clear" w:color="auto" w:fill="auto"/>
        </w:rPr>
        <w:t>本项目总工期XXX，计划开工时间为</w:t>
      </w:r>
      <w:sdt>
        <w:sdtPr>
          <w:rPr>
            <w:rFonts w:hint="eastAsia" w:ascii="宋体" w:hAnsi="宋体" w:eastAsia="宋体" w:cs="宋体"/>
            <w:color w:val="auto"/>
            <w:kern w:val="2"/>
            <w:sz w:val="28"/>
            <w:szCs w:val="28"/>
            <w:highlight w:val="none"/>
            <w:shd w:val="clear" w:color="auto" w:fill="auto"/>
            <w:lang w:val="en-US" w:eastAsia="zh-CN" w:bidi="ar-SA"/>
          </w:rPr>
          <w:id w:val="147476205"/>
          <w:placeholder>
            <w:docPart w:val="{683fd770-20a0-4414-a723-d02b3fcd2612}"/>
          </w:placeholder>
          <w:date>
            <w:dateFormat w:val="yyyy/M/d"/>
            <w:lid w:val="zh-CN"/>
            <w:storeMappedDataAs w:val="datetime"/>
            <w:calendar w:val="gregorian"/>
          </w:date>
        </w:sdtPr>
        <w:sdtEndPr>
          <w:rPr>
            <w:rFonts w:hint="eastAsia" w:ascii="宋体" w:hAnsi="宋体" w:eastAsia="宋体" w:cs="宋体"/>
            <w:color w:val="auto"/>
            <w:kern w:val="2"/>
            <w:sz w:val="28"/>
            <w:szCs w:val="28"/>
            <w:highlight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sdtContent>
      </w:sdt>
      <w:r>
        <w:rPr>
          <w:rFonts w:hint="eastAsia" w:ascii="宋体" w:hAnsi="宋体" w:eastAsia="宋体" w:cs="宋体"/>
          <w:iCs/>
          <w:color w:val="auto"/>
          <w:sz w:val="28"/>
          <w:szCs w:val="28"/>
          <w:highlight w:val="none"/>
          <w:shd w:val="clear" w:color="auto" w:fill="auto"/>
        </w:rPr>
        <w:t>，</w:t>
      </w:r>
      <w:r>
        <w:rPr>
          <w:rFonts w:hint="eastAsia" w:ascii="宋体" w:hAnsi="宋体" w:eastAsia="宋体" w:cs="宋体"/>
          <w:iCs/>
          <w:color w:val="auto"/>
          <w:sz w:val="28"/>
          <w:szCs w:val="28"/>
          <w:highlight w:val="none"/>
          <w:shd w:val="clear" w:color="auto" w:fill="auto"/>
          <w:lang w:val="en-US" w:eastAsia="zh-CN"/>
        </w:rPr>
        <w:t>......</w:t>
      </w:r>
      <w:r>
        <w:rPr>
          <w:rFonts w:hint="eastAsia" w:ascii="宋体" w:hAnsi="宋体" w:eastAsia="宋体" w:cs="宋体"/>
          <w:iCs/>
          <w:color w:val="auto"/>
          <w:sz w:val="28"/>
          <w:szCs w:val="28"/>
          <w:highlight w:val="none"/>
          <w:shd w:val="clear" w:color="auto" w:fill="auto"/>
        </w:rPr>
        <w:t>，计划完工时间为</w:t>
      </w:r>
      <w:sdt>
        <w:sdtPr>
          <w:rPr>
            <w:rFonts w:hint="eastAsia" w:ascii="宋体" w:hAnsi="宋体" w:eastAsia="宋体" w:cs="宋体"/>
            <w:color w:val="auto"/>
            <w:kern w:val="2"/>
            <w:sz w:val="28"/>
            <w:szCs w:val="28"/>
            <w:highlight w:val="none"/>
            <w:shd w:val="clear" w:color="auto" w:fill="auto"/>
            <w:lang w:val="en-US" w:eastAsia="zh-CN" w:bidi="ar-SA"/>
          </w:rPr>
          <w:id w:val="160995087"/>
          <w:placeholder>
            <w:docPart w:val="{f1a213d1-8268-4df6-9d17-60e60ea46b1a}"/>
          </w:placeholder>
          <w:date>
            <w:dateFormat w:val="yyyy/M/d"/>
            <w:lid w:val="zh-CN"/>
            <w:storeMappedDataAs w:val="datetime"/>
            <w:calendar w:val="gregorian"/>
          </w:date>
        </w:sdtPr>
        <w:sdtEndPr>
          <w:rPr>
            <w:rFonts w:hint="eastAsia" w:ascii="宋体" w:hAnsi="宋体" w:eastAsia="宋体" w:cs="宋体"/>
            <w:color w:val="auto"/>
            <w:kern w:val="2"/>
            <w:sz w:val="28"/>
            <w:szCs w:val="28"/>
            <w:highlight w:val="non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日</w:t>
          </w:r>
          <w:permEnd w:id="51"/>
        </w:sdtContent>
      </w:sdt>
      <w:r>
        <w:rPr>
          <w:rFonts w:hint="eastAsia" w:ascii="宋体" w:hAnsi="宋体" w:eastAsia="宋体" w:cs="宋体"/>
          <w:b w:val="0"/>
          <w:i w:val="0"/>
          <w:iCs/>
          <w:color w:val="auto"/>
          <w:sz w:val="28"/>
          <w:szCs w:val="28"/>
          <w:highlight w:val="none"/>
          <w:shd w:val="clear" w:color="auto" w:fill="auto"/>
        </w:rPr>
        <w:t>。</w:t>
      </w:r>
    </w:p>
    <w:p w14:paraId="764F97F6">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11.3  发包人的工期延误</w:t>
      </w:r>
    </w:p>
    <w:p w14:paraId="15B1DA16">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补充：发生本款所述的发包人延误工期情况，承包人应采取措施尽量避免和减少损失，若造成项目施工进度计划关键线路上的工期拖延时，承包人可有权要求延长合同约定的工期，并按第10.2款的约定，修订合同进度计划。</w:t>
      </w:r>
    </w:p>
    <w:p w14:paraId="0F02166C">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11.4  异常恶劣的气候条件</w:t>
      </w:r>
    </w:p>
    <w:p w14:paraId="692799AA">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补充：异常恶劣气候条件的界定是以确保工程施工和人员的安全为前提，当工程所在地发生危及施工安全的异常恶劣气候时，发包人和承包人应按合同条款第12条的约定，及时采取暂停施工或部分暂停施工措施。异常恶劣气候条件解除后，承包人应及时安排复工。</w:t>
      </w:r>
    </w:p>
    <w:p w14:paraId="3DD7FCCD">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异常恶劣气候条件造成的工期延误和工程损坏，应由监理人参照合同条款第21.3款的约定共同协商处理。</w:t>
      </w:r>
    </w:p>
    <w:p w14:paraId="6AB4478C">
      <w:pPr>
        <w:pStyle w:val="271"/>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本合同工程“异常恶劣气候条件”的界定：</w:t>
      </w:r>
    </w:p>
    <w:p w14:paraId="1F8B433D">
      <w:pPr>
        <w:pStyle w:val="271"/>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（1）连续3小时降雨量大于100mm；</w:t>
      </w:r>
    </w:p>
    <w:p w14:paraId="31A1F9CA">
      <w:pPr>
        <w:pStyle w:val="271"/>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（2）风力为10级及以上的台风；</w:t>
      </w:r>
    </w:p>
    <w:p w14:paraId="59F0121F">
      <w:pPr>
        <w:pStyle w:val="271"/>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（3）日气温超过40℃。</w:t>
      </w:r>
    </w:p>
    <w:p w14:paraId="45EC6290">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11.5  承包人工期延误</w:t>
      </w:r>
    </w:p>
    <w:p w14:paraId="4829FC10">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iCs/>
          <w:color w:val="auto"/>
          <w:sz w:val="28"/>
          <w:szCs w:val="28"/>
          <w:highlight w:val="none"/>
          <w:shd w:val="clear" w:color="auto" w:fill="auto"/>
        </w:rPr>
      </w:pPr>
      <w:permStart w:id="52" w:edGrp="everyone"/>
      <w:r>
        <w:rPr>
          <w:rFonts w:hint="eastAsia" w:ascii="宋体" w:hAnsi="宋体" w:eastAsia="宋体" w:cs="宋体"/>
          <w:iCs/>
          <w:color w:val="auto"/>
          <w:sz w:val="28"/>
          <w:szCs w:val="28"/>
          <w:highlight w:val="none"/>
          <w:shd w:val="clear" w:color="auto" w:fill="auto"/>
        </w:rPr>
        <w:t>（根据各项目具体情况补充承</w:t>
      </w:r>
      <w:r>
        <w:rPr>
          <w:rFonts w:hint="eastAsia" w:ascii="宋体" w:hAnsi="宋体" w:eastAsia="宋体" w:cs="宋体"/>
          <w:iCs/>
          <w:color w:val="auto"/>
          <w:sz w:val="28"/>
          <w:szCs w:val="28"/>
          <w:highlight w:val="none"/>
          <w:shd w:val="clear" w:color="auto" w:fill="auto"/>
          <w:lang w:val="en-US" w:eastAsia="zh-CN"/>
        </w:rPr>
        <w:t>包</w:t>
      </w:r>
      <w:r>
        <w:rPr>
          <w:rFonts w:hint="eastAsia" w:ascii="宋体" w:hAnsi="宋体" w:eastAsia="宋体" w:cs="宋体"/>
          <w:iCs/>
          <w:color w:val="auto"/>
          <w:sz w:val="28"/>
          <w:szCs w:val="28"/>
          <w:highlight w:val="none"/>
          <w:shd w:val="clear" w:color="auto" w:fill="auto"/>
        </w:rPr>
        <w:t>人工期延误责任。）</w:t>
      </w:r>
      <w:permEnd w:id="52"/>
    </w:p>
    <w:p w14:paraId="27480FB5">
      <w:pPr>
        <w:pStyle w:val="112"/>
        <w:keepNext w:val="0"/>
        <w:keepLines w:val="0"/>
        <w:pageBreakBefore w:val="0"/>
        <w:kinsoku/>
        <w:wordWrap/>
        <w:overflowPunct/>
        <w:topLinePunct w:val="0"/>
        <w:bidi w:val="0"/>
        <w:snapToGrid/>
        <w:spacing w:before="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11.6工期提前</w:t>
      </w:r>
    </w:p>
    <w:p w14:paraId="672AE30B">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permStart w:id="53" w:edGrp="everyone"/>
      <w:r>
        <w:rPr>
          <w:rFonts w:hint="eastAsia" w:ascii="宋体" w:hAnsi="宋体" w:eastAsia="宋体" w:cs="宋体"/>
          <w:color w:val="auto"/>
          <w:sz w:val="28"/>
          <w:szCs w:val="28"/>
          <w:highlight w:val="none"/>
          <w:shd w:val="clear" w:color="auto" w:fill="auto"/>
        </w:rPr>
        <w:t>补充：本工程不设工期提前奖。</w:t>
      </w:r>
      <w:permEnd w:id="53"/>
    </w:p>
    <w:p w14:paraId="378354F6">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 暂停施工</w:t>
      </w:r>
    </w:p>
    <w:p w14:paraId="2A24E68E">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12.2  发包人暂停施工的责任</w:t>
      </w:r>
    </w:p>
    <w:p w14:paraId="576D5A0B">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补充：属于下列任何一种情况引起的暂停施工，均为发包人的责任：</w:t>
      </w:r>
    </w:p>
    <w:p w14:paraId="2489633F">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由于发包人违约引起的暂停施工。</w:t>
      </w:r>
    </w:p>
    <w:p w14:paraId="2AFAF1AE">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其他由于发包人原因引起的暂停施工。</w:t>
      </w:r>
    </w:p>
    <w:p w14:paraId="76A59CB0">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 工程质量</w:t>
      </w:r>
    </w:p>
    <w:p w14:paraId="06F6847A">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13.2  承包人的质量管理</w:t>
      </w:r>
    </w:p>
    <w:p w14:paraId="236FC85B">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13.2.1补充：承包人应在技术条款约定的期限提交工程质量保证措施文件，提交监理人审批。监理人应在技术条款约定的期限批复承包人。工程质量保证措施文件的编报内容见本合同招标文件技术条款。</w:t>
      </w:r>
    </w:p>
    <w:p w14:paraId="7E4AD27B">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51EC74D4">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13.2.3其他要求</w:t>
      </w:r>
    </w:p>
    <w:p w14:paraId="207FABD9">
      <w:pPr>
        <w:keepNext w:val="0"/>
        <w:keepLines w:val="0"/>
        <w:pageBreakBefore w:val="0"/>
        <w:kinsoku/>
        <w:wordWrap/>
        <w:overflowPunct/>
        <w:topLinePunct w:val="0"/>
        <w:bidi w:val="0"/>
        <w:snapToGrid/>
        <w:spacing w:line="540" w:lineRule="exact"/>
        <w:ind w:left="0" w:firstLine="560" w:firstLineChars="200"/>
        <w:rPr>
          <w:rFonts w:hint="eastAsia" w:ascii="宋体" w:hAnsi="宋体" w:eastAsia="宋体" w:cs="宋体"/>
          <w:b w:val="0"/>
          <w:i w:val="0"/>
          <w:iCs/>
          <w:color w:val="auto"/>
          <w:sz w:val="28"/>
          <w:szCs w:val="28"/>
          <w:highlight w:val="none"/>
          <w:shd w:val="clear" w:color="auto" w:fill="auto"/>
        </w:rPr>
      </w:pPr>
      <w:permStart w:id="54" w:edGrp="everyone"/>
      <w:r>
        <w:rPr>
          <w:rFonts w:hint="eastAsia" w:ascii="宋体" w:hAnsi="宋体" w:eastAsia="宋体" w:cs="宋体"/>
          <w:iCs/>
          <w:color w:val="auto"/>
          <w:sz w:val="28"/>
          <w:szCs w:val="28"/>
          <w:highlight w:val="none"/>
          <w:shd w:val="clear" w:color="auto" w:fill="auto"/>
        </w:rPr>
        <w:t>承包人除了严格遵守国家和行业相关规范外，还应严格遵守执行南方电网公司一体化质量管理的相关规定，并在施工中执行《中国南方电网有限责任公司基建工程质量控制标准（WHS）》，并按发包人要求编写《施工作业指导书》</w:t>
      </w:r>
      <w:permEnd w:id="54"/>
      <w:r>
        <w:rPr>
          <w:rFonts w:hint="eastAsia" w:ascii="宋体" w:hAnsi="宋体" w:eastAsia="宋体" w:cs="宋体"/>
          <w:b w:val="0"/>
          <w:i w:val="0"/>
          <w:iCs/>
          <w:color w:val="auto"/>
          <w:sz w:val="28"/>
          <w:szCs w:val="28"/>
          <w:highlight w:val="none"/>
          <w:shd w:val="clear" w:color="auto" w:fill="auto"/>
        </w:rPr>
        <w:t>。</w:t>
      </w:r>
    </w:p>
    <w:p w14:paraId="2D51521A">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15. 变更</w:t>
      </w:r>
    </w:p>
    <w:p w14:paraId="3ED27A70">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15.7  计日工</w:t>
      </w:r>
    </w:p>
    <w:p w14:paraId="2DC81AAD">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b w:val="0"/>
          <w:i w:val="0"/>
          <w:iCs/>
          <w:color w:val="auto"/>
          <w:sz w:val="28"/>
          <w:szCs w:val="28"/>
          <w:highlight w:val="none"/>
          <w:shd w:val="clear" w:color="auto" w:fill="auto"/>
          <w:lang w:val="en-US" w:eastAsia="zh-CN"/>
        </w:rPr>
      </w:pPr>
      <w:r>
        <w:rPr>
          <w:rFonts w:hint="eastAsia" w:ascii="宋体" w:hAnsi="宋体" w:eastAsia="宋体" w:cs="宋体"/>
          <w:b w:val="0"/>
          <w:i w:val="0"/>
          <w:iCs/>
          <w:color w:val="auto"/>
          <w:sz w:val="28"/>
          <w:szCs w:val="28"/>
          <w:highlight w:val="none"/>
          <w:shd w:val="clear" w:color="auto" w:fill="auto"/>
          <w:lang w:val="en-US" w:eastAsia="zh-CN"/>
        </w:rPr>
        <w:t>15.7.1修改为：发包人认为有必要时，由监理人通知承包人以计日工方式实施变更的零星工作。</w:t>
      </w:r>
      <w:permStart w:id="55" w:edGrp="everyone"/>
      <w:r>
        <w:rPr>
          <w:rFonts w:hint="eastAsia" w:ascii="宋体" w:hAnsi="宋体" w:eastAsia="宋体" w:cs="宋体"/>
          <w:b w:val="0"/>
          <w:i w:val="0"/>
          <w:iCs/>
          <w:color w:val="auto"/>
          <w:sz w:val="28"/>
          <w:szCs w:val="28"/>
          <w:highlight w:val="none"/>
          <w:shd w:val="clear" w:color="auto" w:fill="auto"/>
          <w:lang w:val="en-US" w:eastAsia="zh-CN"/>
        </w:rPr>
        <w:t>计日工人工单价执行工程所在地省会城市建设工程造价管理站发布的投标基准期相应（或相近）工种劳务日工资标准，并计取管理费、利润及税费，其中管理费10%，利润、税率和投标保持一致。计日工机械台时费单价采用投标报价中相应的机械台时费，并计取管理费、利润及税费，其中管理费10%，利润、税率和投标保持一致。计日工材料单价采用投标材料预算单价，并计取管理费、利润及税费，其中管理费10%，利润、税率和投标保持一致，材料预算价格超过《水电工程费用构成及概（估）算费用标准》中规定材料最高限额价格时，按照最高限额价格计取管理费、利润及税费。计日工人工、机械、材料均不调差，若投标人认为上述价格有不足部分，则在投标报价中统筹考虑，发包人不再支付其他费用。</w:t>
      </w:r>
      <w:permEnd w:id="55"/>
    </w:p>
    <w:p w14:paraId="2CDA8098">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16. 价格调整</w:t>
      </w:r>
    </w:p>
    <w:p w14:paraId="65C2E3D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删除第16.1条款，并代之为：</w:t>
      </w:r>
    </w:p>
    <w:p w14:paraId="212B3B29">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16.1  物价波动引起的价格调整</w:t>
      </w:r>
    </w:p>
    <w:p w14:paraId="3B523EDE">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删除第16.1条款，并代之为：</w:t>
      </w:r>
    </w:p>
    <w:p w14:paraId="2A2BA1D9">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由于物价波动引起的价格调整，本合同对以下主要材料和人工价格，按以下方式进行调差：</w:t>
      </w:r>
    </w:p>
    <w:p w14:paraId="72F0B820">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permStart w:id="56" w:edGrp="everyone"/>
      <w:r>
        <w:rPr>
          <w:rFonts w:hint="eastAsia" w:ascii="宋体" w:hAnsi="宋体" w:eastAsia="宋体" w:cs="宋体"/>
          <w:iCs/>
          <w:color w:val="auto"/>
          <w:sz w:val="28"/>
          <w:szCs w:val="28"/>
          <w:highlight w:val="none"/>
          <w:shd w:val="clear" w:color="auto" w:fill="auto"/>
        </w:rPr>
        <w:t>（1）材料：可调差的材料为钢筋、水泥、砂石料，每季度调差一次，其他材料不调差。</w:t>
      </w:r>
    </w:p>
    <w:p w14:paraId="0B6D29D7">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a）钢筋、水泥、砂料调差公式为：</w:t>
      </w:r>
    </w:p>
    <w:p w14:paraId="2143AF09">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按合同条款5.1条规定供应前：</w:t>
      </w:r>
    </w:p>
    <w:p w14:paraId="5147FFD5">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价差=当期完成的项目工程量×项目单价分析表中该材料含量（需经发包人审核确认）×（当期该材料的广州市、XX市建设工程价格信息价平均值（税前）－20XX年第XX季度该材料的广州市、XX市建设工程价格信息价平均值（税前）</w:t>
      </w:r>
    </w:p>
    <w:p w14:paraId="141AFE9C">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按合同条款5.1条规定供应后：</w:t>
      </w:r>
    </w:p>
    <w:p w14:paraId="5C202C90">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价差=当期完成的项目工程量×项目单价分析表中该材料含量（需经发包人审核确认）×当期依据供应合同计算的该材料单价价差调整额（税前）</w:t>
      </w:r>
    </w:p>
    <w:p w14:paraId="20AAA3F4">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b）其他：</w:t>
      </w:r>
    </w:p>
    <w:p w14:paraId="6FCA3626">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其他未规定调差的主要材料，若因价格变化较大、政府出台相关文件允许调差的，按政府相关文件执行。</w:t>
      </w:r>
    </w:p>
    <w:p w14:paraId="40CB007D">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（2）人工：</w:t>
      </w:r>
    </w:p>
    <w:p w14:paraId="0C5384BC">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价差=当期完成的项目工程量×项目单价分析表中人工工日含量（需经发包人审核确认）×（当期广州市、XX市建设工程综合工日信息价平均值（税前）－20XX年第XX季度广州市、XX市建设工程综合工日价格信息价平均值（税前）</w:t>
      </w:r>
    </w:p>
    <w:permEnd w:id="56"/>
    <w:p w14:paraId="636A82FC">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 计量与支付</w:t>
      </w:r>
    </w:p>
    <w:p w14:paraId="1E88D833">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  计量</w:t>
      </w:r>
    </w:p>
    <w:p w14:paraId="37B8F28A">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17.1.2计量方法</w:t>
      </w:r>
    </w:p>
    <w:p w14:paraId="1973DA3D">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修改为：</w:t>
      </w:r>
    </w:p>
    <w:p w14:paraId="269EAA8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(1)合同工程量清单中的工程量计算规则应遵守本行业的工程量计算规范,工程量清单项目的计价规则应与本合同技术条款载明的项目实物标准相对应。</w:t>
      </w:r>
    </w:p>
    <w:p w14:paraId="3E86645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(2)合同工程量清单中，各专业工程项目的计量单位、计价规则和项目实物标准在本合同技术条款各章中规定。</w:t>
      </w:r>
    </w:p>
    <w:p w14:paraId="6CE03AB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17.1.5总价子目的计量</w:t>
      </w:r>
    </w:p>
    <w:p w14:paraId="6C31B25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17.1.5项第（2）目修改为：</w:t>
      </w:r>
    </w:p>
    <w:p w14:paraId="5C2EC112">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承包人应将工程量清单中的各总价子目进行分解，并在签订协议书后的28天内将各子目的总价支付分解表提交监理人审批。分解表应标明其所属子目和分阶段需支付的金额。承包人应按批准的各总价子目周期内，对已完成的总价子目进行计量，确定分项的应付金额列入进度付款申请单中。</w:t>
      </w:r>
    </w:p>
    <w:p w14:paraId="68F213E1">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17.2  预付款</w:t>
      </w:r>
    </w:p>
    <w:p w14:paraId="3D40B08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17.2.1预付款</w:t>
      </w:r>
    </w:p>
    <w:p w14:paraId="552DAC7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增加内容：</w:t>
      </w:r>
    </w:p>
    <w:p w14:paraId="3135F7C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预付款的额度和预付办法：</w:t>
      </w:r>
    </w:p>
    <w:p w14:paraId="59A66F15">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工程预付款的总金额为</w:t>
      </w:r>
      <w:r>
        <w:rPr>
          <w:rFonts w:hint="eastAsia" w:ascii="宋体" w:hAnsi="宋体" w:eastAsia="宋体" w:cs="宋体"/>
          <w:iCs/>
          <w:color w:val="auto"/>
          <w:sz w:val="28"/>
          <w:szCs w:val="28"/>
          <w:highlight w:val="none"/>
          <w:shd w:val="clear" w:color="auto" w:fill="auto"/>
          <w:lang w:val="en-US" w:eastAsia="zh-CN"/>
        </w:rPr>
        <w:t>合同</w:t>
      </w:r>
      <w:r>
        <w:rPr>
          <w:rFonts w:hint="eastAsia" w:hAnsi="宋体" w:cs="宋体"/>
          <w:iCs/>
          <w:color w:val="auto"/>
          <w:sz w:val="28"/>
          <w:szCs w:val="28"/>
          <w:highlight w:val="none"/>
          <w:shd w:val="clear" w:color="auto" w:fill="auto"/>
          <w:lang w:val="en-US" w:eastAsia="zh-CN"/>
        </w:rPr>
        <w:t>预计</w:t>
      </w:r>
      <w:r>
        <w:rPr>
          <w:rFonts w:hint="eastAsia" w:ascii="宋体" w:hAnsi="宋体" w:eastAsia="宋体" w:cs="宋体"/>
          <w:iCs/>
          <w:color w:val="auto"/>
          <w:sz w:val="28"/>
          <w:szCs w:val="28"/>
          <w:highlight w:val="none"/>
          <w:shd w:val="clear" w:color="auto" w:fill="auto"/>
          <w:lang w:val="en-US" w:eastAsia="zh-CN"/>
        </w:rPr>
        <w:t>总价的</w:t>
      </w:r>
      <w:permStart w:id="57" w:edGrp="everyone"/>
      <w:r>
        <w:rPr>
          <w:rFonts w:hint="eastAsia" w:ascii="宋体" w:hAnsi="宋体" w:eastAsia="宋体" w:cs="宋体"/>
          <w:iCs/>
          <w:color w:val="auto"/>
          <w:sz w:val="28"/>
          <w:szCs w:val="28"/>
          <w:highlight w:val="none"/>
          <w:u w:val="single"/>
          <w:shd w:val="clear" w:color="auto" w:fill="auto"/>
          <w:lang w:val="en-US" w:eastAsia="zh-CN"/>
        </w:rPr>
        <w:t xml:space="preserve">    </w:t>
      </w:r>
      <w:permEnd w:id="57"/>
      <w:r>
        <w:rPr>
          <w:rFonts w:hint="eastAsia" w:ascii="宋体" w:hAnsi="宋体" w:eastAsia="宋体" w:cs="宋体"/>
          <w:iCs/>
          <w:color w:val="auto"/>
          <w:sz w:val="28"/>
          <w:szCs w:val="28"/>
          <w:highlight w:val="none"/>
          <w:shd w:val="clear" w:color="auto" w:fill="auto"/>
          <w:lang w:val="en-US" w:eastAsia="zh-CN"/>
        </w:rPr>
        <w:t>%</w:t>
      </w:r>
      <w:r>
        <w:rPr>
          <w:rFonts w:hint="eastAsia" w:ascii="宋体" w:hAnsi="宋体" w:eastAsia="宋体" w:cs="宋体"/>
          <w:iCs/>
          <w:color w:val="auto"/>
          <w:sz w:val="28"/>
          <w:szCs w:val="28"/>
          <w:highlight w:val="none"/>
          <w:shd w:val="clear" w:color="auto" w:fill="auto"/>
        </w:rPr>
        <w:t>，一次支付给承包人。</w:t>
      </w:r>
    </w:p>
    <w:p w14:paraId="02E8972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付款时间为：</w:t>
      </w:r>
    </w:p>
    <w:p w14:paraId="2E24834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付款时间应在合同协议书签订后，由承包人向发包人提交了发包人认可的银行出具的工程预付款保函，并经监理人出具付款证书报送发包人批准后30天内予以支付。</w:t>
      </w:r>
    </w:p>
    <w:p w14:paraId="595E782A">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17.2.2预付款保函</w:t>
      </w:r>
    </w:p>
    <w:p w14:paraId="6E92326A">
      <w:pPr>
        <w:pStyle w:val="271"/>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修改为：</w:t>
      </w:r>
    </w:p>
    <w:p w14:paraId="0A3A534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 w:val="0"/>
          <w:iCs w:val="0"/>
          <w:color w:val="auto"/>
          <w:sz w:val="28"/>
          <w:szCs w:val="28"/>
          <w:highlight w:val="none"/>
          <w:shd w:val="clear" w:color="auto" w:fill="auto"/>
        </w:rPr>
      </w:pPr>
      <w:permStart w:id="58" w:edGrp="everyone"/>
      <w:r>
        <w:rPr>
          <w:rFonts w:hint="eastAsia" w:ascii="宋体" w:hAnsi="宋体" w:eastAsia="宋体" w:cs="宋体"/>
          <w:i w:val="0"/>
          <w:iCs w:val="0"/>
          <w:color w:val="auto"/>
          <w:sz w:val="28"/>
          <w:szCs w:val="28"/>
          <w:highlight w:val="none"/>
          <w:shd w:val="clear" w:color="auto" w:fill="auto"/>
        </w:rPr>
        <w:t>工程材料预付款已包括在工程预付款内，不另支付材料预付款。</w:t>
      </w:r>
      <w:permEnd w:id="58"/>
    </w:p>
    <w:p w14:paraId="5BD22407">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 w:val="0"/>
          <w:iCs w:val="0"/>
          <w:color w:val="auto"/>
          <w:sz w:val="28"/>
          <w:szCs w:val="28"/>
          <w:highlight w:val="none"/>
          <w:shd w:val="clear" w:color="auto" w:fill="auto"/>
        </w:rPr>
      </w:pPr>
      <w:r>
        <w:rPr>
          <w:rFonts w:hint="eastAsia" w:ascii="宋体" w:hAnsi="宋体" w:eastAsia="宋体" w:cs="宋体"/>
          <w:i w:val="0"/>
          <w:iCs w:val="0"/>
          <w:color w:val="auto"/>
          <w:sz w:val="28"/>
          <w:szCs w:val="28"/>
          <w:highlight w:val="none"/>
          <w:shd w:val="clear" w:color="auto" w:fill="auto"/>
        </w:rPr>
        <w:t>承包人应在申请第一次预付款时，向发包人提交发包人认可的无条件、不可撤销的见索即付型预付款保函（保险保函/银行保函），预付款保函的担保金额应与预付款金额相同。工程预付款保函在预付款被发包人扣回前一直有效。</w:t>
      </w:r>
    </w:p>
    <w:p w14:paraId="017EC26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17.2.3预付款的扣回与还清</w:t>
      </w:r>
    </w:p>
    <w:p w14:paraId="5BCAAD35">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 w:val="0"/>
          <w:iCs w:val="0"/>
          <w:color w:val="auto"/>
          <w:sz w:val="28"/>
          <w:szCs w:val="28"/>
          <w:highlight w:val="none"/>
          <w:shd w:val="clear" w:color="auto" w:fill="auto"/>
        </w:rPr>
      </w:pPr>
      <w:r>
        <w:rPr>
          <w:rFonts w:hint="eastAsia" w:ascii="宋体" w:hAnsi="宋体" w:eastAsia="宋体" w:cs="宋体"/>
          <w:i w:val="0"/>
          <w:iCs w:val="0"/>
          <w:color w:val="auto"/>
          <w:sz w:val="28"/>
          <w:szCs w:val="28"/>
          <w:highlight w:val="none"/>
          <w:shd w:val="clear" w:color="auto" w:fill="auto"/>
        </w:rPr>
        <w:t>工程预付款由发包人从进度付款中扣回。在合同累计完成金额达到合同价格的</w:t>
      </w:r>
      <w:permStart w:id="59" w:edGrp="everyone"/>
      <w:r>
        <w:rPr>
          <w:rFonts w:hint="eastAsia" w:ascii="宋体" w:hAnsi="宋体" w:eastAsia="宋体" w:cs="宋体"/>
          <w:i w:val="0"/>
          <w:iCs w:val="0"/>
          <w:color w:val="auto"/>
          <w:sz w:val="28"/>
          <w:szCs w:val="28"/>
          <w:highlight w:val="none"/>
          <w:shd w:val="clear" w:color="auto" w:fill="auto"/>
        </w:rPr>
        <w:t>30 %</w:t>
      </w:r>
      <w:permEnd w:id="59"/>
      <w:r>
        <w:rPr>
          <w:rFonts w:hint="eastAsia" w:ascii="宋体" w:hAnsi="宋体" w:eastAsia="宋体" w:cs="宋体"/>
          <w:i w:val="0"/>
          <w:iCs w:val="0"/>
          <w:color w:val="auto"/>
          <w:sz w:val="28"/>
          <w:szCs w:val="28"/>
          <w:highlight w:val="none"/>
          <w:shd w:val="clear" w:color="auto" w:fill="auto"/>
        </w:rPr>
        <w:t>时开始扣款，直至合同累计完成金额达到合同价格的</w:t>
      </w:r>
      <w:permStart w:id="60" w:edGrp="everyone"/>
      <w:r>
        <w:rPr>
          <w:rFonts w:hint="eastAsia" w:ascii="宋体" w:hAnsi="宋体" w:eastAsia="宋体" w:cs="宋体"/>
          <w:i w:val="0"/>
          <w:iCs w:val="0"/>
          <w:color w:val="auto"/>
          <w:sz w:val="28"/>
          <w:szCs w:val="28"/>
          <w:highlight w:val="none"/>
          <w:shd w:val="clear" w:color="auto" w:fill="auto"/>
        </w:rPr>
        <w:t xml:space="preserve"> 80</w:t>
      </w:r>
      <w:r>
        <w:rPr>
          <w:rFonts w:hint="eastAsia" w:ascii="宋体" w:hAnsi="宋体" w:eastAsia="宋体" w:cs="宋体"/>
          <w:i w:val="0"/>
          <w:iCs w:val="0"/>
          <w:color w:val="auto"/>
          <w:sz w:val="28"/>
          <w:szCs w:val="28"/>
          <w:highlight w:val="none"/>
          <w:shd w:val="clear" w:color="auto" w:fill="auto"/>
          <w:lang w:val="en-US" w:eastAsia="zh-CN"/>
        </w:rPr>
        <w:t>%</w:t>
      </w:r>
      <w:permEnd w:id="60"/>
      <w:r>
        <w:rPr>
          <w:rFonts w:hint="eastAsia" w:ascii="宋体" w:hAnsi="宋体" w:eastAsia="宋体" w:cs="宋体"/>
          <w:i w:val="0"/>
          <w:iCs w:val="0"/>
          <w:color w:val="auto"/>
          <w:sz w:val="28"/>
          <w:szCs w:val="28"/>
          <w:highlight w:val="none"/>
          <w:shd w:val="clear" w:color="auto" w:fill="auto"/>
        </w:rPr>
        <w:t>%时全部扣清（合同累计完成金额指实际完成工程量，不含预付款）。在每次进度付款时，扣回的金额按下列公式计算：</w:t>
      </w:r>
    </w:p>
    <w:p w14:paraId="5FCC9AE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 w:val="0"/>
          <w:iCs w:val="0"/>
          <w:color w:val="auto"/>
          <w:sz w:val="28"/>
          <w:szCs w:val="28"/>
          <w:highlight w:val="none"/>
          <w:shd w:val="clear" w:color="auto" w:fill="auto"/>
        </w:rPr>
      </w:pPr>
      <w:r>
        <w:rPr>
          <w:rFonts w:hint="eastAsia" w:ascii="宋体" w:hAnsi="宋体" w:eastAsia="宋体" w:cs="宋体"/>
          <w:i w:val="0"/>
          <w:iCs w:val="0"/>
          <w:color w:val="auto"/>
          <w:sz w:val="28"/>
          <w:szCs w:val="28"/>
          <w:highlight w:val="none"/>
          <w:shd w:val="clear" w:color="auto" w:fill="auto"/>
        </w:rPr>
        <w:t xml:space="preserve">每次扣回的金额=预付款总额×2×当月完成金额/合同价格 </w:t>
      </w:r>
    </w:p>
    <w:p w14:paraId="2458A6A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 w:val="0"/>
          <w:iCs w:val="0"/>
          <w:color w:val="auto"/>
          <w:sz w:val="28"/>
          <w:szCs w:val="28"/>
          <w:highlight w:val="none"/>
          <w:shd w:val="clear" w:color="auto" w:fill="auto"/>
        </w:rPr>
      </w:pPr>
      <w:r>
        <w:rPr>
          <w:rFonts w:hint="eastAsia" w:ascii="宋体" w:hAnsi="宋体" w:eastAsia="宋体" w:cs="宋体"/>
          <w:i w:val="0"/>
          <w:iCs w:val="0"/>
          <w:color w:val="auto"/>
          <w:sz w:val="28"/>
          <w:szCs w:val="28"/>
          <w:highlight w:val="none"/>
          <w:shd w:val="clear" w:color="auto" w:fill="auto"/>
        </w:rPr>
        <w:t>首次扣回时按合同累计完成金额（含本次完成额）超出合同价格30%的部分进行计算。</w:t>
      </w:r>
    </w:p>
    <w:p w14:paraId="777FBC7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17.2.4工程材料预付款</w:t>
      </w:r>
    </w:p>
    <w:p w14:paraId="311E433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 w:val="0"/>
          <w:iCs w:val="0"/>
          <w:color w:val="auto"/>
          <w:sz w:val="28"/>
          <w:szCs w:val="28"/>
          <w:highlight w:val="none"/>
          <w:shd w:val="clear" w:color="auto" w:fill="auto"/>
        </w:rPr>
      </w:pPr>
      <w:permStart w:id="61" w:edGrp="everyone"/>
      <w:r>
        <w:rPr>
          <w:rFonts w:hint="eastAsia" w:ascii="宋体" w:hAnsi="宋体" w:eastAsia="宋体" w:cs="宋体"/>
          <w:i w:val="0"/>
          <w:iCs w:val="0"/>
          <w:color w:val="auto"/>
          <w:sz w:val="28"/>
          <w:szCs w:val="28"/>
          <w:highlight w:val="none"/>
          <w:shd w:val="clear" w:color="auto" w:fill="auto"/>
        </w:rPr>
        <w:t>工程材料预付款已包括在工程预付款内，不另支付材料预付款。</w:t>
      </w:r>
      <w:permEnd w:id="61"/>
    </w:p>
    <w:p w14:paraId="137B094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 w:val="0"/>
          <w:iCs w:val="0"/>
          <w:color w:val="auto"/>
          <w:sz w:val="28"/>
          <w:szCs w:val="28"/>
          <w:highlight w:val="none"/>
          <w:shd w:val="clear" w:color="auto" w:fill="auto"/>
          <w:lang w:val="en-US" w:eastAsia="zh-CN"/>
        </w:rPr>
      </w:pPr>
      <w:r>
        <w:rPr>
          <w:rFonts w:hint="eastAsia" w:ascii="宋体" w:hAnsi="宋体" w:eastAsia="宋体" w:cs="宋体"/>
          <w:i w:val="0"/>
          <w:iCs w:val="0"/>
          <w:color w:val="auto"/>
          <w:sz w:val="28"/>
          <w:szCs w:val="28"/>
          <w:highlight w:val="none"/>
          <w:shd w:val="clear" w:color="auto" w:fill="auto"/>
          <w:lang w:val="en-US" w:eastAsia="zh-CN"/>
        </w:rPr>
        <w:t>17.2.5施工安全措施费预付款</w:t>
      </w:r>
    </w:p>
    <w:p w14:paraId="6254CE2C">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i w:val="0"/>
          <w:iCs w:val="0"/>
          <w:color w:val="auto"/>
          <w:sz w:val="28"/>
          <w:szCs w:val="28"/>
          <w:highlight w:val="none"/>
          <w:shd w:val="clear" w:color="auto" w:fill="auto"/>
          <w:lang w:val="en-US" w:eastAsia="zh-CN"/>
        </w:rPr>
      </w:pPr>
      <w:permStart w:id="62" w:edGrp="everyone"/>
      <w:r>
        <w:rPr>
          <w:rFonts w:hint="eastAsia" w:ascii="宋体" w:hAnsi="宋体" w:eastAsia="宋体" w:cs="宋体"/>
          <w:i w:val="0"/>
          <w:iCs w:val="0"/>
          <w:color w:val="auto"/>
          <w:sz w:val="28"/>
          <w:szCs w:val="28"/>
          <w:highlight w:val="none"/>
          <w:shd w:val="clear" w:color="auto" w:fill="auto"/>
          <w:lang w:val="en-US" w:eastAsia="zh-CN"/>
        </w:rPr>
        <w:t>施工安全措施费预付款已包括在工程预付款内，不另支付施工安全措施费预付款。</w:t>
      </w:r>
    </w:p>
    <w:permEnd w:id="62"/>
    <w:p w14:paraId="6DDAF1F9">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  工程进度付款</w:t>
      </w:r>
    </w:p>
    <w:p w14:paraId="0CC0D1E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17.3.2进度付款申请单</w:t>
      </w:r>
    </w:p>
    <w:p w14:paraId="4CBE63D9">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删除本款全文，并代之：</w:t>
      </w:r>
    </w:p>
    <w:p w14:paraId="506910A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permStart w:id="63" w:edGrp="everyone"/>
      <w:r>
        <w:rPr>
          <w:rFonts w:hint="eastAsia" w:ascii="宋体" w:hAnsi="宋体" w:eastAsia="宋体" w:cs="宋体"/>
          <w:color w:val="auto"/>
          <w:sz w:val="28"/>
          <w:szCs w:val="28"/>
          <w:highlight w:val="none"/>
          <w:shd w:val="clear" w:color="auto" w:fill="auto"/>
        </w:rPr>
        <w:t>承包人应在每月12日前按本合同约定的格式向监理人提交月进度付款申请单（一式6份），并附有相应的支持性证明文件。</w:t>
      </w:r>
    </w:p>
    <w:permEnd w:id="63"/>
    <w:p w14:paraId="45F87F77">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进度付款申请单应包括以下内容：</w:t>
      </w:r>
    </w:p>
    <w:p w14:paraId="53ED53E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(1)已完成的《工程量清单》中的工程项目及其它项目的应付金额。</w:t>
      </w:r>
    </w:p>
    <w:p w14:paraId="44DDC433">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(2)经监理人签认的当月计日工支付凭证标明的应付金额。</w:t>
      </w:r>
    </w:p>
    <w:p w14:paraId="2270B177">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(3)根据第16款约定的价格调整金额。</w:t>
      </w:r>
    </w:p>
    <w:p w14:paraId="51BC6A06">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(4)扣除按第17.2款约定应由发包人扣还的工程预付款金额。</w:t>
      </w:r>
    </w:p>
    <w:p w14:paraId="6B80FDB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(5)扣除按第17.4款约定应由发包人扣留的保留金金额。</w:t>
      </w:r>
    </w:p>
    <w:p w14:paraId="1AE8F4BA">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(6)根据合同约定承包人应有权得到的其它金额。</w:t>
      </w:r>
    </w:p>
    <w:p w14:paraId="3F64382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(7)扣除按合同约定应由承包人付给发包人的其它金额。</w:t>
      </w:r>
    </w:p>
    <w:p w14:paraId="23CA407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(8)承包人需提供增值税专用发票。</w:t>
      </w:r>
    </w:p>
    <w:p w14:paraId="09898335">
      <w:pPr>
        <w:pStyle w:val="92"/>
        <w:keepNext w:val="0"/>
        <w:keepLines w:val="0"/>
        <w:pageBreakBefore w:val="0"/>
        <w:kinsoku/>
        <w:wordWrap/>
        <w:overflowPunct/>
        <w:topLinePunct w:val="0"/>
        <w:autoSpaceDE w:val="0"/>
        <w:autoSpaceDN w:val="0"/>
        <w:bidi w:val="0"/>
        <w:snapToGrid/>
        <w:spacing w:line="540" w:lineRule="exact"/>
        <w:ind w:left="0" w:leftChars="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(9)承包人需提供上月农民工工资支付情况说明，并附上相应的银行代发工资凭证。</w:t>
      </w:r>
    </w:p>
    <w:p w14:paraId="54479D5B">
      <w:pPr>
        <w:pStyle w:val="92"/>
        <w:keepNext w:val="0"/>
        <w:keepLines w:val="0"/>
        <w:pageBreakBefore w:val="0"/>
        <w:kinsoku/>
        <w:wordWrap/>
        <w:overflowPunct/>
        <w:topLinePunct w:val="0"/>
        <w:autoSpaceDE w:val="0"/>
        <w:autoSpaceDN w:val="0"/>
        <w:bidi w:val="0"/>
        <w:snapToGrid/>
        <w:spacing w:line="540" w:lineRule="exact"/>
        <w:ind w:left="0" w:leftChars="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(10)承包人需在农民工工资支付情况说明中列明当月预计发生的人工费用。</w:t>
      </w:r>
    </w:p>
    <w:p w14:paraId="2BB1BBD3">
      <w:pPr>
        <w:pStyle w:val="92"/>
        <w:keepNext w:val="0"/>
        <w:keepLines w:val="0"/>
        <w:pageBreakBefore w:val="0"/>
        <w:kinsoku/>
        <w:wordWrap/>
        <w:overflowPunct/>
        <w:topLinePunct w:val="0"/>
        <w:autoSpaceDE w:val="0"/>
        <w:autoSpaceDN w:val="0"/>
        <w:bidi w:val="0"/>
        <w:snapToGrid/>
        <w:spacing w:line="540" w:lineRule="exact"/>
        <w:ind w:left="0" w:leftChars="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17.3.3进度付款证书和支付时间</w:t>
      </w:r>
    </w:p>
    <w:p w14:paraId="0C27635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17.3.3进度付款证书和支付时间</w:t>
      </w:r>
    </w:p>
    <w:p w14:paraId="6356A8F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17.3.3项（2）目，删去本条全文，并代之以：</w:t>
      </w:r>
    </w:p>
    <w:p w14:paraId="53CFF256">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（2）发包人应在收到经监理签认的进度付款证书后的</w:t>
      </w:r>
      <w:permStart w:id="64" w:edGrp="everyone"/>
      <w:r>
        <w:rPr>
          <w:rFonts w:hint="eastAsia" w:ascii="宋体" w:hAnsi="宋体" w:eastAsia="宋体" w:cs="宋体"/>
          <w:color w:val="auto"/>
          <w:sz w:val="28"/>
          <w:szCs w:val="28"/>
          <w:highlight w:val="none"/>
          <w:shd w:val="clear" w:color="auto" w:fill="auto"/>
        </w:rPr>
        <w:t>28天内</w:t>
      </w:r>
      <w:permEnd w:id="64"/>
      <w:r>
        <w:rPr>
          <w:rFonts w:hint="eastAsia" w:ascii="宋体" w:hAnsi="宋体" w:eastAsia="宋体" w:cs="宋体"/>
          <w:color w:val="auto"/>
          <w:sz w:val="28"/>
          <w:szCs w:val="28"/>
          <w:highlight w:val="none"/>
          <w:shd w:val="clear" w:color="auto" w:fill="auto"/>
        </w:rPr>
        <w:t>，将进度应付款支付给承包人。发包人不按期支付的，按专用合同条款的约定支付逾期付款违约金。</w:t>
      </w:r>
    </w:p>
    <w:p w14:paraId="5A629CF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发包人逾期支付进度款时违约金的计算及支付方法：应从逾期第一天起按照全国银行间同业拆借中心公布的一年期贷款市场报价利率计算逾期付款金额支付给承包人。</w:t>
      </w:r>
    </w:p>
    <w:p w14:paraId="6B550E69">
      <w:pPr>
        <w:pStyle w:val="92"/>
        <w:keepNext w:val="0"/>
        <w:keepLines w:val="0"/>
        <w:pageBreakBefore w:val="0"/>
        <w:widowControl w:val="0"/>
        <w:kinsoku/>
        <w:wordWrap/>
        <w:overflowPunct/>
        <w:topLinePunct w:val="0"/>
        <w:autoSpaceDE w:val="0"/>
        <w:autoSpaceDN w:val="0"/>
        <w:bidi w:val="0"/>
        <w:snapToGrid/>
        <w:spacing w:line="540" w:lineRule="exact"/>
        <w:ind w:left="0" w:firstLine="560" w:firstLineChars="200"/>
        <w:textAlignment w:val="bottom"/>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17.3.3项增加（5）目：</w:t>
      </w:r>
    </w:p>
    <w:p w14:paraId="3A047369">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rPr>
        <w:t>）</w:t>
      </w:r>
      <w:r>
        <w:rPr>
          <w:rFonts w:hint="eastAsia" w:ascii="宋体" w:hAnsi="宋体" w:eastAsia="宋体" w:cs="宋体"/>
          <w:color w:val="auto"/>
          <w:sz w:val="28"/>
          <w:szCs w:val="28"/>
          <w:highlight w:val="none"/>
          <w:shd w:val="clear" w:color="auto" w:fill="auto"/>
        </w:rPr>
        <w:t>进度款累计支付达到合同金额或调整后合同总价的95%后，承包人如还继续申请进度款支付，则需提交专题报告，分析说明进度款支付的合理性和必要性，由监理、发包人审核确定是否予以支付。</w:t>
      </w:r>
    </w:p>
    <w:p w14:paraId="2EBE4C02">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17.4  质量保证金</w:t>
      </w:r>
    </w:p>
    <w:p w14:paraId="1076077A">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标题修改为：</w:t>
      </w:r>
    </w:p>
    <w:p w14:paraId="4CDA66D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17.4  保</w:t>
      </w:r>
      <w:r>
        <w:rPr>
          <w:rFonts w:hint="eastAsia" w:ascii="宋体" w:hAnsi="宋体" w:eastAsia="宋体" w:cs="宋体"/>
          <w:color w:val="auto"/>
          <w:sz w:val="28"/>
          <w:szCs w:val="28"/>
          <w:highlight w:val="none"/>
          <w:shd w:val="clear" w:color="auto" w:fill="auto"/>
          <w:lang w:eastAsia="zh-CN"/>
        </w:rPr>
        <w:t>证</w:t>
      </w:r>
      <w:r>
        <w:rPr>
          <w:rFonts w:hint="eastAsia" w:ascii="宋体" w:hAnsi="宋体" w:eastAsia="宋体" w:cs="宋体"/>
          <w:color w:val="auto"/>
          <w:sz w:val="28"/>
          <w:szCs w:val="28"/>
          <w:highlight w:val="none"/>
          <w:shd w:val="clear" w:color="auto" w:fill="auto"/>
        </w:rPr>
        <w:t>金</w:t>
      </w:r>
    </w:p>
    <w:p w14:paraId="108C220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删去本条全文，并代之以：</w:t>
      </w:r>
    </w:p>
    <w:p w14:paraId="5EBB1195">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w:t>
      </w:r>
      <w:permStart w:id="65" w:edGrp="everyone"/>
      <w:r>
        <w:rPr>
          <w:rFonts w:hint="eastAsia" w:ascii="宋体" w:hAnsi="宋体" w:eastAsia="宋体" w:cs="宋体"/>
          <w:color w:val="auto"/>
          <w:sz w:val="28"/>
          <w:szCs w:val="28"/>
          <w:highlight w:val="none"/>
          <w:u w:val="single"/>
          <w:shd w:val="clear" w:color="auto" w:fill="auto"/>
        </w:rPr>
        <w:t>国务院办公厅下发的《国务院办公厅关于清理规范工程建设领域保证金的通知》（国发办【2016】49号）</w:t>
      </w:r>
      <w:permEnd w:id="65"/>
      <w:r>
        <w:rPr>
          <w:rFonts w:hint="eastAsia" w:ascii="宋体" w:hAnsi="宋体" w:eastAsia="宋体" w:cs="宋体"/>
          <w:color w:val="auto"/>
          <w:sz w:val="28"/>
          <w:szCs w:val="28"/>
          <w:highlight w:val="none"/>
          <w:shd w:val="clear" w:color="auto" w:fill="auto"/>
        </w:rPr>
        <w:t>规定，本合同采用</w:t>
      </w:r>
      <w:r>
        <w:rPr>
          <w:rFonts w:hint="eastAsia" w:ascii="宋体" w:hAnsi="宋体" w:eastAsia="宋体" w:cs="宋体"/>
          <w:iCs/>
          <w:color w:val="auto"/>
          <w:sz w:val="28"/>
          <w:szCs w:val="28"/>
          <w:highlight w:val="none"/>
          <w:shd w:val="clear" w:color="auto" w:fill="auto"/>
        </w:rPr>
        <w:t>两种保</w:t>
      </w:r>
      <w:r>
        <w:rPr>
          <w:rFonts w:hint="eastAsia" w:ascii="宋体" w:hAnsi="宋体" w:eastAsia="宋体" w:cs="宋体"/>
          <w:iCs/>
          <w:color w:val="auto"/>
          <w:sz w:val="28"/>
          <w:szCs w:val="28"/>
          <w:highlight w:val="none"/>
          <w:shd w:val="clear" w:color="auto" w:fill="auto"/>
          <w:lang w:eastAsia="zh-CN"/>
        </w:rPr>
        <w:t>证</w:t>
      </w:r>
      <w:r>
        <w:rPr>
          <w:rFonts w:hint="eastAsia" w:ascii="宋体" w:hAnsi="宋体" w:eastAsia="宋体" w:cs="宋体"/>
          <w:iCs/>
          <w:color w:val="auto"/>
          <w:sz w:val="28"/>
          <w:szCs w:val="28"/>
          <w:highlight w:val="none"/>
          <w:shd w:val="clear" w:color="auto" w:fill="auto"/>
        </w:rPr>
        <w:t>金：</w:t>
      </w:r>
      <w:r>
        <w:rPr>
          <w:rFonts w:hint="eastAsia" w:ascii="宋体" w:hAnsi="宋体" w:eastAsia="宋体" w:cs="宋体"/>
          <w:color w:val="auto"/>
          <w:sz w:val="28"/>
          <w:szCs w:val="28"/>
          <w:highlight w:val="none"/>
          <w:shd w:val="clear" w:color="auto" w:fill="auto"/>
        </w:rPr>
        <w:t>工程质量保</w:t>
      </w:r>
      <w:r>
        <w:rPr>
          <w:rFonts w:hint="eastAsia" w:ascii="宋体" w:hAnsi="宋体" w:eastAsia="宋体" w:cs="宋体"/>
          <w:color w:val="auto"/>
          <w:sz w:val="28"/>
          <w:szCs w:val="28"/>
          <w:highlight w:val="none"/>
          <w:shd w:val="clear" w:color="auto" w:fill="auto"/>
          <w:lang w:eastAsia="zh-CN"/>
        </w:rPr>
        <w:t>证</w:t>
      </w:r>
      <w:r>
        <w:rPr>
          <w:rFonts w:hint="eastAsia" w:ascii="宋体" w:hAnsi="宋体" w:eastAsia="宋体" w:cs="宋体"/>
          <w:color w:val="auto"/>
          <w:sz w:val="28"/>
          <w:szCs w:val="28"/>
          <w:highlight w:val="none"/>
          <w:shd w:val="clear" w:color="auto" w:fill="auto"/>
        </w:rPr>
        <w:t>金</w:t>
      </w:r>
      <w:r>
        <w:rPr>
          <w:rFonts w:hint="eastAsia" w:ascii="宋体" w:hAnsi="宋体" w:eastAsia="宋体" w:cs="宋体"/>
          <w:iCs/>
          <w:color w:val="auto"/>
          <w:sz w:val="28"/>
          <w:szCs w:val="28"/>
          <w:highlight w:val="none"/>
          <w:shd w:val="clear" w:color="auto" w:fill="auto"/>
        </w:rPr>
        <w:t>、农民工工资保障金</w:t>
      </w:r>
      <w:r>
        <w:rPr>
          <w:rFonts w:hint="eastAsia" w:ascii="宋体" w:hAnsi="宋体" w:eastAsia="宋体" w:cs="宋体"/>
          <w:color w:val="auto"/>
          <w:sz w:val="28"/>
          <w:szCs w:val="28"/>
          <w:highlight w:val="none"/>
          <w:shd w:val="clear" w:color="auto" w:fill="auto"/>
        </w:rPr>
        <w:t>。</w:t>
      </w:r>
    </w:p>
    <w:p w14:paraId="5A45E5AA">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(1)工程质量保证金在合同结算时一次性预留，总预留比例为工程价款结算总额的3%。质量保证金的预留方式可采用无条件、不可撤销的保函（保险保函/银行保函）或现金方式，优先采用银行保函。</w:t>
      </w:r>
    </w:p>
    <w:p w14:paraId="3DE6DB70">
      <w:pPr>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eastAsia="宋体" w:cs="宋体"/>
          <w:color w:val="auto"/>
          <w:sz w:val="28"/>
          <w:szCs w:val="28"/>
          <w:highlight w:val="none"/>
          <w:shd w:val="clear" w:color="auto" w:fill="auto"/>
        </w:rPr>
        <w:t>(2)质量保证金返还。</w:t>
      </w:r>
      <w:r>
        <w:rPr>
          <w:rFonts w:hint="eastAsia" w:ascii="宋体" w:hAnsi="宋体" w:eastAsia="宋体" w:cs="宋体"/>
          <w:color w:val="auto"/>
          <w:sz w:val="28"/>
          <w:szCs w:val="28"/>
          <w:shd w:val="clear" w:color="auto" w:fill="auto"/>
          <w:lang w:val="en-US" w:eastAsia="zh-CN"/>
        </w:rPr>
        <w:t>本合同项下质保期开始计算后满</w:t>
      </w:r>
      <w:permStart w:id="66" w:edGrp="everyone"/>
      <w:r>
        <w:rPr>
          <w:rFonts w:hint="eastAsia" w:ascii="宋体" w:hAnsi="宋体" w:eastAsia="宋体" w:cs="宋体"/>
          <w:color w:val="auto"/>
          <w:position w:val="0"/>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 xml:space="preserve">  </w:t>
      </w:r>
      <w:permEnd w:id="66"/>
      <w:r>
        <w:rPr>
          <w:rFonts w:hint="eastAsia" w:ascii="宋体" w:hAnsi="宋体" w:eastAsia="宋体" w:cs="宋体"/>
          <w:color w:val="auto"/>
          <w:sz w:val="28"/>
          <w:szCs w:val="28"/>
          <w:shd w:val="clear" w:color="auto" w:fill="auto"/>
          <w:lang w:val="en-US" w:eastAsia="zh-CN"/>
        </w:rPr>
        <w:t>年，如本合同未发生质量问题或乙方提供的质保服务符合本合同约定质量标准的，乙方可向甲方申请支付质保金或退还质量保函，甲方于收到乙方申请后</w:t>
      </w:r>
      <w:permStart w:id="67" w:edGrp="everyone"/>
      <w:r>
        <w:rPr>
          <w:rFonts w:hint="eastAsia" w:ascii="宋体" w:hAnsi="宋体" w:eastAsia="宋体" w:cs="宋体"/>
          <w:color w:val="auto"/>
          <w:position w:val="0"/>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 xml:space="preserve">  </w:t>
      </w:r>
      <w:permEnd w:id="67"/>
      <w:r>
        <w:rPr>
          <w:rFonts w:hint="eastAsia" w:ascii="宋体" w:hAnsi="宋体" w:eastAsia="宋体" w:cs="宋体"/>
          <w:color w:val="auto"/>
          <w:sz w:val="28"/>
          <w:szCs w:val="28"/>
          <w:shd w:val="clear" w:color="auto" w:fill="auto"/>
          <w:lang w:val="en-US" w:eastAsia="zh-CN"/>
        </w:rPr>
        <w:t>日内，向乙方无息退还质保金或质量保函</w:t>
      </w:r>
      <w:r>
        <w:rPr>
          <w:rFonts w:hint="eastAsia" w:ascii="宋体" w:hAnsi="宋体" w:eastAsia="宋体" w:cs="宋体"/>
          <w:b w:val="0"/>
          <w:bCs w:val="0"/>
          <w:color w:val="auto"/>
          <w:sz w:val="28"/>
          <w:szCs w:val="28"/>
          <w:shd w:val="clear" w:color="auto" w:fill="auto"/>
        </w:rPr>
        <w:t>。</w:t>
      </w:r>
    </w:p>
    <w:p w14:paraId="000E788D">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(3)农民工工资保障金的扣留和返还按</w:t>
      </w:r>
      <w:r>
        <w:rPr>
          <w:rFonts w:hint="eastAsia" w:ascii="宋体" w:hAnsi="宋体" w:eastAsia="宋体" w:cs="宋体"/>
          <w:iCs/>
          <w:color w:val="auto"/>
          <w:sz w:val="28"/>
          <w:szCs w:val="28"/>
          <w:highlight w:val="none"/>
          <w:shd w:val="clear" w:color="auto" w:fill="auto"/>
          <w:lang w:val="en-US" w:eastAsia="zh-CN"/>
        </w:rPr>
        <w:t>合同附件</w:t>
      </w:r>
      <w:r>
        <w:rPr>
          <w:rFonts w:hint="eastAsia" w:ascii="宋体" w:hAnsi="宋体" w:eastAsia="宋体" w:cs="宋体"/>
          <w:iCs/>
          <w:color w:val="auto"/>
          <w:sz w:val="28"/>
          <w:szCs w:val="28"/>
          <w:highlight w:val="none"/>
          <w:shd w:val="clear" w:color="auto" w:fill="auto"/>
        </w:rPr>
        <w:t>《保障农民工工资协议》的规定执行。</w:t>
      </w:r>
    </w:p>
    <w:p w14:paraId="46140A5E">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17.5  竣工结算</w:t>
      </w:r>
    </w:p>
    <w:p w14:paraId="58E10022">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17.5.1竣工付款申请单</w:t>
      </w:r>
    </w:p>
    <w:p w14:paraId="2DBB07E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17.5.1项（1）目补充：</w:t>
      </w:r>
    </w:p>
    <w:p w14:paraId="519668FD">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竣工付款申请单的份数和提交期限：工程接证书颁发后28天内，承包人应按监理人批准的格式提交竣工付款申请单（一式6份）。</w:t>
      </w:r>
    </w:p>
    <w:p w14:paraId="33F2BED7">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17.6  竣工结清</w:t>
      </w:r>
    </w:p>
    <w:p w14:paraId="6ED2660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17.6.1最终结清申请单</w:t>
      </w:r>
    </w:p>
    <w:p w14:paraId="21EF8F12">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17.6.1项（1）目补充：</w:t>
      </w:r>
    </w:p>
    <w:p w14:paraId="13BA4DF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缺陷责任期终止证书签发后，承包人应按监理人批准的格式提交最终结清申请单（一式6份）。</w:t>
      </w:r>
    </w:p>
    <w:p w14:paraId="59B5FEE6">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17.7增加合同</w:t>
      </w:r>
      <w:r>
        <w:rPr>
          <w:rFonts w:hint="eastAsia" w:ascii="宋体" w:hAnsi="宋体" w:eastAsia="宋体" w:cs="宋体"/>
          <w:color w:val="auto"/>
          <w:sz w:val="28"/>
          <w:szCs w:val="28"/>
          <w:highlight w:val="none"/>
          <w:shd w:val="clear" w:color="auto" w:fill="auto"/>
          <w:lang w:val="en-US" w:eastAsia="zh-CN"/>
        </w:rPr>
        <w:t>支付条款</w:t>
      </w:r>
    </w:p>
    <w:p w14:paraId="51107FB4">
      <w:pPr>
        <w:keepNext w:val="0"/>
        <w:keepLines w:val="0"/>
        <w:pageBreakBefore w:val="0"/>
        <w:numPr>
          <w:ilvl w:val="0"/>
          <w:numId w:val="4"/>
        </w:numPr>
        <w:kinsoku/>
        <w:wordWrap/>
        <w:overflowPunct/>
        <w:topLinePunct w:val="0"/>
        <w:autoSpaceDE/>
        <w:autoSpaceDN/>
        <w:bidi w:val="0"/>
        <w:adjustRightInd/>
        <w:snapToGrid/>
        <w:spacing w:line="540" w:lineRule="exact"/>
        <w:ind w:left="0" w:leftChars="0" w:right="0" w:rightChars="0" w:firstLine="560" w:firstLineChars="200"/>
        <w:textAlignment w:val="auto"/>
        <w:rPr>
          <w:rFonts w:hint="eastAsia" w:ascii="宋体" w:hAnsi="宋体" w:eastAsia="宋体" w:cs="宋体"/>
          <w:color w:val="auto"/>
          <w:position w:val="0"/>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本合同支付方式：</w:t>
      </w:r>
      <w:r>
        <w:rPr>
          <w:rFonts w:hint="eastAsia" w:ascii="宋体" w:hAnsi="宋体" w:eastAsia="宋体" w:cs="宋体"/>
          <w:color w:val="auto"/>
          <w:position w:val="0"/>
          <w:sz w:val="28"/>
          <w:szCs w:val="28"/>
          <w:highlight w:val="none"/>
          <w:shd w:val="clear" w:color="auto" w:fill="auto"/>
          <w:lang w:val="en-US" w:eastAsia="zh-CN"/>
        </w:rPr>
        <w:t>转账、汇票、现金以及双方认可的其它方式，</w:t>
      </w:r>
      <w:r>
        <w:rPr>
          <w:rFonts w:hint="eastAsia" w:ascii="宋体" w:hAnsi="宋体" w:eastAsia="宋体" w:cs="宋体"/>
          <w:b/>
          <w:bCs/>
          <w:color w:val="auto"/>
          <w:position w:val="0"/>
          <w:sz w:val="28"/>
          <w:szCs w:val="28"/>
          <w:highlight w:val="none"/>
          <w:shd w:val="clear" w:color="auto" w:fill="auto"/>
          <w:lang w:val="en-US" w:eastAsia="zh-CN"/>
        </w:rPr>
        <w:t>如使用商业汇票进行支付的，由款项支付方承担资金成本（买方付息贴现）</w:t>
      </w:r>
      <w:r>
        <w:rPr>
          <w:rFonts w:hint="eastAsia" w:ascii="宋体" w:hAnsi="宋体" w:eastAsia="宋体" w:cs="宋体"/>
          <w:color w:val="auto"/>
          <w:position w:val="0"/>
          <w:sz w:val="28"/>
          <w:szCs w:val="28"/>
          <w:highlight w:val="none"/>
          <w:shd w:val="clear" w:color="auto" w:fill="auto"/>
          <w:lang w:val="en-US" w:eastAsia="zh-CN"/>
        </w:rPr>
        <w:t>。其中：银行承兑汇票（包括南方电网财务有限公司承兑汇票）占比为</w:t>
      </w:r>
      <w:permStart w:id="68" w:edGrp="everyone"/>
      <w:r>
        <w:rPr>
          <w:rFonts w:hint="eastAsia" w:ascii="宋体" w:hAnsi="宋体" w:eastAsia="宋体" w:cs="宋体"/>
          <w:color w:val="auto"/>
          <w:position w:val="0"/>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 xml:space="preserve">  </w:t>
      </w:r>
      <w:permEnd w:id="68"/>
      <w:r>
        <w:rPr>
          <w:rFonts w:hint="eastAsia" w:ascii="宋体" w:hAnsi="宋体" w:eastAsia="宋体" w:cs="宋体"/>
          <w:color w:val="auto"/>
          <w:position w:val="0"/>
          <w:sz w:val="28"/>
          <w:szCs w:val="28"/>
          <w:highlight w:val="none"/>
          <w:shd w:val="clear" w:color="auto" w:fill="auto"/>
          <w:lang w:val="en-US" w:eastAsia="zh-CN"/>
        </w:rPr>
        <w:t>%，付款期限为</w:t>
      </w:r>
      <w:permStart w:id="69" w:edGrp="everyone"/>
      <w:r>
        <w:rPr>
          <w:rFonts w:hint="eastAsia" w:ascii="宋体" w:hAnsi="宋体" w:eastAsia="宋体" w:cs="宋体"/>
          <w:color w:val="auto"/>
          <w:position w:val="0"/>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 xml:space="preserve">  </w:t>
      </w:r>
      <w:permEnd w:id="69"/>
      <w:r>
        <w:rPr>
          <w:rFonts w:hint="eastAsia" w:ascii="宋体" w:hAnsi="宋体" w:eastAsia="宋体" w:cs="宋体"/>
          <w:color w:val="auto"/>
          <w:position w:val="0"/>
          <w:sz w:val="28"/>
          <w:szCs w:val="28"/>
          <w:highlight w:val="none"/>
          <w:shd w:val="clear" w:color="auto" w:fill="auto"/>
          <w:lang w:val="en-US" w:eastAsia="zh-CN"/>
        </w:rPr>
        <w:t>个月；商业承兑汇票占比为</w:t>
      </w:r>
      <w:permStart w:id="70" w:edGrp="everyone"/>
      <w:r>
        <w:rPr>
          <w:rFonts w:hint="eastAsia" w:ascii="宋体" w:hAnsi="宋体" w:eastAsia="宋体" w:cs="宋体"/>
          <w:color w:val="auto"/>
          <w:position w:val="0"/>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 xml:space="preserve">  </w:t>
      </w:r>
      <w:permEnd w:id="70"/>
      <w:r>
        <w:rPr>
          <w:rFonts w:hint="eastAsia" w:ascii="宋体" w:hAnsi="宋体" w:eastAsia="宋体" w:cs="宋体"/>
          <w:color w:val="auto"/>
          <w:position w:val="0"/>
          <w:sz w:val="28"/>
          <w:szCs w:val="28"/>
          <w:highlight w:val="none"/>
          <w:shd w:val="clear" w:color="auto" w:fill="auto"/>
          <w:lang w:val="en-US" w:eastAsia="zh-CN"/>
        </w:rPr>
        <w:t xml:space="preserve"> %，付款期限为 </w:t>
      </w:r>
      <w:permStart w:id="71" w:edGrp="everyone"/>
      <w:r>
        <w:rPr>
          <w:rFonts w:hint="eastAsia" w:ascii="宋体" w:hAnsi="宋体" w:eastAsia="宋体" w:cs="宋体"/>
          <w:color w:val="auto"/>
          <w:position w:val="0"/>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 xml:space="preserve">  </w:t>
      </w:r>
      <w:permEnd w:id="71"/>
      <w:r>
        <w:rPr>
          <w:rFonts w:hint="eastAsia" w:ascii="宋体" w:hAnsi="宋体" w:eastAsia="宋体" w:cs="宋体"/>
          <w:color w:val="auto"/>
          <w:position w:val="0"/>
          <w:sz w:val="28"/>
          <w:szCs w:val="28"/>
          <w:highlight w:val="none"/>
          <w:shd w:val="clear" w:color="auto" w:fill="auto"/>
          <w:lang w:val="en-US" w:eastAsia="zh-CN"/>
        </w:rPr>
        <w:t>个月；银行转账或现金支付占比为</w:t>
      </w:r>
      <w:permStart w:id="72" w:edGrp="everyone"/>
      <w:r>
        <w:rPr>
          <w:rFonts w:hint="eastAsia" w:ascii="宋体" w:hAnsi="宋体" w:eastAsia="宋体" w:cs="宋体"/>
          <w:color w:val="auto"/>
          <w:position w:val="0"/>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 xml:space="preserve">  </w:t>
      </w:r>
      <w:permEnd w:id="72"/>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position w:val="0"/>
          <w:sz w:val="28"/>
          <w:szCs w:val="28"/>
          <w:highlight w:val="none"/>
          <w:shd w:val="clear" w:color="auto" w:fill="auto"/>
          <w:lang w:val="en-US" w:eastAsia="zh-CN"/>
        </w:rPr>
        <w:t>%。</w:t>
      </w:r>
    </w:p>
    <w:p w14:paraId="5AC1E839">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承包人汇票开立信息如下：</w:t>
      </w:r>
    </w:p>
    <w:p w14:paraId="2086558E">
      <w:pPr>
        <w:keepLines w:val="0"/>
        <w:pageBreakBefore w:val="0"/>
        <w:kinsoku/>
        <w:wordWrap/>
        <w:topLinePunct w:val="0"/>
        <w:bidi w:val="0"/>
        <w:spacing w:line="540" w:lineRule="exact"/>
        <w:ind w:firstLine="560" w:firstLineChars="200"/>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sdt>
        <w:sdtPr>
          <w:rPr>
            <w:rFonts w:hint="eastAsia" w:ascii="宋体" w:hAnsi="宋体" w:eastAsia="宋体" w:cs="宋体"/>
            <w:color w:val="auto"/>
            <w:kern w:val="2"/>
            <w:sz w:val="28"/>
            <w:szCs w:val="28"/>
            <w:shd w:val="clear" w:color="auto" w:fill="auto"/>
            <w:lang w:val="en-US" w:eastAsia="zh-CN" w:bidi="ar-SA"/>
          </w:rPr>
          <w:alias w:val="不选择汇票的，请删除以下汇票开票信息，划/"/>
          <w:tag w:val="乙方当事人全称"/>
          <w:id w:val="15031989"/>
          <w:placeholder>
            <w:docPart w:val="{d97cce9b-cc78-4de4-a625-84fd2428968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3"/>
        </w:sdtContent>
      </w:sdt>
    </w:p>
    <w:p w14:paraId="0BEE8EA2">
      <w:pPr>
        <w:keepLines w:val="0"/>
        <w:pageBreakBefore w:val="0"/>
        <w:kinsoku/>
        <w:wordWrap/>
        <w:topLinePunct w:val="0"/>
        <w:bidi w:val="0"/>
        <w:spacing w:line="540" w:lineRule="exact"/>
        <w:ind w:firstLine="560" w:firstLineChars="200"/>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387052424"/>
          <w:placeholder>
            <w:docPart w:val="{bc7a20a3-a84b-4910-bd45-6d0f50ec208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4"/>
        </w:sdtContent>
      </w:sdt>
    </w:p>
    <w:p w14:paraId="3AE9339A">
      <w:pPr>
        <w:keepLines w:val="0"/>
        <w:pageBreakBefore w:val="0"/>
        <w:kinsoku/>
        <w:wordWrap/>
        <w:topLinePunct w:val="0"/>
        <w:bidi w:val="0"/>
        <w:spacing w:line="540" w:lineRule="exact"/>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255101983"/>
          <w:placeholder>
            <w:docPart w:val="{7f6bcf78-b2e5-4763-a9ba-5f8e6035550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5"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5"/>
        </w:sdtContent>
      </w:sdt>
    </w:p>
    <w:p w14:paraId="7476F1AF">
      <w:pPr>
        <w:keepLines w:val="0"/>
        <w:pageBreakBefore w:val="0"/>
        <w:kinsoku/>
        <w:wordWrap/>
        <w:topLinePunct w:val="0"/>
        <w:bidi w:val="0"/>
        <w:spacing w:line="540" w:lineRule="exact"/>
        <w:ind w:firstLine="560" w:firstLineChars="200"/>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76" w:edGrp="everyone"/>
      <w:r>
        <w:rPr>
          <w:rFonts w:hint="eastAsia"/>
          <w:color w:val="auto"/>
          <w:sz w:val="28"/>
          <w:szCs w:val="28"/>
          <w:u w:val="single"/>
          <w:shd w:val="clear" w:color="auto" w:fill="auto"/>
          <w:lang w:val="en-US" w:eastAsia="zh-CN"/>
        </w:rPr>
        <w:t xml:space="preserve">              </w:t>
      </w:r>
      <w:permEnd w:id="76"/>
    </w:p>
    <w:p w14:paraId="088EB6B7">
      <w:pPr>
        <w:keepLines w:val="0"/>
        <w:pageBreakBefore w:val="0"/>
        <w:kinsoku/>
        <w:wordWrap/>
        <w:topLinePunct w:val="0"/>
        <w:bidi w:val="0"/>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914647447"/>
          <w:placeholder>
            <w:docPart w:val="{47d3cda4-32f7-43a8-93c3-e49d059e9e4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7"/>
        </w:sdtContent>
      </w:sdt>
    </w:p>
    <w:p w14:paraId="415BBF38">
      <w:pPr>
        <w:keepNext w:val="0"/>
        <w:keepLines w:val="0"/>
        <w:pageBreakBefore w:val="0"/>
        <w:kinsoku/>
        <w:wordWrap/>
        <w:overflowPunct/>
        <w:topLinePunct w:val="0"/>
        <w:autoSpaceDE/>
        <w:autoSpaceDN/>
        <w:bidi w:val="0"/>
        <w:adjustRightInd/>
        <w:snapToGrid/>
        <w:spacing w:line="540" w:lineRule="exact"/>
        <w:ind w:left="0" w:leftChars="0" w:firstLine="560" w:firstLineChars="200"/>
        <w:textAlignment w:val="auto"/>
        <w:rPr>
          <w:rFonts w:hint="eastAsia" w:ascii="宋体" w:hAnsi="宋体" w:eastAsia="宋体" w:cs="宋体"/>
          <w:color w:val="auto"/>
          <w:sz w:val="28"/>
          <w:szCs w:val="28"/>
          <w:shd w:val="clear" w:color="auto" w:fill="auto"/>
          <w:lang w:eastAsia="zh-CN"/>
        </w:rPr>
      </w:pPr>
      <w:r>
        <w:rPr>
          <w:rFonts w:hint="eastAsia"/>
          <w:color w:val="auto"/>
          <w:sz w:val="28"/>
          <w:szCs w:val="28"/>
          <w:highlight w:val="none"/>
          <w:shd w:val="clear" w:color="auto" w:fill="auto"/>
          <w:lang w:eastAsia="zh-CN"/>
        </w:rPr>
        <w:t>联系电话：</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584675081"/>
          <w:placeholder>
            <w:docPart w:val="{5b37c329-a692-4a48-b20e-d2371b8d9c4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8"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8"/>
        </w:sdtContent>
      </w:sdt>
    </w:p>
    <w:p w14:paraId="4B369250">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承包人应在发包人付款前</w:t>
      </w:r>
      <w:permStart w:id="79" w:edGrp="everyone"/>
      <w:r>
        <w:rPr>
          <w:rFonts w:hint="eastAsia" w:ascii="宋体" w:hAnsi="宋体" w:eastAsia="宋体" w:cs="宋体"/>
          <w:color w:val="auto"/>
          <w:position w:val="0"/>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 xml:space="preserve">  </w:t>
      </w:r>
      <w:permEnd w:id="79"/>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lang w:eastAsia="zh-CN"/>
        </w:rPr>
        <w:t>开具等额的增值税专用发票，否则发包人有权迟延支付相应价款，承包人因此造成的损失由其自行承担。如承包人不能开具增值税专用发票的，应向发包人提交相关证明材料并取得发包人</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lang w:eastAsia="zh-CN"/>
        </w:rPr>
        <w:t>同意后，可开具符合发包人要求的其他发票。</w:t>
      </w:r>
    </w:p>
    <w:p w14:paraId="503C845E">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承包人收款账户信息如下：</w:t>
      </w:r>
    </w:p>
    <w:p w14:paraId="2D46C9BC">
      <w:pPr>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ca72793-7bf1-449f-a97b-3455d0d54c6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0"/>
        </w:sdtContent>
      </w:sdt>
    </w:p>
    <w:p w14:paraId="6A7EF81C">
      <w:pPr>
        <w:keepLines w:val="0"/>
        <w:pageBreakBefore w:val="0"/>
        <w:kinsoku/>
        <w:wordWrap/>
        <w:overflowPunct/>
        <w:topLinePunct w:val="0"/>
        <w:bidi w:val="0"/>
        <w:adjustRightInd/>
        <w:snapToGrid/>
        <w:spacing w:line="540" w:lineRule="exact"/>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fe0c1b5a-9d1f-44ea-89e7-5a0f72747d7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1"/>
        </w:sdtContent>
      </w:sdt>
    </w:p>
    <w:p w14:paraId="003CA8E6">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e8af163e-67f1-4647-9ed0-2499ebd6aa9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2"/>
        </w:sdtContent>
      </w:sdt>
    </w:p>
    <w:p w14:paraId="4321B406">
      <w:pPr>
        <w:keepNext w:val="0"/>
        <w:keepLines w:val="0"/>
        <w:pageBreakBefore w:val="0"/>
        <w:numPr>
          <w:ilvl w:val="0"/>
          <w:numId w:val="4"/>
        </w:numPr>
        <w:kinsoku/>
        <w:wordWrap/>
        <w:overflowPunct/>
        <w:topLinePunct w:val="0"/>
        <w:bidi w:val="0"/>
        <w:adjustRightInd/>
        <w:snapToGrid/>
        <w:spacing w:line="540" w:lineRule="exact"/>
        <w:ind w:left="424" w:leftChars="202" w:firstLine="137" w:firstLineChars="49"/>
        <w:jc w:val="left"/>
        <w:textAlignment w:val="auto"/>
        <w:rPr>
          <w:rFonts w:hint="eastAsia" w:ascii="宋体" w:hAnsi="宋体" w:eastAsia="宋体" w:cs="宋体"/>
          <w:color w:val="auto"/>
          <w:kern w:val="2"/>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w:t>
      </w:r>
      <w:r>
        <w:rPr>
          <w:rFonts w:hint="eastAsia" w:ascii="宋体" w:hAnsi="宋体" w:eastAsia="宋体" w:cs="宋体"/>
          <w:color w:val="auto"/>
          <w:kern w:val="2"/>
          <w:sz w:val="28"/>
          <w:szCs w:val="28"/>
          <w:highlight w:val="none"/>
          <w:shd w:val="clear" w:color="auto" w:fill="auto"/>
          <w:lang w:val="en-US" w:eastAsia="zh-CN"/>
        </w:rPr>
        <w:t>数字人民币对公钱包信息如下：</w:t>
      </w:r>
    </w:p>
    <w:p w14:paraId="28BB74C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541896273"/>
          <w:placeholder>
            <w:docPart w:val="{b0c8b241-753c-4bdc-9468-13a07a3bc858}"/>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8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3"/>
        </w:sdtContent>
      </w:sdt>
    </w:p>
    <w:p w14:paraId="5D47317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72513384"/>
          <w:placeholder>
            <w:docPart w:val="{6705f5eb-2bc0-4e94-98ad-e208a1832c4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4"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4"/>
        </w:sdtContent>
      </w:sdt>
    </w:p>
    <w:p w14:paraId="00E6B66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329521438"/>
          <w:placeholder>
            <w:docPart w:val="{dc80798d-8738-4d9d-8041-a608cc55b63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5"/>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7B7F0FE4">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firstLine="561"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kern w:val="2"/>
          <w:sz w:val="28"/>
          <w:szCs w:val="28"/>
          <w:highlight w:val="none"/>
          <w:u w:val="none"/>
          <w:shd w:val="clear" w:color="auto" w:fill="auto"/>
          <w:lang w:val="en-US" w:eastAsia="zh-CN"/>
        </w:rPr>
        <w:t>本合同项下承包人收款账户信息、承包人数字人民币对公钱包信息，以本条第（4）、第（5）款约定为准。承包人在签署本合同时，应对前述信息进行确认，本合同一经双方签署即视为承包人确认前述信息无误，发包人应按前述信息进行付款。承包人如需变更收款账户或数字人民币钱包信息的，应提前向发包人提出，并由双方签署变更协议后方可变更；否则，发包人仍应按本条约定的收款信息进行付款。发包人按本条约定的收款信息付款后，视为已完成付款义务，因收款信息错误造成的全部损失由承包人自行承担，发包人不承担任何责任</w:t>
      </w:r>
    </w:p>
    <w:p w14:paraId="6DCB5019">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发包人增值税开票信息如下：</w:t>
      </w:r>
    </w:p>
    <w:p w14:paraId="0380BE38">
      <w:pPr>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53966500"/>
          <w:placeholder>
            <w:docPart w:val="{6d79c109-06ba-46e7-8d32-91f8980e0cc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6" w:edGrp="everyone"/>
          <w:r>
            <w:rPr>
              <w:rFonts w:hint="eastAsia" w:ascii="宋体" w:hAnsi="宋体" w:eastAsia="宋体" w:cs="宋体"/>
              <w:color w:val="auto"/>
              <w:sz w:val="28"/>
              <w:szCs w:val="28"/>
              <w:u w:val="single"/>
              <w:shd w:val="clear" w:color="auto" w:fill="auto"/>
              <w:lang w:val="en-US" w:eastAsia="zh-CN"/>
            </w:rPr>
            <w:t xml:space="preserve">        </w:t>
          </w:r>
          <w:permEnd w:id="86"/>
        </w:sdtContent>
      </w:sdt>
    </w:p>
    <w:p w14:paraId="7B419A67">
      <w:pPr>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a987837c-448c-4c6f-9ff8-bbbeb92746d4}"/>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87"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87"/>
        </w:sdtContent>
      </w:sdt>
    </w:p>
    <w:p w14:paraId="0FAFF0DD">
      <w:pPr>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215339975"/>
          <w:placeholder>
            <w:docPart w:val="{1dda36c5-db30-494f-95d6-15e8a9726d6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8" w:edGrp="everyone"/>
          <w:r>
            <w:rPr>
              <w:rFonts w:hint="eastAsia" w:ascii="宋体" w:hAnsi="宋体" w:eastAsia="宋体" w:cs="宋体"/>
              <w:color w:val="auto"/>
              <w:sz w:val="28"/>
              <w:szCs w:val="28"/>
              <w:u w:val="single"/>
              <w:shd w:val="clear" w:color="auto" w:fill="auto"/>
              <w:lang w:val="en-US" w:eastAsia="zh-CN"/>
            </w:rPr>
            <w:t xml:space="preserve">       </w:t>
          </w:r>
          <w:permEnd w:id="88"/>
        </w:sdtContent>
      </w:sdt>
    </w:p>
    <w:p w14:paraId="25CCE690">
      <w:pPr>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709014630"/>
          <w:placeholder>
            <w:docPart w:val="{d5ff15cb-09b0-4890-b52d-01e9c5bb7154}"/>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9" w:edGrp="everyone"/>
          <w:r>
            <w:rPr>
              <w:rFonts w:hint="eastAsia" w:ascii="宋体" w:hAnsi="宋体" w:eastAsia="宋体" w:cs="宋体"/>
              <w:color w:val="auto"/>
              <w:sz w:val="28"/>
              <w:szCs w:val="28"/>
              <w:u w:val="single"/>
              <w:shd w:val="clear" w:color="auto" w:fill="auto"/>
              <w:lang w:val="en-US" w:eastAsia="zh-CN"/>
            </w:rPr>
            <w:t xml:space="preserve">       </w:t>
          </w:r>
          <w:permEnd w:id="89"/>
        </w:sdtContent>
      </w:sdt>
    </w:p>
    <w:p w14:paraId="05A9F079">
      <w:pPr>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permStart w:id="9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90"/>
    </w:p>
    <w:p w14:paraId="5F347FF7">
      <w:pPr>
        <w:keepNext w:val="0"/>
        <w:keepLines w:val="0"/>
        <w:pageBreakBefore w:val="0"/>
        <w:widowControl/>
        <w:kinsoku/>
        <w:wordWrap/>
        <w:overflowPunct/>
        <w:topLinePunct w:val="0"/>
        <w:autoSpaceDE/>
        <w:autoSpaceDN/>
        <w:bidi w:val="0"/>
        <w:adjustRightInd/>
        <w:snapToGrid/>
        <w:spacing w:line="540" w:lineRule="exact"/>
        <w:ind w:left="0" w:leftChars="0"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91" w:edGrp="everyone"/>
      <w:r>
        <w:rPr>
          <w:rFonts w:hint="eastAsia" w:ascii="宋体" w:hAnsi="宋体" w:eastAsia="宋体" w:cs="宋体"/>
          <w:color w:val="auto"/>
          <w:sz w:val="28"/>
          <w:szCs w:val="28"/>
          <w:u w:val="single"/>
          <w:shd w:val="clear" w:color="auto" w:fill="auto"/>
          <w:lang w:val="en-US" w:eastAsia="zh-CN"/>
        </w:rPr>
        <w:t xml:space="preserve">        </w:t>
      </w:r>
      <w:permEnd w:id="91"/>
    </w:p>
    <w:p w14:paraId="2A5023F9">
      <w:pPr>
        <w:keepNext w:val="0"/>
        <w:keepLines w:val="0"/>
        <w:pageBreakBefore w:val="0"/>
        <w:widowControl w:val="0"/>
        <w:numPr>
          <w:ilvl w:val="0"/>
          <w:numId w:val="4"/>
        </w:numPr>
        <w:kinsoku/>
        <w:wordWrap/>
        <w:overflowPunct/>
        <w:topLinePunct w:val="0"/>
        <w:autoSpaceDE/>
        <w:autoSpaceDN/>
        <w:bidi w:val="0"/>
        <w:adjustRightInd/>
        <w:snapToGrid/>
        <w:spacing w:line="540" w:lineRule="exact"/>
        <w:ind w:left="0" w:leftChars="0"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若承包人未能按上述要求开具增值税专用发票，或实际开票税率与上述要求不符，发包人有权根据实际收取的发票类型及税率从合同价款中直接扣除相应金额的合同款进行结算。发包人有权在任一批次的合同付款中直接扣减税款差额。若未支付合同款不足以弥补税款差额，承包人应将差额退还发包人。税款差额计算方式如下：税款差额=承诺税率对应的增值税进项税额﹣实际开具发票的进项税额（若计算得出的扣款小于0，则取0）其中：增值税进项税额=∑开票金额÷（1+税率）×税率。</w:t>
      </w:r>
    </w:p>
    <w:p w14:paraId="34E4499C">
      <w:pPr>
        <w:pStyle w:val="2"/>
        <w:keepLines w:val="0"/>
        <w:pageBreakBefore w:val="0"/>
        <w:kinsoku/>
        <w:wordWrap/>
        <w:topLinePunct w:val="0"/>
        <w:bidi w:val="0"/>
        <w:spacing w:line="540" w:lineRule="exact"/>
        <w:rPr>
          <w:rFonts w:hint="eastAsia"/>
          <w:color w:val="auto"/>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遇中国政府调整增值税税率时，尚未完成结算及纳税义务的跨期合同，未完成结算部分的合同价款按以下公式重新确定：未结算部分调整后的含税价格=未结算部分的不含税价格×（1＋中国政府调整后的税率）；未结算部分的不含税价格=未结算部分调整前的含税价格÷（1+承包人投标时明确的增值税税率）。上述计算公式中，（1）“未结算部分调整前的含税价格”为首次签订主合同时的含税价格；（2）若承包人在投标时没有明确增值税税率的，则“承包人投标时明确的增值税税率”以投标文件提交时中国政府正在实行的税率为准。</w:t>
      </w:r>
    </w:p>
    <w:p w14:paraId="11A9450C">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 竣工验收</w:t>
      </w:r>
    </w:p>
    <w:p w14:paraId="77BEB9EB">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18.1  竣工验收的含义</w:t>
      </w:r>
    </w:p>
    <w:p w14:paraId="6D05EB4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permStart w:id="92" w:edGrp="everyone"/>
      <w:r>
        <w:rPr>
          <w:rFonts w:hint="eastAsia" w:ascii="宋体" w:hAnsi="宋体" w:eastAsia="宋体" w:cs="宋体"/>
          <w:color w:val="auto"/>
          <w:sz w:val="28"/>
          <w:szCs w:val="28"/>
          <w:highlight w:val="none"/>
          <w:shd w:val="clear" w:color="auto" w:fill="auto"/>
        </w:rPr>
        <w:t>增加条款：</w:t>
      </w:r>
    </w:p>
    <w:p w14:paraId="72BC5555">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18.1.4承包人完成本合同全部工程后，应由发包人按本合同第18.3款和DL/T  5123—2000《水电站基本建设工程验收规程》的规定进行竣工验收。其验收的程序和验收工作内容在本合同技术条款第1章中规定。</w:t>
      </w:r>
    </w:p>
    <w:p w14:paraId="131BCEA3">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18.1.5水电工程的竣工验收是国家按18.1.3项规定，对发包人在水电工程交付投运前的竣工验收。承包人应协助发包人做好国家验收的各项工作。</w:t>
      </w:r>
      <w:permEnd w:id="92"/>
    </w:p>
    <w:p w14:paraId="2A3EBE41">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18.2  竣工验收申请报告</w:t>
      </w:r>
    </w:p>
    <w:p w14:paraId="3056070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18.2款（2）目补充：</w:t>
      </w:r>
    </w:p>
    <w:p w14:paraId="5021B6E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承包人为工程竣工验收，需要向监理人提交的竣工验收资料（一式6份）内容在技术条款中规定。本款（5）项监理人要求提交的竣工验收资料清单应包括在本款（2）中。</w:t>
      </w:r>
    </w:p>
    <w:p w14:paraId="26763D15">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18.3  验收</w:t>
      </w:r>
    </w:p>
    <w:p w14:paraId="6F80DEA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18.3.6项修改为：</w:t>
      </w:r>
    </w:p>
    <w:p w14:paraId="2DA856A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发包人在收到承包人竣工验收申请报告56天未进行验收的，承包人有权要求发包人立即作出验收安排，并确定验收日期。若验收合格，其实际竣工日期应是提交竣工验收申请报告的日期。若发包人在收到承包人</w:t>
      </w:r>
      <w:r>
        <w:rPr>
          <w:rFonts w:hint="eastAsia" w:hAnsi="宋体" w:cs="宋体"/>
          <w:color w:val="auto"/>
          <w:sz w:val="28"/>
          <w:szCs w:val="28"/>
          <w:highlight w:val="none"/>
          <w:shd w:val="clear" w:color="auto" w:fill="auto"/>
          <w:lang w:val="en-US" w:eastAsia="zh-CN"/>
        </w:rPr>
        <w:t>关于立即作出验收安排的要求</w:t>
      </w:r>
      <w:r>
        <w:rPr>
          <w:rFonts w:hint="eastAsia" w:ascii="宋体" w:hAnsi="宋体" w:eastAsia="宋体" w:cs="宋体"/>
          <w:color w:val="auto"/>
          <w:sz w:val="28"/>
          <w:szCs w:val="28"/>
          <w:highlight w:val="none"/>
          <w:shd w:val="clear" w:color="auto" w:fill="auto"/>
        </w:rPr>
        <w:t>后</w:t>
      </w:r>
      <w:r>
        <w:rPr>
          <w:rFonts w:hint="eastAsia" w:hAnsi="宋体" w:cs="宋体"/>
          <w:color w:val="auto"/>
          <w:sz w:val="28"/>
          <w:szCs w:val="28"/>
          <w:highlight w:val="none"/>
          <w:shd w:val="clear" w:color="auto" w:fill="auto"/>
          <w:lang w:val="en-US" w:eastAsia="zh-CN"/>
        </w:rPr>
        <w:t>仍</w:t>
      </w:r>
      <w:r>
        <w:rPr>
          <w:rFonts w:hint="eastAsia" w:ascii="宋体" w:hAnsi="宋体" w:eastAsia="宋体" w:cs="宋体"/>
          <w:color w:val="auto"/>
          <w:sz w:val="28"/>
          <w:szCs w:val="28"/>
          <w:highlight w:val="none"/>
          <w:shd w:val="clear" w:color="auto" w:fill="auto"/>
        </w:rPr>
        <w:t>不及时进行验收，或在验收后不颁发工程接收证书，则发包人应从承包人发出竣工</w:t>
      </w:r>
      <w:r>
        <w:rPr>
          <w:rFonts w:hint="eastAsia" w:hAnsi="宋体" w:cs="宋体"/>
          <w:color w:val="auto"/>
          <w:sz w:val="28"/>
          <w:szCs w:val="28"/>
          <w:highlight w:val="none"/>
          <w:shd w:val="clear" w:color="auto" w:fill="auto"/>
          <w:lang w:val="en-US" w:eastAsia="zh-CN"/>
        </w:rPr>
        <w:t>申请</w:t>
      </w:r>
      <w:r>
        <w:rPr>
          <w:rFonts w:hint="eastAsia" w:ascii="宋体" w:hAnsi="宋体" w:eastAsia="宋体" w:cs="宋体"/>
          <w:color w:val="auto"/>
          <w:sz w:val="28"/>
          <w:szCs w:val="28"/>
          <w:highlight w:val="none"/>
          <w:shd w:val="clear" w:color="auto" w:fill="auto"/>
        </w:rPr>
        <w:t>报告56天后的次日起承担工程保管费用。</w:t>
      </w:r>
    </w:p>
    <w:p w14:paraId="177AA4EF">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19. 缺陷责任与保修责任</w:t>
      </w:r>
    </w:p>
    <w:p w14:paraId="209AB086">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19.1  缺陷责任期的起算时间</w:t>
      </w:r>
    </w:p>
    <w:p w14:paraId="5377909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19.1款修改为：</w:t>
      </w:r>
    </w:p>
    <w:p w14:paraId="00DE0DC3">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 w:val="0"/>
          <w:iCs/>
          <w:color w:val="auto"/>
          <w:sz w:val="28"/>
          <w:szCs w:val="28"/>
          <w:highlight w:val="none"/>
          <w:shd w:val="clear" w:color="auto" w:fill="auto"/>
        </w:rPr>
      </w:pPr>
      <w:r>
        <w:rPr>
          <w:rFonts w:hint="eastAsia" w:ascii="宋体" w:hAnsi="宋体" w:eastAsia="宋体" w:cs="宋体"/>
          <w:i w:val="0"/>
          <w:iCs/>
          <w:color w:val="auto"/>
          <w:sz w:val="28"/>
          <w:szCs w:val="28"/>
          <w:highlight w:val="none"/>
          <w:shd w:val="clear" w:color="auto" w:fill="auto"/>
        </w:rPr>
        <w:t>缺陷责任期限：</w:t>
      </w:r>
      <w:sdt>
        <w:sdtPr>
          <w:rPr>
            <w:rFonts w:hint="eastAsia" w:ascii="宋体" w:hAnsi="宋体" w:eastAsia="宋体" w:cs="宋体"/>
            <w:color w:val="auto"/>
            <w:kern w:val="2"/>
            <w:sz w:val="28"/>
            <w:szCs w:val="36"/>
            <w:shd w:val="clear" w:color="auto" w:fill="auto"/>
            <w:lang w:val="en-US" w:eastAsia="zh-CN" w:bidi="ar-SA"/>
          </w:rPr>
          <w:alias w:val="工程缺陷责任期不得超过2年"/>
          <w:tag w:val="质保期限"/>
          <w:id w:val="410911118"/>
          <w:placeholder>
            <w:docPart w:val="{9b0db63d-2499-430d-88db-12e20165257b}"/>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93"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93"/>
        </w:sdtContent>
      </w:sdt>
      <w:r>
        <w:rPr>
          <w:rFonts w:hint="eastAsia" w:ascii="宋体" w:hAnsi="宋体" w:eastAsia="宋体" w:cs="宋体"/>
          <w:color w:val="auto"/>
          <w:sz w:val="28"/>
          <w:szCs w:val="28"/>
          <w:highlight w:val="none"/>
          <w:shd w:val="clear" w:color="auto" w:fill="auto"/>
        </w:rPr>
        <w:t>。</w:t>
      </w:r>
    </w:p>
    <w:p w14:paraId="2E1640C5">
      <w:pPr>
        <w:pStyle w:val="92"/>
        <w:keepNext w:val="0"/>
        <w:keepLines w:val="0"/>
        <w:pageBreakBefore w:val="0"/>
        <w:kinsoku/>
        <w:wordWrap/>
        <w:overflowPunct/>
        <w:topLinePunct w:val="0"/>
        <w:autoSpaceDE w:val="0"/>
        <w:autoSpaceDN w:val="0"/>
        <w:bidi w:val="0"/>
        <w:snapToGrid/>
        <w:spacing w:line="540" w:lineRule="exact"/>
        <w:ind w:left="0" w:firstLine="576" w:firstLineChars="200"/>
        <w:textAlignment w:val="bottom"/>
        <w:rPr>
          <w:rFonts w:hint="eastAsia" w:ascii="宋体" w:hAnsi="宋体" w:eastAsia="宋体" w:cs="宋体"/>
          <w:snapToGrid w:val="0"/>
          <w:color w:val="auto"/>
          <w:spacing w:val="4"/>
          <w:sz w:val="28"/>
          <w:szCs w:val="28"/>
          <w:highlight w:val="none"/>
          <w:shd w:val="clear" w:color="auto" w:fill="auto"/>
        </w:rPr>
      </w:pPr>
      <w:r>
        <w:rPr>
          <w:rFonts w:hint="eastAsia" w:ascii="宋体" w:hAnsi="宋体" w:eastAsia="宋体" w:cs="宋体"/>
          <w:snapToGrid w:val="0"/>
          <w:color w:val="auto"/>
          <w:spacing w:val="4"/>
          <w:sz w:val="28"/>
          <w:szCs w:val="28"/>
          <w:highlight w:val="none"/>
          <w:shd w:val="clear" w:color="auto" w:fill="auto"/>
        </w:rPr>
        <w:t>本标缺陷责任期自本标合同完工验收通过之日起计。在全部工程竣工验收前，已经发包人提前验收的单位工程或部分工程，若未投入正常使用，其缺陷责任期亦按全部工程的竣工日开始算起。</w:t>
      </w:r>
    </w:p>
    <w:p w14:paraId="75870125">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缺陷责任：</w:t>
      </w:r>
      <w:permStart w:id="94" w:edGrp="everyone"/>
    </w:p>
    <w:p w14:paraId="7236D9A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(1)缺陷责任期内，承包人应负责未移交的工程和工程设备的全部日常维护和缺陷修复工作，对</w:t>
      </w:r>
      <w:r>
        <w:rPr>
          <w:rFonts w:hint="eastAsia" w:ascii="宋体" w:hAnsi="宋体" w:eastAsia="宋体" w:cs="宋体"/>
          <w:color w:val="auto"/>
          <w:sz w:val="28"/>
          <w:szCs w:val="28"/>
          <w:highlight w:val="none"/>
          <w:shd w:val="clear" w:color="auto" w:fill="auto"/>
          <w:lang w:eastAsia="zh-CN"/>
        </w:rPr>
        <w:t>已移交</w:t>
      </w:r>
      <w:r>
        <w:rPr>
          <w:rFonts w:hint="eastAsia" w:ascii="宋体" w:hAnsi="宋体" w:eastAsia="宋体" w:cs="宋体"/>
          <w:color w:val="auto"/>
          <w:sz w:val="28"/>
          <w:szCs w:val="28"/>
          <w:highlight w:val="none"/>
          <w:shd w:val="clear" w:color="auto" w:fill="auto"/>
        </w:rPr>
        <w:t>发包人使用的工程和工程设备，则应由发包人负责日常维护工作，但承包人应按移交证书中所列的缺陷修复清单进行修复，直至经监理人检验合格为止。</w:t>
      </w:r>
    </w:p>
    <w:p w14:paraId="61AA5130">
      <w:pPr>
        <w:pStyle w:val="92"/>
        <w:keepNext w:val="0"/>
        <w:keepLines w:val="0"/>
        <w:pageBreakBefore w:val="0"/>
        <w:numPr>
          <w:ilvl w:val="0"/>
          <w:numId w:val="5"/>
        </w:numPr>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包人在缺陷责任期内使用工程和工程设备过程中，发现新的缺陷和损坏或原修复的缺陷部位或部件又遭损坏，则承包人应按监理人的指示负责修复，直至经监理人检验合格为止。监理人应会同发包人和承包人共同进行查验，若经查验确属由于承包人施工中隐存的或其它由于承包人责任造成的缺陷或损坏，应由承包人承担修复费用；若经查验确属发包人使用不当或其它由于发包人责任造成的缺陷或损坏，则应由发包人承担修复费用。</w:t>
      </w:r>
    </w:p>
    <w:p w14:paraId="1B2C0F76">
      <w:pPr>
        <w:pStyle w:val="92"/>
        <w:keepNext w:val="0"/>
        <w:keepLines w:val="0"/>
        <w:pageBreakBefore w:val="0"/>
        <w:numPr>
          <w:ilvl w:val="0"/>
          <w:numId w:val="0"/>
        </w:numPr>
        <w:kinsoku/>
        <w:wordWrap/>
        <w:overflowPunct/>
        <w:topLinePunct w:val="0"/>
        <w:autoSpaceDE w:val="0"/>
        <w:autoSpaceDN w:val="0"/>
        <w:bidi w:val="0"/>
        <w:snapToGrid/>
        <w:spacing w:line="540" w:lineRule="exact"/>
        <w:ind w:leftChars="200"/>
        <w:textAlignment w:val="bottom"/>
        <w:rPr>
          <w:rFonts w:hint="eastAsia" w:ascii="宋体" w:hAnsi="宋体" w:eastAsia="宋体" w:cs="宋体"/>
          <w:snapToGrid w:val="0"/>
          <w:color w:val="auto"/>
          <w:spacing w:val="4"/>
          <w:sz w:val="28"/>
          <w:szCs w:val="28"/>
          <w:highlight w:val="none"/>
          <w:shd w:val="clear" w:color="auto" w:fill="auto"/>
        </w:rPr>
      </w:pPr>
      <w:r>
        <w:rPr>
          <w:rFonts w:hint="eastAsia" w:ascii="宋体" w:hAnsi="宋体" w:eastAsia="宋体" w:cs="宋体"/>
          <w:snapToGrid w:val="0"/>
          <w:color w:val="auto"/>
          <w:spacing w:val="4"/>
          <w:sz w:val="28"/>
          <w:szCs w:val="28"/>
          <w:highlight w:val="none"/>
          <w:shd w:val="clear" w:color="auto" w:fill="auto"/>
        </w:rPr>
        <w:t>19.7款补充：</w:t>
      </w:r>
    </w:p>
    <w:p w14:paraId="6C7F8175">
      <w:pPr>
        <w:pStyle w:val="114"/>
        <w:keepNext w:val="0"/>
        <w:keepLines w:val="0"/>
        <w:pageBreakBefore w:val="0"/>
        <w:widowControl w:val="0"/>
        <w:kinsoku/>
        <w:wordWrap/>
        <w:overflowPunct/>
        <w:topLinePunct w:val="0"/>
        <w:autoSpaceDE/>
        <w:autoSpaceDN/>
        <w:bidi w:val="0"/>
        <w:adjustRightInd/>
        <w:snapToGrid/>
        <w:spacing w:before="0" w:after="0" w:afterLines="0" w:line="540" w:lineRule="exact"/>
        <w:ind w:left="0" w:firstLine="560" w:firstLineChars="200"/>
        <w:textAlignment w:val="auto"/>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i w:val="0"/>
          <w:iCs/>
          <w:color w:val="auto"/>
          <w:kern w:val="0"/>
          <w:sz w:val="28"/>
          <w:szCs w:val="28"/>
          <w:highlight w:val="none"/>
          <w:shd w:val="clear" w:color="auto" w:fill="auto"/>
          <w:lang w:val="en-US" w:eastAsia="zh-CN" w:bidi="ar-SA"/>
        </w:rPr>
        <w:t>保修期限：按照《建设工程质量管理条例》(国务院令第</w:t>
      </w:r>
      <w:r>
        <w:rPr>
          <w:rFonts w:hint="eastAsia" w:ascii="宋体" w:eastAsia="宋体" w:cs="宋体"/>
          <w:i w:val="0"/>
          <w:iCs/>
          <w:color w:val="auto"/>
          <w:kern w:val="0"/>
          <w:sz w:val="28"/>
          <w:szCs w:val="28"/>
          <w:highlight w:val="none"/>
          <w:shd w:val="clear" w:color="auto" w:fill="auto"/>
          <w:lang w:val="en-US" w:eastAsia="zh-CN" w:bidi="ar-SA"/>
        </w:rPr>
        <w:t>714</w:t>
      </w:r>
      <w:r>
        <w:rPr>
          <w:rFonts w:hint="eastAsia" w:ascii="宋体" w:hAnsi="宋体" w:eastAsia="宋体" w:cs="宋体"/>
          <w:i w:val="0"/>
          <w:iCs/>
          <w:color w:val="auto"/>
          <w:kern w:val="0"/>
          <w:sz w:val="28"/>
          <w:szCs w:val="28"/>
          <w:highlight w:val="none"/>
          <w:shd w:val="clear" w:color="auto" w:fill="auto"/>
          <w:lang w:val="en-US" w:eastAsia="zh-CN" w:bidi="ar-SA"/>
        </w:rPr>
        <w:t>号）及国家相关法律法规规定执行。</w:t>
      </w:r>
    </w:p>
    <w:permEnd w:id="94"/>
    <w:p w14:paraId="45A40100">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 保险</w:t>
      </w:r>
    </w:p>
    <w:p w14:paraId="723F0CAC">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 保险</w:t>
      </w:r>
    </w:p>
    <w:p w14:paraId="389964A8">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20.1  工程保险</w:t>
      </w:r>
    </w:p>
    <w:p w14:paraId="646064D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20.1款修改为：</w:t>
      </w:r>
    </w:p>
    <w:p w14:paraId="1D66129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建筑工程一切险由发包人投保，承包人有责任和义务及时配合有关部门进行保险理赔的相关事项。</w:t>
      </w:r>
    </w:p>
    <w:p w14:paraId="2F8C04A8">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20.4  第三者责任险</w:t>
      </w:r>
    </w:p>
    <w:p w14:paraId="511FAF23">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20.4款修改为：</w:t>
      </w:r>
    </w:p>
    <w:p w14:paraId="7865B647">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在工地及其毗邻地带的第三者人员伤害和财产损失的第三者责任险由发包人投保。此项投保不免除</w:t>
      </w:r>
      <w:r>
        <w:rPr>
          <w:rFonts w:hint="eastAsia" w:hAnsi="宋体" w:cs="宋体"/>
          <w:i w:val="0"/>
          <w:iCs w:val="0"/>
          <w:color w:val="auto"/>
          <w:sz w:val="28"/>
          <w:szCs w:val="28"/>
          <w:highlight w:val="none"/>
          <w:shd w:val="clear" w:color="auto" w:fill="auto"/>
          <w:lang w:val="en-US" w:eastAsia="zh-CN"/>
        </w:rPr>
        <w:t>或减轻</w:t>
      </w:r>
      <w:r>
        <w:rPr>
          <w:rFonts w:hint="eastAsia" w:ascii="宋体" w:hAnsi="宋体" w:eastAsia="宋体" w:cs="宋体"/>
          <w:color w:val="auto"/>
          <w:sz w:val="28"/>
          <w:szCs w:val="28"/>
          <w:highlight w:val="none"/>
          <w:shd w:val="clear" w:color="auto" w:fill="auto"/>
        </w:rPr>
        <w:t>承包人和发包人各自应负的在其管辖区内及其毗邻地带发生的第三者人员伤害和财产损失的赔偿责任，其赔偿费用应包括赔偿费、诉讼费和其它有关费用。承包人有责任和义务及时配合有关部门进行保险理赔取证。</w:t>
      </w:r>
    </w:p>
    <w:p w14:paraId="416F71A8">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20.5  其他保险</w:t>
      </w:r>
    </w:p>
    <w:p w14:paraId="78CA7199">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款改为：承包人应以承包人的名义投保施工设备险，投保项目及其保险金额由承包人根据其配备的施工设备状况自行确定，但承包人应充分估计主要施工设备可能发生的重大事故以及自然灾害造成施工设备的损失和损坏对工程的影响。</w:t>
      </w:r>
    </w:p>
    <w:p w14:paraId="05643879">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20.6  对各项保险的一般要求</w:t>
      </w:r>
    </w:p>
    <w:p w14:paraId="136F541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4945381D">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20.6.4保险金不足的补偿</w:t>
      </w:r>
    </w:p>
    <w:p w14:paraId="1A2AF28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自工程开工至完工移交期间，任何未保险的或从保险部门得到的赔偿费尚不能弥补工程损失和修复损坏所需的费用时，应由发包人或承包人根据第20.7.1款或第20.7.2款规定的风险责任承担所需的费用，包括由于修复风险损坏过程中造成的工程损失和损坏所需的全部费用。</w:t>
      </w:r>
    </w:p>
    <w:p w14:paraId="31308B3A">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(2)若发生的工程风险包含第20.7.1款和第20.7.2款所述的发包人和承包人的共同风险，则应由监理人与发包人和承包人通过友好协商，按各自的风险责任分担工程的损失和修复损坏所需的全部费用。</w:t>
      </w:r>
    </w:p>
    <w:p w14:paraId="630A5CB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(3)若发生承包人设备（包括其租用的施工设备）的损失或损坏，其所得到的保险金尚不能弥补其损失或损坏的费用时，除第20.7.l款所列的风险外，应由承包人自行承担其所需的全部费用。</w:t>
      </w:r>
    </w:p>
    <w:p w14:paraId="04CAFEA9">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在工程完工移交给发包人后，除了在缺陷责任期内发生</w:t>
      </w:r>
      <w:r>
        <w:rPr>
          <w:rFonts w:hint="eastAsia" w:ascii="宋体" w:hAnsi="宋体" w:eastAsia="宋体" w:cs="宋体"/>
          <w:color w:val="auto"/>
          <w:sz w:val="28"/>
          <w:szCs w:val="28"/>
          <w:highlight w:val="none"/>
          <w:shd w:val="clear" w:color="auto" w:fill="auto"/>
          <w:lang w:eastAsia="zh-CN"/>
        </w:rPr>
        <w:t>或</w:t>
      </w:r>
      <w:r>
        <w:rPr>
          <w:rFonts w:hint="eastAsia" w:ascii="宋体" w:hAnsi="宋体" w:eastAsia="宋体" w:cs="宋体"/>
          <w:color w:val="auto"/>
          <w:sz w:val="28"/>
          <w:szCs w:val="28"/>
          <w:highlight w:val="none"/>
          <w:shd w:val="clear" w:color="auto" w:fill="auto"/>
        </w:rPr>
        <w:t>在缺陷责任期内发现的由于缺陷责任期前承包人原因造成的损失或损坏外，应由发包人承担任何风险造成工程(包括工程设备）的损失和修复损坏所需的全部费用。</w:t>
      </w:r>
    </w:p>
    <w:p w14:paraId="133E388D">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2119960B">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20.7  工程风险</w:t>
      </w:r>
    </w:p>
    <w:p w14:paraId="254D046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20.7.1发包人的风险</w:t>
      </w:r>
    </w:p>
    <w:p w14:paraId="1546316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工程（包括材料和工程设备）发生以下各种风险造成的损失和损坏，均应由发包人承担风险责任。</w:t>
      </w:r>
    </w:p>
    <w:p w14:paraId="196789D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(1)发包人负责的工程设计不当造成的损失和损坏。</w:t>
      </w:r>
    </w:p>
    <w:p w14:paraId="4BBB66F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(2)由于发包人责任造成的损失和损坏。</w:t>
      </w:r>
    </w:p>
    <w:p w14:paraId="4A4B7AE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(3)不可抗力造成的损失和损坏，按通用合同条款21条的约定承担相应的风险。</w:t>
      </w:r>
    </w:p>
    <w:p w14:paraId="0FFEE107">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20.7.2承包人的风险</w:t>
      </w:r>
    </w:p>
    <w:p w14:paraId="70AF48E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工程（包括材料和工程设备）发生以下各种风险造成的损失和损坏，均应由承包人承担风险责任。</w:t>
      </w:r>
    </w:p>
    <w:p w14:paraId="3CF69DBD">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(1)由于承包人对工程（包括材料和工程设备）照管不周造成的损失和损坏。</w:t>
      </w:r>
    </w:p>
    <w:p w14:paraId="01DF882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(2)由于承包人的责任造成的损失和损坏。</w:t>
      </w:r>
    </w:p>
    <w:p w14:paraId="5A817DC7">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(3)不可抗力造成的损失和损坏，按通用合同条款21条的约定承担相应的风险。</w:t>
      </w:r>
    </w:p>
    <w:p w14:paraId="1BA2AD5D">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20.7.3风险责任的转移</w:t>
      </w:r>
    </w:p>
    <w:p w14:paraId="12ABB616">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工程通过竣工验收并移交给发包人后，原由承包人按本条款约定应承担的风险责任，以及保险的责任、权利和义务同时转移给发包人（在缺陷责任期发生的、在缺陷责任期前的承包人原因造成的损失和损坏除外）。</w:t>
      </w:r>
    </w:p>
    <w:p w14:paraId="21555794">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 xml:space="preserve">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违约</w:t>
      </w:r>
    </w:p>
    <w:p w14:paraId="61D6B7F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22.1.2对承包人违约的处理</w:t>
      </w:r>
    </w:p>
    <w:p w14:paraId="1A3E5FD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本款补充：</w:t>
      </w:r>
    </w:p>
    <w:p w14:paraId="4F9A1882">
      <w:pPr>
        <w:pStyle w:val="92"/>
        <w:keepNext w:val="0"/>
        <w:keepLines w:val="0"/>
        <w:pageBreakBefore w:val="0"/>
        <w:numPr>
          <w:ilvl w:val="0"/>
          <w:numId w:val="6"/>
        </w:numPr>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b w:val="0"/>
          <w:i w:val="0"/>
          <w:iCs/>
          <w:color w:val="auto"/>
          <w:sz w:val="28"/>
          <w:szCs w:val="28"/>
          <w:highlight w:val="none"/>
          <w:shd w:val="clear" w:color="auto" w:fill="auto"/>
        </w:rPr>
      </w:pPr>
      <w:r>
        <w:rPr>
          <w:rFonts w:hint="eastAsia" w:ascii="宋体" w:hAnsi="宋体" w:eastAsia="宋体" w:cs="宋体"/>
          <w:b w:val="0"/>
          <w:i w:val="0"/>
          <w:iCs/>
          <w:color w:val="auto"/>
          <w:sz w:val="28"/>
          <w:szCs w:val="28"/>
          <w:highlight w:val="none"/>
          <w:shd w:val="clear" w:color="auto" w:fill="auto"/>
        </w:rPr>
        <w:t>若承包人未按发包人要求及时提交完整的工程完工结算及竣工资料，则承包人应按</w:t>
      </w:r>
      <w:r>
        <w:rPr>
          <w:rFonts w:hint="eastAsia" w:ascii="宋体" w:hAnsi="宋体" w:eastAsia="宋体" w:cs="宋体"/>
          <w:b w:val="0"/>
          <w:i w:val="0"/>
          <w:iCs/>
          <w:color w:val="auto"/>
          <w:sz w:val="28"/>
          <w:szCs w:val="28"/>
          <w:highlight w:val="none"/>
          <w:shd w:val="clear" w:color="auto" w:fill="auto"/>
          <w:lang w:val="en-US" w:eastAsia="zh-CN"/>
        </w:rPr>
        <w:t>每日</w:t>
      </w:r>
      <w:r>
        <w:rPr>
          <w:rFonts w:hint="eastAsia" w:ascii="宋体" w:hAnsi="宋体" w:eastAsia="宋体" w:cs="宋体"/>
          <w:b w:val="0"/>
          <w:i w:val="0"/>
          <w:iCs/>
          <w:color w:val="auto"/>
          <w:sz w:val="28"/>
          <w:szCs w:val="28"/>
          <w:highlight w:val="none"/>
          <w:shd w:val="clear" w:color="auto" w:fill="auto"/>
        </w:rPr>
        <w:t>人民币</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日违约金金额"/>
          <w:id w:val="23235121"/>
          <w:placeholder>
            <w:docPart w:val="{18068909-3e56-4597-9300-dc3793fddeea}"/>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95"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95"/>
        </w:sdtContent>
      </w:sdt>
      <w:r>
        <w:rPr>
          <w:rFonts w:hint="eastAsia" w:ascii="宋体" w:hAnsi="宋体" w:eastAsia="宋体" w:cs="宋体"/>
          <w:color w:val="auto"/>
          <w:kern w:val="2"/>
          <w:sz w:val="28"/>
          <w:szCs w:val="36"/>
          <w:shd w:val="clear" w:color="auto" w:fill="auto"/>
          <w:lang w:val="en-US" w:eastAsia="zh-CN" w:bidi="ar-SA"/>
        </w:rPr>
        <w:t>元</w:t>
      </w:r>
      <w:r>
        <w:rPr>
          <w:rFonts w:hint="eastAsia" w:ascii="宋体" w:hAnsi="宋体" w:eastAsia="宋体" w:cs="宋体"/>
          <w:b w:val="0"/>
          <w:i w:val="0"/>
          <w:iCs/>
          <w:color w:val="auto"/>
          <w:sz w:val="28"/>
          <w:szCs w:val="28"/>
          <w:highlight w:val="none"/>
          <w:shd w:val="clear" w:color="auto" w:fill="auto"/>
        </w:rPr>
        <w:t>的标准向发包人支付违约金。</w:t>
      </w:r>
    </w:p>
    <w:p w14:paraId="2D3223D9">
      <w:pPr>
        <w:pStyle w:val="92"/>
        <w:keepNext w:val="0"/>
        <w:keepLines w:val="0"/>
        <w:pageBreakBefore w:val="0"/>
        <w:numPr>
          <w:ilvl w:val="0"/>
          <w:numId w:val="6"/>
        </w:numPr>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b w:val="0"/>
          <w:i w:val="0"/>
          <w:iCs/>
          <w:color w:val="auto"/>
          <w:sz w:val="28"/>
          <w:szCs w:val="28"/>
          <w:highlight w:val="none"/>
          <w:shd w:val="clear" w:color="auto" w:fill="auto"/>
        </w:rPr>
      </w:pPr>
      <w:r>
        <w:rPr>
          <w:rFonts w:hint="eastAsia" w:ascii="宋体" w:hAnsi="宋体" w:eastAsia="宋体" w:cs="宋体"/>
          <w:b w:val="0"/>
          <w:i w:val="0"/>
          <w:iCs/>
          <w:color w:val="auto"/>
          <w:sz w:val="28"/>
          <w:szCs w:val="28"/>
          <w:highlight w:val="none"/>
          <w:shd w:val="clear" w:color="auto" w:fill="auto"/>
        </w:rPr>
        <w:t>若承包人违反法律法规或本合同约定进行转包、违</w:t>
      </w:r>
      <w:r>
        <w:rPr>
          <w:rFonts w:hint="eastAsia" w:hAnsi="宋体" w:cs="宋体"/>
          <w:b w:val="0"/>
          <w:i w:val="0"/>
          <w:iCs/>
          <w:color w:val="auto"/>
          <w:sz w:val="28"/>
          <w:szCs w:val="28"/>
          <w:highlight w:val="none"/>
          <w:shd w:val="clear" w:color="auto" w:fill="auto"/>
          <w:lang w:val="en-US" w:eastAsia="zh-CN"/>
        </w:rPr>
        <w:t>法</w:t>
      </w:r>
      <w:r>
        <w:rPr>
          <w:rFonts w:hint="eastAsia" w:ascii="宋体" w:hAnsi="宋体" w:eastAsia="宋体" w:cs="宋体"/>
          <w:b w:val="0"/>
          <w:i w:val="0"/>
          <w:iCs/>
          <w:color w:val="auto"/>
          <w:sz w:val="28"/>
          <w:szCs w:val="28"/>
          <w:highlight w:val="none"/>
          <w:shd w:val="clear" w:color="auto" w:fill="auto"/>
        </w:rPr>
        <w:t>分包</w:t>
      </w:r>
      <w:r>
        <w:rPr>
          <w:rFonts w:hint="eastAsia" w:hAnsi="宋体" w:cs="宋体"/>
          <w:b w:val="0"/>
          <w:i w:val="0"/>
          <w:iCs/>
          <w:color w:val="auto"/>
          <w:sz w:val="28"/>
          <w:szCs w:val="28"/>
          <w:highlight w:val="none"/>
          <w:shd w:val="clear" w:color="auto" w:fill="auto"/>
          <w:lang w:val="en-US" w:eastAsia="zh-CN"/>
        </w:rPr>
        <w:t>或承包人</w:t>
      </w:r>
      <w:r>
        <w:rPr>
          <w:rFonts w:hint="eastAsia" w:ascii="宋体" w:hAnsi="宋体" w:cs="宋体"/>
          <w:color w:val="auto"/>
          <w:sz w:val="28"/>
          <w:szCs w:val="28"/>
          <w:highlight w:val="none"/>
          <w:u w:val="none"/>
          <w:shd w:val="clear" w:color="auto" w:fill="auto"/>
          <w:lang w:val="en-US" w:eastAsia="zh-CN"/>
        </w:rPr>
        <w:t>是以挂靠方式承接工程</w:t>
      </w:r>
      <w:r>
        <w:rPr>
          <w:rFonts w:hint="eastAsia" w:ascii="宋体" w:hAnsi="宋体" w:eastAsia="宋体" w:cs="宋体"/>
          <w:color w:val="auto"/>
          <w:sz w:val="28"/>
          <w:szCs w:val="28"/>
          <w:highlight w:val="none"/>
          <w:u w:val="none"/>
          <w:shd w:val="clear" w:color="auto" w:fill="auto"/>
          <w:lang w:eastAsia="zh-CN"/>
        </w:rPr>
        <w:t>的</w:t>
      </w:r>
      <w:r>
        <w:rPr>
          <w:rFonts w:hint="eastAsia" w:ascii="宋体" w:hAnsi="宋体" w:eastAsia="宋体" w:cs="宋体"/>
          <w:b w:val="0"/>
          <w:i w:val="0"/>
          <w:iCs/>
          <w:color w:val="auto"/>
          <w:sz w:val="28"/>
          <w:szCs w:val="28"/>
          <w:highlight w:val="none"/>
          <w:shd w:val="clear" w:color="auto" w:fill="auto"/>
        </w:rPr>
        <w:t>，发包人有权立即解除合同，要求承包人</w:t>
      </w:r>
      <w:r>
        <w:rPr>
          <w:rFonts w:hint="eastAsia" w:hAnsi="宋体" w:cs="宋体"/>
          <w:b w:val="0"/>
          <w:i w:val="0"/>
          <w:iCs/>
          <w:color w:val="auto"/>
          <w:sz w:val="28"/>
          <w:szCs w:val="28"/>
          <w:highlight w:val="none"/>
          <w:shd w:val="clear" w:color="auto" w:fill="auto"/>
          <w:lang w:val="en-US" w:eastAsia="zh-CN"/>
        </w:rPr>
        <w:t>支付</w:t>
      </w:r>
      <w:r>
        <w:rPr>
          <w:rFonts w:hint="eastAsia" w:ascii="宋体" w:hAnsi="宋体" w:eastAsia="宋体" w:cs="宋体"/>
          <w:b w:val="0"/>
          <w:i w:val="0"/>
          <w:iCs/>
          <w:color w:val="auto"/>
          <w:sz w:val="28"/>
          <w:szCs w:val="28"/>
          <w:highlight w:val="none"/>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日违约金金额"/>
          <w:id w:val="256612049"/>
          <w:placeholder>
            <w:docPart w:val="{2e920239-e1bc-4dcc-8e95-cf1ac27d6770}"/>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96"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96"/>
        </w:sdtContent>
      </w:sdt>
      <w:r>
        <w:rPr>
          <w:rFonts w:hint="eastAsia" w:ascii="宋体" w:hAnsi="宋体" w:eastAsia="宋体" w:cs="宋体"/>
          <w:b w:val="0"/>
          <w:i w:val="0"/>
          <w:iCs/>
          <w:color w:val="auto"/>
          <w:sz w:val="28"/>
          <w:szCs w:val="28"/>
          <w:highlight w:val="none"/>
          <w:shd w:val="clear" w:color="auto" w:fill="auto"/>
        </w:rPr>
        <w:t>%的违约金，同时赔偿发包人因</w:t>
      </w:r>
      <w:r>
        <w:rPr>
          <w:rFonts w:hint="eastAsia" w:hAnsi="宋体" w:cs="宋体"/>
          <w:b w:val="0"/>
          <w:i w:val="0"/>
          <w:iCs/>
          <w:color w:val="auto"/>
          <w:sz w:val="28"/>
          <w:szCs w:val="28"/>
          <w:highlight w:val="none"/>
          <w:shd w:val="clear" w:color="auto" w:fill="auto"/>
          <w:lang w:val="en-US" w:eastAsia="zh-CN"/>
        </w:rPr>
        <w:t>此</w:t>
      </w:r>
      <w:r>
        <w:rPr>
          <w:rFonts w:hint="eastAsia" w:ascii="宋体" w:hAnsi="宋体" w:eastAsia="宋体" w:cs="宋体"/>
          <w:b w:val="0"/>
          <w:i w:val="0"/>
          <w:iCs/>
          <w:color w:val="auto"/>
          <w:sz w:val="28"/>
          <w:szCs w:val="28"/>
          <w:highlight w:val="none"/>
          <w:shd w:val="clear" w:color="auto" w:fill="auto"/>
        </w:rPr>
        <w:t>所遭受的任何损失</w:t>
      </w:r>
      <w:r>
        <w:rPr>
          <w:rFonts w:hint="eastAsia" w:ascii="宋体" w:hAnsi="宋体" w:eastAsia="宋体" w:cs="宋体"/>
          <w:b w:val="0"/>
          <w:i w:val="0"/>
          <w:iCs/>
          <w:color w:val="auto"/>
          <w:sz w:val="28"/>
          <w:szCs w:val="28"/>
          <w:highlight w:val="none"/>
          <w:shd w:val="clear" w:color="auto" w:fill="auto"/>
          <w:lang w:eastAsia="zh-CN"/>
        </w:rPr>
        <w:t>。</w:t>
      </w:r>
    </w:p>
    <w:p w14:paraId="1ECA5956">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 xml:space="preserve">23. </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索赔</w:t>
      </w:r>
    </w:p>
    <w:p w14:paraId="11B68D9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23.1 承包人索赔的提出</w:t>
      </w:r>
    </w:p>
    <w:p w14:paraId="2DCEAF99">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本款补充：</w:t>
      </w:r>
    </w:p>
    <w:p w14:paraId="29C3C99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（5）窝工补偿的费用和计算标准</w:t>
      </w:r>
    </w:p>
    <w:p w14:paraId="339CD2B2">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在合同实施中由于非承包人原因造成承包人的人员或设备窝工的，其补偿费按本款的规定计算。</w:t>
      </w:r>
    </w:p>
    <w:p w14:paraId="1810996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①各类（级）人员的窝工费补偿标准：</w:t>
      </w:r>
    </w:p>
    <w:p w14:paraId="3FDB94D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各类（级）人员的窝工费补偿=承包人投标各工种人工工时单价算术平均值的80%×8小时/天×窝工天数×窝工人员数量</w:t>
      </w:r>
    </w:p>
    <w:p w14:paraId="2BDBF72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窝工人员数量包括生产人员和机上人员。</w:t>
      </w:r>
    </w:p>
    <w:p w14:paraId="22388CB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②机械停置费补偿计算，按承包人投标时设备台时费组成中的相应费用标准；以机械每停置24小时为一个停置台班考虑。机械停置补偿费按台班折旧费的100%与设备维护费的50%之和计算。</w:t>
      </w:r>
    </w:p>
    <w:p w14:paraId="0A16C49B">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③管理费：管理费按各类（级）人员窝工费合计金额的10%计取。</w:t>
      </w:r>
    </w:p>
    <w:p w14:paraId="0398C829">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补偿费用计算中的窝工人员和机械的数量及窝工时间，应由承包人提供详实记录和有关证明材料，并经监理人审核和发包人确认。</w:t>
      </w:r>
    </w:p>
    <w:p w14:paraId="3AD99082">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23.4 发包人的索赔</w:t>
      </w:r>
    </w:p>
    <w:p w14:paraId="670CD99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增加条款：</w:t>
      </w:r>
    </w:p>
    <w:p w14:paraId="48A89A2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23.4.3承包人对监理人按第23.4.1项发出的索赔书面通知内容持异议时，应在收到书面通知后的14天内，将持有异议的书面报告及其证明材料提交监理人。监理人应收到承包人书面报告后的14天内，将索赔处理意见通知承包人，并按第23.4.2项的约定执行赔付。若承包人不接受监理人的索赔处理意见，可按配合第24条的约定办理。</w:t>
      </w:r>
    </w:p>
    <w:p w14:paraId="4BC3A9DC">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 争议的解决</w:t>
      </w:r>
    </w:p>
    <w:p w14:paraId="78A1F0D1">
      <w:pPr>
        <w:pStyle w:val="114"/>
        <w:keepNext w:val="0"/>
        <w:keepLines w:val="0"/>
        <w:pageBreakBefore w:val="0"/>
        <w:widowControl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24.1  争议解决方式</w:t>
      </w:r>
    </w:p>
    <w:p w14:paraId="5F7E6895">
      <w:pPr>
        <w:pStyle w:val="92"/>
        <w:keepNext w:val="0"/>
        <w:keepLines w:val="0"/>
        <w:pageBreakBefore w:val="0"/>
        <w:kinsoku/>
        <w:wordWrap/>
        <w:overflowPunct/>
        <w:topLinePunct w:val="0"/>
        <w:autoSpaceDE w:val="0"/>
        <w:autoSpaceDN w:val="0"/>
        <w:bidi w:val="0"/>
        <w:snapToGrid/>
        <w:spacing w:line="540" w:lineRule="exact"/>
        <w:ind w:left="0" w:leftChars="0" w:righ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24.1款修改为：</w:t>
      </w:r>
    </w:p>
    <w:p w14:paraId="6C2EE74B">
      <w:pPr>
        <w:pStyle w:val="199"/>
        <w:keepNext w:val="0"/>
        <w:keepLines w:val="0"/>
        <w:pageBreakBefore w:val="0"/>
        <w:widowControl w:val="0"/>
        <w:numPr>
          <w:ilvl w:val="0"/>
          <w:numId w:val="0"/>
        </w:numPr>
        <w:kinsoku/>
        <w:wordWrap/>
        <w:overflowPunct/>
        <w:topLinePunct w:val="0"/>
        <w:autoSpaceDE w:val="0"/>
        <w:autoSpaceDN w:val="0"/>
        <w:bidi w:val="0"/>
        <w:adjustRightInd w:val="0"/>
        <w:snapToGrid/>
        <w:spacing w:line="540" w:lineRule="exact"/>
        <w:ind w:left="0" w:lef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本合同在履行过程中发生争议的，应友好</w:t>
      </w:r>
      <w:r>
        <w:rPr>
          <w:rFonts w:hint="eastAsia" w:ascii="宋体" w:hAnsi="宋体" w:eastAsia="宋体" w:cs="宋体"/>
          <w:color w:val="auto"/>
          <w:sz w:val="28"/>
          <w:szCs w:val="28"/>
          <w:highlight w:val="none"/>
          <w:shd w:val="clear" w:color="auto" w:fill="auto"/>
          <w:lang w:val="zh-CN"/>
        </w:rPr>
        <w:t>协商解决；不能协商解决的，向</w:t>
      </w:r>
      <w:permStart w:id="97" w:edGrp="everyone"/>
      <w:r>
        <w:rPr>
          <w:rFonts w:hint="eastAsia" w:ascii="宋体" w:hAnsi="宋体" w:eastAsia="宋体" w:cs="宋体"/>
          <w:color w:val="auto"/>
          <w:sz w:val="28"/>
          <w:szCs w:val="28"/>
          <w:highlight w:val="none"/>
          <w:shd w:val="clear" w:color="auto" w:fill="auto"/>
          <w:lang w:val="en-US" w:eastAsia="zh-CN"/>
        </w:rPr>
        <w:t>工程</w:t>
      </w:r>
      <w:r>
        <w:rPr>
          <w:rFonts w:hint="eastAsia" w:ascii="宋体" w:hAnsi="宋体" w:eastAsia="宋体" w:cs="宋体"/>
          <w:color w:val="auto"/>
          <w:sz w:val="28"/>
          <w:szCs w:val="28"/>
          <w:highlight w:val="none"/>
          <w:shd w:val="clear" w:color="auto" w:fill="auto"/>
          <w:lang w:val="zh-CN"/>
        </w:rPr>
        <w:t>所在地</w:t>
      </w:r>
      <w:permEnd w:id="97"/>
      <w:r>
        <w:rPr>
          <w:rFonts w:hint="eastAsia" w:ascii="宋体" w:hAnsi="宋体" w:eastAsia="宋体" w:cs="宋体"/>
          <w:color w:val="auto"/>
          <w:sz w:val="28"/>
          <w:szCs w:val="28"/>
          <w:highlight w:val="none"/>
          <w:shd w:val="clear" w:color="auto" w:fill="auto"/>
          <w:lang w:val="zh-CN"/>
        </w:rPr>
        <w:t>人民法院起诉。</w:t>
      </w:r>
    </w:p>
    <w:p w14:paraId="6213D9B6">
      <w:pPr>
        <w:pStyle w:val="199"/>
        <w:keepNext w:val="0"/>
        <w:keepLines w:val="0"/>
        <w:pageBreakBefore w:val="0"/>
        <w:widowControl w:val="0"/>
        <w:numPr>
          <w:ilvl w:val="0"/>
          <w:numId w:val="0"/>
        </w:numPr>
        <w:kinsoku/>
        <w:wordWrap/>
        <w:overflowPunct/>
        <w:topLinePunct w:val="0"/>
        <w:autoSpaceDE w:val="0"/>
        <w:autoSpaceDN w:val="0"/>
        <w:bidi w:val="0"/>
        <w:adjustRightInd w:val="0"/>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14:paraId="3A73F6B8">
      <w:pPr>
        <w:pStyle w:val="199"/>
        <w:keepNext w:val="0"/>
        <w:keepLines w:val="0"/>
        <w:pageBreakBefore w:val="0"/>
        <w:widowControl w:val="0"/>
        <w:numPr>
          <w:ilvl w:val="0"/>
          <w:numId w:val="0"/>
        </w:numPr>
        <w:kinsoku/>
        <w:wordWrap/>
        <w:overflowPunct/>
        <w:topLinePunct w:val="0"/>
        <w:autoSpaceDE w:val="0"/>
        <w:autoSpaceDN w:val="0"/>
        <w:bidi w:val="0"/>
        <w:adjustRightInd w:val="0"/>
        <w:snapToGrid/>
        <w:spacing w:line="540" w:lineRule="exact"/>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因一方违反本合同导致诉讼、仲裁或其他争议处理程序的，违约方应向守约方承担另一方参加诉讼、仲裁或者其他争议处理程序而发生的律师费、公证费、鉴定费、保全保险费、调查取证费等费用。</w:t>
      </w:r>
    </w:p>
    <w:p w14:paraId="3EF2E3B0">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25. 保密</w:t>
      </w:r>
    </w:p>
    <w:p w14:paraId="0CB35F83">
      <w:pPr>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eastAsia="宋体" w:cs="宋体"/>
          <w:color w:val="auto"/>
          <w:kern w:val="0"/>
          <w:sz w:val="28"/>
          <w:szCs w:val="28"/>
          <w:highlight w:val="none"/>
          <w:shd w:val="clear" w:color="auto" w:fill="auto"/>
          <w:lang w:val="en-US" w:eastAsia="zh-CN" w:bidi="ar-SA"/>
        </w:rPr>
        <w:t>除第1.12款项规定外，</w:t>
      </w:r>
      <w:r>
        <w:rPr>
          <w:rFonts w:hint="eastAsia" w:ascii="宋体" w:hAnsi="宋体" w:cs="宋体"/>
          <w:color w:val="auto"/>
          <w:sz w:val="28"/>
          <w:szCs w:val="28"/>
          <w:shd w:val="clear" w:color="auto" w:fill="auto"/>
          <w:lang w:val="en-US" w:eastAsia="zh-CN"/>
        </w:rPr>
        <w:t>承包人</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如双方签署了《保密协议》的，则保密义务按《保密协议》约定执行</w:t>
      </w:r>
      <w:r>
        <w:rPr>
          <w:rFonts w:hint="eastAsia" w:ascii="宋体" w:hAnsi="宋体" w:cs="宋体"/>
          <w:color w:val="auto"/>
          <w:sz w:val="28"/>
          <w:szCs w:val="28"/>
          <w:shd w:val="clear" w:color="auto" w:fill="auto"/>
          <w:lang w:val="zh-CN"/>
        </w:rPr>
        <w:t>：</w:t>
      </w:r>
    </w:p>
    <w:p w14:paraId="26FDD15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25</w:t>
      </w:r>
      <w:r>
        <w:rPr>
          <w:rFonts w:hint="eastAsia" w:ascii="宋体" w:hAnsi="宋体"/>
          <w:color w:val="auto"/>
          <w:sz w:val="28"/>
          <w:szCs w:val="28"/>
          <w:shd w:val="clear" w:color="auto" w:fill="auto"/>
          <w:lang w:val="zh-CN"/>
        </w:rPr>
        <w:t>.1</w:t>
      </w:r>
      <w:r>
        <w:rPr>
          <w:rFonts w:hint="eastAsia" w:ascii="宋体" w:hAnsi="宋体" w:cs="宋体"/>
          <w:color w:val="auto"/>
          <w:sz w:val="28"/>
          <w:szCs w:val="28"/>
          <w:shd w:val="clear" w:color="auto" w:fill="auto"/>
          <w:lang w:val="zh-CN"/>
        </w:rPr>
        <w:t xml:space="preserve"> </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的发包人</w:t>
      </w:r>
      <w:r>
        <w:rPr>
          <w:rFonts w:hint="eastAsia" w:ascii="宋体" w:hAnsi="宋体" w:cs="宋体"/>
          <w:color w:val="auto"/>
          <w:sz w:val="28"/>
          <w:szCs w:val="28"/>
          <w:shd w:val="clear" w:color="auto" w:fill="auto"/>
          <w:lang w:val="zh-CN"/>
        </w:rPr>
        <w:t>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14:paraId="40337B3E">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14:paraId="5581B05E">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发包人</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14:paraId="477537E9">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敏感信息内容包括但不限于：发包人员工个人信息、公司运行管理数据、业务生产敏感数据、公司重要工作文件等。</w:t>
      </w:r>
    </w:p>
    <w:p w14:paraId="7F36769C">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25</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承包人</w:t>
      </w:r>
      <w:r>
        <w:rPr>
          <w:rFonts w:hint="eastAsia" w:ascii="宋体" w:hAnsi="宋体" w:cs="宋体"/>
          <w:color w:val="auto"/>
          <w:sz w:val="28"/>
          <w:szCs w:val="28"/>
          <w:shd w:val="clear" w:color="auto" w:fill="auto"/>
          <w:lang w:val="zh-CN"/>
        </w:rPr>
        <w:t>全体人员。</w:t>
      </w:r>
    </w:p>
    <w:p w14:paraId="0FE8B138">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25</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发包人</w:t>
      </w:r>
      <w:r>
        <w:rPr>
          <w:rFonts w:hint="eastAsia" w:ascii="宋体" w:hAnsi="宋体" w:cs="宋体"/>
          <w:color w:val="auto"/>
          <w:sz w:val="28"/>
          <w:szCs w:val="28"/>
          <w:shd w:val="clear" w:color="auto" w:fill="auto"/>
          <w:lang w:val="zh-CN"/>
        </w:rPr>
        <w:t>书面声明放弃该保密权利之日止。</w:t>
      </w:r>
    </w:p>
    <w:p w14:paraId="03B19149">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shd w:val="clear" w:color="auto" w:fill="auto"/>
          <w:lang w:val="zh-CN"/>
        </w:rPr>
      </w:pPr>
      <w:r>
        <w:rPr>
          <w:rFonts w:hint="eastAsia" w:ascii="宋体" w:eastAsia="宋体" w:cs="宋体"/>
          <w:color w:val="auto"/>
          <w:sz w:val="28"/>
          <w:szCs w:val="28"/>
          <w:shd w:val="clear" w:color="auto" w:fill="auto"/>
          <w:lang w:val="en-US" w:eastAsia="zh-CN"/>
        </w:rPr>
        <w:t>25</w:t>
      </w:r>
      <w:r>
        <w:rPr>
          <w:rFonts w:hint="eastAsia" w:ascii="宋体" w:hAnsi="宋体" w:eastAsia="宋体" w:cs="宋体"/>
          <w:color w:val="auto"/>
          <w:sz w:val="28"/>
          <w:szCs w:val="28"/>
          <w:shd w:val="clear" w:color="auto" w:fill="auto"/>
          <w:lang w:val="zh-CN"/>
        </w:rPr>
        <w:t>.4 泄密责任：</w:t>
      </w:r>
    </w:p>
    <w:p w14:paraId="4BC8C233">
      <w:pPr>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承包人不得将保密内容透露给第三方，不得允许任何第三方使用保密内容，亦不得将保密内容用于与履行本合同无关的其他目的；否则，按照</w:t>
      </w:r>
      <w:permStart w:id="98" w:edGrp="everyone"/>
      <w:r>
        <w:rPr>
          <w:rFonts w:hint="eastAsia" w:ascii="宋体" w:hAnsi="宋体" w:cs="宋体"/>
          <w:color w:val="auto"/>
          <w:sz w:val="28"/>
          <w:szCs w:val="28"/>
          <w:shd w:val="clear" w:color="auto" w:fill="auto"/>
          <w:lang w:val="en-US" w:eastAsia="zh-CN"/>
        </w:rPr>
        <w:t xml:space="preserve">    </w:t>
      </w:r>
      <w:permEnd w:id="98"/>
      <w:r>
        <w:rPr>
          <w:rFonts w:hint="eastAsia" w:ascii="宋体" w:hAnsi="宋体" w:cs="宋体"/>
          <w:color w:val="auto"/>
          <w:sz w:val="28"/>
          <w:szCs w:val="28"/>
          <w:shd w:val="clear" w:color="auto" w:fill="auto"/>
          <w:lang w:val="en-US" w:eastAsia="zh-CN"/>
        </w:rPr>
        <w:t>的标准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发包人</w:t>
      </w:r>
      <w:r>
        <w:rPr>
          <w:rFonts w:hint="eastAsia" w:ascii="宋体" w:hAnsi="宋体"/>
          <w:color w:val="auto"/>
          <w:sz w:val="28"/>
          <w:szCs w:val="28"/>
          <w:shd w:val="clear" w:color="auto" w:fill="auto"/>
        </w:rPr>
        <w:t>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14:paraId="2E2A0A2F">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kern w:val="0"/>
          <w:sz w:val="28"/>
          <w:szCs w:val="28"/>
          <w:highlight w:val="none"/>
          <w:shd w:val="clear" w:color="auto" w:fill="auto"/>
          <w:lang w:val="en-US" w:eastAsia="zh-CN" w:bidi="ar-SA"/>
        </w:rPr>
      </w:pPr>
      <w:r>
        <w:rPr>
          <w:rFonts w:hint="eastAsia" w:ascii="宋体" w:hAnsi="宋体" w:cs="宋体" w:eastAsiaTheme="minorEastAsia"/>
          <w:color w:val="auto"/>
          <w:sz w:val="28"/>
          <w:szCs w:val="28"/>
          <w:shd w:val="clear" w:color="auto" w:fill="auto"/>
          <w:lang w:val="en-US"/>
        </w:rPr>
        <w:t>（</w:t>
      </w:r>
      <w:r>
        <w:rPr>
          <w:rFonts w:hint="eastAsia" w:ascii="宋体" w:hAnsi="宋体" w:cs="宋体" w:eastAsiaTheme="minorEastAsia"/>
          <w:color w:val="auto"/>
          <w:sz w:val="28"/>
          <w:szCs w:val="28"/>
          <w:shd w:val="clear" w:color="auto" w:fill="auto"/>
          <w:lang w:val="en-US" w:eastAsia="zh-CN"/>
        </w:rPr>
        <w:t>2</w:t>
      </w:r>
      <w:r>
        <w:rPr>
          <w:rFonts w:hint="eastAsia" w:ascii="宋体" w:hAnsi="宋体" w:cs="宋体" w:eastAsiaTheme="minorEastAsia"/>
          <w:color w:val="auto"/>
          <w:sz w:val="28"/>
          <w:szCs w:val="28"/>
          <w:shd w:val="clear" w:color="auto" w:fill="auto"/>
          <w:lang w:val="en-US"/>
        </w:rPr>
        <w:t>）</w:t>
      </w:r>
      <w:r>
        <w:rPr>
          <w:rFonts w:hint="eastAsia" w:ascii="宋体" w:hAnsi="宋体" w:cs="宋体" w:eastAsiaTheme="minorEastAsia"/>
          <w:color w:val="auto"/>
          <w:sz w:val="28"/>
          <w:szCs w:val="28"/>
          <w:shd w:val="clear" w:color="auto" w:fill="auto"/>
          <w:lang w:val="en-US" w:eastAsia="zh-CN"/>
        </w:rPr>
        <w:t>承包人应于本合同项下项目结束后或合同解除后5日内向发包人退还发包人提供的相关资料，或经发包人同意后将相关资料全部销毁。如</w:t>
      </w:r>
      <w:r>
        <w:rPr>
          <w:rFonts w:hint="eastAsia" w:ascii="宋体" w:hAnsi="宋体" w:eastAsia="宋体" w:cs="宋体"/>
          <w:color w:val="auto"/>
          <w:sz w:val="28"/>
          <w:szCs w:val="28"/>
          <w:shd w:val="clear" w:color="auto" w:fill="auto"/>
          <w:lang w:val="en-US" w:eastAsia="zh-CN"/>
        </w:rPr>
        <w:t>承包人</w:t>
      </w:r>
      <w:r>
        <w:rPr>
          <w:rFonts w:hint="eastAsia" w:ascii="宋体" w:eastAsia="宋体" w:cs="宋体"/>
          <w:color w:val="auto"/>
          <w:sz w:val="28"/>
          <w:szCs w:val="28"/>
          <w:shd w:val="clear" w:color="auto" w:fill="auto"/>
          <w:lang w:val="en-US" w:eastAsia="zh-CN"/>
        </w:rPr>
        <w:t>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w:t>
      </w:r>
      <w:r>
        <w:rPr>
          <w:rFonts w:hint="eastAsia" w:ascii="宋体" w:eastAsia="宋体" w:cs="宋体"/>
          <w:color w:val="auto"/>
          <w:sz w:val="28"/>
          <w:szCs w:val="28"/>
          <w:shd w:val="clear" w:color="auto" w:fill="auto"/>
          <w:lang w:val="en-US" w:eastAsia="zh-CN"/>
        </w:rPr>
        <w:t>还</w:t>
      </w:r>
      <w:r>
        <w:rPr>
          <w:rFonts w:hint="eastAsia" w:ascii="宋体" w:hAnsi="宋体" w:eastAsia="宋体" w:cs="宋体"/>
          <w:color w:val="auto"/>
          <w:sz w:val="28"/>
          <w:szCs w:val="28"/>
          <w:shd w:val="clear" w:color="auto" w:fill="auto"/>
        </w:rPr>
        <w:t>应向</w:t>
      </w:r>
      <w:r>
        <w:rPr>
          <w:rFonts w:hint="eastAsia" w:ascii="宋体" w:hAnsi="宋体" w:eastAsia="宋体" w:cs="宋体"/>
          <w:color w:val="auto"/>
          <w:sz w:val="28"/>
          <w:szCs w:val="28"/>
          <w:shd w:val="clear" w:color="auto" w:fill="auto"/>
          <w:lang w:val="en-US" w:eastAsia="zh-CN"/>
        </w:rPr>
        <w:t>发包人按照</w:t>
      </w:r>
      <w:permStart w:id="99" w:edGrp="everyone"/>
      <w:r>
        <w:rPr>
          <w:rFonts w:hint="eastAsia" w:ascii="宋体" w:hAnsi="宋体" w:eastAsia="宋体" w:cs="宋体"/>
          <w:color w:val="auto"/>
          <w:sz w:val="28"/>
          <w:szCs w:val="28"/>
          <w:shd w:val="clear" w:color="auto" w:fill="auto"/>
          <w:lang w:val="en-US" w:eastAsia="zh-CN"/>
        </w:rPr>
        <w:t xml:space="preserve">    </w:t>
      </w:r>
      <w:permEnd w:id="99"/>
      <w:r>
        <w:rPr>
          <w:rFonts w:hint="eastAsia" w:ascii="宋体" w:hAnsi="宋体" w:eastAsia="宋体" w:cs="宋体"/>
          <w:color w:val="auto"/>
          <w:sz w:val="28"/>
          <w:szCs w:val="28"/>
          <w:shd w:val="clear" w:color="auto" w:fill="auto"/>
          <w:lang w:val="en-US" w:eastAsia="zh-CN"/>
        </w:rPr>
        <w:t>的标准</w:t>
      </w:r>
      <w:r>
        <w:rPr>
          <w:rFonts w:hint="eastAsia" w:ascii="宋体" w:hAnsi="宋体" w:eastAsia="宋体" w:cs="宋体"/>
          <w:color w:val="auto"/>
          <w:sz w:val="28"/>
          <w:szCs w:val="28"/>
          <w:shd w:val="clear" w:color="auto" w:fill="auto"/>
        </w:rPr>
        <w:t>支付违约金，赔偿</w:t>
      </w:r>
      <w:r>
        <w:rPr>
          <w:rFonts w:hint="eastAsia" w:ascii="宋体" w:hAnsi="宋体" w:eastAsia="宋体" w:cs="宋体"/>
          <w:color w:val="auto"/>
          <w:sz w:val="28"/>
          <w:szCs w:val="28"/>
          <w:shd w:val="clear" w:color="auto" w:fill="auto"/>
          <w:lang w:val="en-US" w:eastAsia="zh-CN"/>
        </w:rPr>
        <w:t>发包人</w:t>
      </w:r>
      <w:r>
        <w:rPr>
          <w:rFonts w:hint="eastAsia" w:ascii="宋体" w:hAnsi="宋体" w:eastAsia="宋体" w:cs="宋体"/>
          <w:color w:val="auto"/>
          <w:sz w:val="28"/>
          <w:szCs w:val="28"/>
          <w:shd w:val="clear" w:color="auto" w:fill="auto"/>
        </w:rPr>
        <w:t>因此造成的损失。</w:t>
      </w:r>
    </w:p>
    <w:p w14:paraId="7A84A5C7">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26. 承包人提交的文件</w:t>
      </w:r>
    </w:p>
    <w:p w14:paraId="3C3A79D2">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b w:val="0"/>
          <w:i w:val="0"/>
          <w:i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承包人按合同规定要求提交监理人或发包人的文件应同时附带电子版文件（不可擦写光盘）；电子文件格式为：</w:t>
      </w:r>
      <w:permStart w:id="100" w:edGrp="everyone"/>
      <w:r>
        <w:rPr>
          <w:rFonts w:hint="eastAsia" w:ascii="宋体" w:hAnsi="宋体" w:eastAsia="宋体" w:cs="宋体"/>
          <w:color w:val="auto"/>
          <w:sz w:val="28"/>
          <w:szCs w:val="28"/>
          <w:highlight w:val="none"/>
          <w:shd w:val="clear" w:color="auto" w:fill="auto"/>
        </w:rPr>
        <w:t>文本文件采用Word2003或经发包人许可的其它文字处理软件，图形文件采用AutoCAD2004或经发包人许可的其它图形处理软件，报表及各种形象图表采用EXCEL2003或经发包人许可的其它数据库处理软件，有关进度的图表及数据必须采用Primavera公司的工程进度管理软件P3或经发包人许可的其它工程进度管理软件。</w:t>
      </w:r>
    </w:p>
    <w:permEnd w:id="100"/>
    <w:p w14:paraId="28813759">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27. 工作面移交</w:t>
      </w:r>
    </w:p>
    <w:p w14:paraId="7C1543EC">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各承包人之间工作界面的交接方式：</w:t>
      </w:r>
    </w:p>
    <w:p w14:paraId="1094711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各承包人必须根据施工进度的要求，提前或按期完成自己的工作界面移交，并在其工作界面移交前28天，向监理人提出书面申请，并提交包括以下内容的资料：</w:t>
      </w:r>
    </w:p>
    <w:p w14:paraId="175002D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(1)界面范围说明；</w:t>
      </w:r>
    </w:p>
    <w:p w14:paraId="3FD0998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(2)符合技术条款规定的界面范围内的工程量结算依据资料；</w:t>
      </w:r>
    </w:p>
    <w:p w14:paraId="35BDEC4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(3)技术条款规定的经归类整理的各种材料、工程质量检查验收资料和文件；</w:t>
      </w:r>
    </w:p>
    <w:p w14:paraId="4EBC0ED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(4)界面范围内由下一承包人完成后续工序的各种埋件工程的标识文件；</w:t>
      </w:r>
    </w:p>
    <w:p w14:paraId="411E8B15">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(5)监理人事先提出由承包人准备的其它有关资料。</w:t>
      </w:r>
    </w:p>
    <w:p w14:paraId="3911339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上述资料齐备后，承包人在监理人的组织下，进行该移交面的交接工作。对移交的界面范围内需由下一承包人完成后续工序的各种埋件工程应在移交现场做好统一标识与编号，不得混淆；质量不合格的部分或单元工程不得办理界面移交手续。</w:t>
      </w:r>
    </w:p>
    <w:p w14:paraId="23D1431D">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28</w:t>
      </w:r>
      <w:r>
        <w:rPr>
          <w:rFonts w:hint="eastAsia" w:ascii="宋体" w:hAnsi="宋体" w:eastAsia="宋体" w:cs="宋体"/>
          <w:iCs/>
          <w:color w:val="auto"/>
          <w:sz w:val="28"/>
          <w:szCs w:val="28"/>
          <w:highlight w:val="none"/>
          <w:shd w:val="clear" w:color="auto" w:fill="auto"/>
          <w:lang w:val="en-US" w:eastAsia="zh-CN"/>
        </w:rPr>
        <w:t>.</w:t>
      </w:r>
      <w:r>
        <w:rPr>
          <w:rFonts w:hint="eastAsia" w:ascii="宋体" w:hAnsi="宋体" w:eastAsia="宋体" w:cs="宋体"/>
          <w:iCs/>
          <w:color w:val="auto"/>
          <w:sz w:val="28"/>
          <w:szCs w:val="28"/>
          <w:highlight w:val="none"/>
          <w:shd w:val="clear" w:color="auto" w:fill="auto"/>
        </w:rPr>
        <w:t xml:space="preserve"> 质量检测</w:t>
      </w:r>
    </w:p>
    <w:p w14:paraId="60F95D0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iCs/>
          <w:color w:val="auto"/>
          <w:sz w:val="28"/>
          <w:szCs w:val="28"/>
          <w:highlight w:val="none"/>
          <w:shd w:val="clear" w:color="auto" w:fill="auto"/>
        </w:rPr>
        <w:t>承</w:t>
      </w:r>
      <w:r>
        <w:rPr>
          <w:rFonts w:hint="eastAsia" w:hAnsi="宋体" w:cs="宋体"/>
          <w:iCs/>
          <w:color w:val="auto"/>
          <w:sz w:val="28"/>
          <w:szCs w:val="28"/>
          <w:highlight w:val="none"/>
          <w:shd w:val="clear" w:color="auto" w:fill="auto"/>
          <w:lang w:val="en-US" w:eastAsia="zh-CN"/>
        </w:rPr>
        <w:t>包</w:t>
      </w:r>
      <w:r>
        <w:rPr>
          <w:rFonts w:hint="eastAsia" w:ascii="宋体" w:hAnsi="宋体" w:eastAsia="宋体" w:cs="宋体"/>
          <w:iCs/>
          <w:color w:val="auto"/>
          <w:sz w:val="28"/>
          <w:szCs w:val="28"/>
          <w:highlight w:val="none"/>
          <w:shd w:val="clear" w:color="auto" w:fill="auto"/>
        </w:rPr>
        <w:t>人应在工地现场建立质量检测试验室或委托有资质的第三方质量检测机构，按照相关规范要求开展质量检测工作，相关试验、检测报告作为相应工程验收和质量评定的依据。</w:t>
      </w:r>
    </w:p>
    <w:p w14:paraId="0939F68F">
      <w:pPr>
        <w:pStyle w:val="114"/>
        <w:keepNext w:val="0"/>
        <w:keepLines w:val="0"/>
        <w:pageBreakBefore w:val="0"/>
        <w:kinsoku/>
        <w:wordWrap/>
        <w:overflowPunct/>
        <w:topLinePunct w:val="0"/>
        <w:bidi w:val="0"/>
        <w:snapToGrid/>
        <w:spacing w:before="0" w:after="0" w:afterLines="0" w:line="540" w:lineRule="exact"/>
        <w:ind w:left="0" w:firstLine="560" w:firstLineChars="200"/>
        <w:outlineLvl w:val="2"/>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 档案管理</w:t>
      </w:r>
    </w:p>
    <w:p w14:paraId="265EF24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严格执行国家、行业及发包人有关工程项目档案法律法规、标准规范及制度等，履行承包人在工程项目档案管理方面的职责，收集整理反映工程建设情况的文件及竣工文件，保证提交的档案通过工程档案专项验收。</w:t>
      </w:r>
    </w:p>
    <w:p w14:paraId="20650060">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参加发包人组织的工程项目档案技术交底，熟悉发包人有关工程档案管理流程、要求，编制《项目档案管理专项策划书》，与《施工组织方案》等作为开工报审的必要文件。隐蔽工程应提交覆盖前的影像资料存档。</w:t>
      </w:r>
    </w:p>
    <w:p w14:paraId="33DC8619">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承包人应配置与工程项目适宜的档案管理人员，保障档案人员数量、技能水平及稳定性，档案管理负责人变更应书面征得发包人同意后方可变更。</w:t>
      </w:r>
    </w:p>
    <w:p w14:paraId="68C3AEA4">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29.1 收集范围</w:t>
      </w:r>
    </w:p>
    <w:p w14:paraId="4F3E9AA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反映与项目有关的各项职能活动、具有查考利用价值的各种载体的文件。</w:t>
      </w:r>
      <w:permStart w:id="101" w:edGrp="everyone"/>
      <w:r>
        <w:rPr>
          <w:rFonts w:hint="eastAsia" w:ascii="宋体" w:hAnsi="宋体" w:eastAsia="宋体" w:cs="宋体"/>
          <w:color w:val="auto"/>
          <w:sz w:val="28"/>
          <w:szCs w:val="28"/>
          <w:highlight w:val="none"/>
          <w:shd w:val="clear" w:color="auto" w:fill="auto"/>
        </w:rPr>
        <w:t>具体范围见《抽水蓄能电站建设项目归档文件类型</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抽水蓄能电站建设项目文件归档范围及保管期限表》。</w:t>
      </w:r>
      <w:permEnd w:id="101"/>
    </w:p>
    <w:p w14:paraId="475CF6DF">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29.2 收集时间</w:t>
      </w:r>
    </w:p>
    <w:p w14:paraId="2A68D898">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各类文件应按文件形成的先后顺序或项目完成情况及时收集。施工技术文件应按单元工程进行收集；管理性文件在工作完成后应即时收集。</w:t>
      </w:r>
    </w:p>
    <w:p w14:paraId="2BE13C79">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29.3 归档时间</w:t>
      </w:r>
    </w:p>
    <w:p w14:paraId="1CFACEC2">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应由文件形成单位根据文件形成的阶段或项目完成情况，按项目建设程序及时收集归档。</w:t>
      </w:r>
    </w:p>
    <w:p w14:paraId="68FF759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承包人要建立与工程施工同步收集、整理项目文件材料的管理制度及机制；要配置适应工程项目档案管理的硬件设施，确保项目文件安全有序保管；配合发包人组织的档案专项检查，对检查发现问题应认真整改。</w:t>
      </w:r>
    </w:p>
    <w:p w14:paraId="1BE826F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建设单位形成的前期文件、竣工阶段文件、生产准备文件，在文件办理完毕后，按阶段及时归档；设计勘察单位在勘察、设计工作完成后及时归档勘察设计文件；设备厂家提供的设备文件在开箱验收后及时收集归档；施工单位的施工文件在分部工程完工后三个月内完成整理归档，其中竣工图和决算文件在决算完成后及时归档；监理文件按年度收集归档，每年的第一季度完成前一年度文件的归档；质检站文件分批次及时移交给施工单位，由施工单位编入竣工档案归档，其他参建单位按照合同要求及时归档相关文件。</w:t>
      </w:r>
    </w:p>
    <w:p w14:paraId="2F84926F">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b w:val="0"/>
          <w:i w:val="0"/>
          <w:i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若承包人未按发包人要求及时进行档案归档，则承包人应按</w:t>
      </w:r>
      <w:r>
        <w:rPr>
          <w:rFonts w:hint="eastAsia" w:ascii="宋体" w:hAnsi="宋体" w:eastAsia="宋体" w:cs="宋体"/>
          <w:b w:val="0"/>
          <w:i w:val="0"/>
          <w:iCs/>
          <w:color w:val="auto"/>
          <w:sz w:val="28"/>
          <w:szCs w:val="28"/>
          <w:highlight w:val="none"/>
          <w:shd w:val="clear" w:color="auto" w:fill="auto"/>
          <w:lang w:val="en-US" w:eastAsia="zh-CN"/>
        </w:rPr>
        <w:t>每日</w:t>
      </w:r>
      <w:r>
        <w:rPr>
          <w:rFonts w:hint="eastAsia" w:ascii="宋体" w:hAnsi="宋体" w:eastAsia="宋体" w:cs="宋体"/>
          <w:b w:val="0"/>
          <w:i w:val="0"/>
          <w:iCs/>
          <w:color w:val="auto"/>
          <w:sz w:val="28"/>
          <w:szCs w:val="28"/>
          <w:highlight w:val="none"/>
          <w:shd w:val="clear" w:color="auto" w:fill="auto"/>
        </w:rPr>
        <w:t>人民币</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日违约金金额"/>
          <w:id w:val="29744258"/>
          <w:placeholder>
            <w:docPart w:val="{f61eedaa-5e29-403e-9f59-13156f3c25a8}"/>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102"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102"/>
        </w:sdtContent>
      </w:sdt>
      <w:r>
        <w:rPr>
          <w:rFonts w:hint="eastAsia" w:ascii="宋体" w:hAnsi="宋体" w:eastAsia="宋体" w:cs="宋体"/>
          <w:color w:val="auto"/>
          <w:kern w:val="2"/>
          <w:sz w:val="28"/>
          <w:szCs w:val="36"/>
          <w:shd w:val="clear" w:color="auto" w:fill="auto"/>
          <w:lang w:val="en-US" w:eastAsia="zh-CN" w:bidi="ar-SA"/>
        </w:rPr>
        <w:t>元</w:t>
      </w:r>
      <w:r>
        <w:rPr>
          <w:rFonts w:hint="eastAsia" w:ascii="宋体" w:hAnsi="宋体" w:eastAsia="宋体" w:cs="宋体"/>
          <w:color w:val="auto"/>
          <w:sz w:val="28"/>
          <w:szCs w:val="28"/>
          <w:highlight w:val="none"/>
          <w:shd w:val="clear" w:color="auto" w:fill="auto"/>
        </w:rPr>
        <w:t>的标准向发包人支付违约金。</w:t>
      </w:r>
    </w:p>
    <w:p w14:paraId="2E0D2DDC">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29.4 质量要求</w:t>
      </w:r>
    </w:p>
    <w:p w14:paraId="0534B352">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29.4.1 字迹清楚，图样清晰，图表整洁，签字盖章手续完备，并且归档的文件材料应为原件，特殊情况下的复印件，应加盖责任单位印章。</w:t>
      </w:r>
    </w:p>
    <w:p w14:paraId="2A5CC13D">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29.4.2 需永久、长期保存的文件不得使用易褪色（红色墨水、纯蓝墨水，圆珠笔、复写纸、铅笔等）的书写材料书写、绘制。特殊情况必须在备考表和编制说明中说明并做好复制备份等相关措施。</w:t>
      </w:r>
    </w:p>
    <w:p w14:paraId="3E678557">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29.4.3 迹不清或破损的或由易褪色书写材料（如复写纸、热敏纸等）形成的重要材料，应进行复制，与原件一起归档，复制件在前，原件在后。</w:t>
      </w:r>
    </w:p>
    <w:p w14:paraId="47B0FD4E">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29.4.4 照片文件应图像清晰，数码照片像素应达到档案要求标准。</w:t>
      </w:r>
    </w:p>
    <w:p w14:paraId="4E41EEF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iCs/>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29.4.5 录音、录像文件应保证载体的有效性。</w:t>
      </w:r>
    </w:p>
    <w:p w14:paraId="002217DA">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29.5 归档数量</w:t>
      </w:r>
    </w:p>
    <w:p w14:paraId="6DD95341">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归档文件一式两套；其中，竣工图和电子文件光盘一式三套，一套提供利用，两套作为备份和异地保存；竣工图要求三套均为原件，其它归档文件必须有一套为原件。</w:t>
      </w:r>
    </w:p>
    <w:p w14:paraId="7BEC1516">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29.6 归档移交</w:t>
      </w:r>
    </w:p>
    <w:p w14:paraId="21A45354">
      <w:pPr>
        <w:pStyle w:val="92"/>
        <w:keepNext w:val="0"/>
        <w:keepLines w:val="0"/>
        <w:pageBreakBefore w:val="0"/>
        <w:kinsoku/>
        <w:wordWrap/>
        <w:overflowPunct/>
        <w:topLinePunct w:val="0"/>
        <w:autoSpaceDE w:val="0"/>
        <w:autoSpaceDN w:val="0"/>
        <w:bidi w:val="0"/>
        <w:snapToGrid/>
        <w:spacing w:line="540" w:lineRule="exact"/>
        <w:ind w:left="0" w:firstLine="560" w:firstLineChars="200"/>
        <w:textAlignment w:val="bottom"/>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各参建单位应使用建设单位提供的档案管理软件对审查合格的归档项目文件进行录入、电子文件挂接等工作，编制立卷说明并打印《案卷移交清册》，填写《分部工程档案验收表》和《分部工程竣工档案移交表》，各单位相关人员签字认可后移交给建设单位档案室。</w:t>
      </w:r>
    </w:p>
    <w:p w14:paraId="0E42DF68">
      <w:pPr>
        <w:pStyle w:val="114"/>
        <w:keepNext w:val="0"/>
        <w:keepLines w:val="0"/>
        <w:pageBreakBefore w:val="0"/>
        <w:kinsoku/>
        <w:wordWrap/>
        <w:overflowPunct/>
        <w:topLinePunct w:val="0"/>
        <w:bidi w:val="0"/>
        <w:snapToGrid/>
        <w:spacing w:before="0" w:after="0" w:afterLines="0" w:line="540" w:lineRule="exact"/>
        <w:ind w:left="0" w:firstLine="560" w:firstLineChars="2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30  数字化应用要求</w:t>
      </w:r>
    </w:p>
    <w:p w14:paraId="5336F2F7">
      <w:pPr>
        <w:pStyle w:val="114"/>
        <w:keepNext w:val="0"/>
        <w:keepLines w:val="0"/>
        <w:pageBreakBefore w:val="0"/>
        <w:numPr>
          <w:ilvl w:val="0"/>
          <w:numId w:val="0"/>
        </w:numPr>
        <w:kinsoku/>
        <w:wordWrap/>
        <w:overflowPunct/>
        <w:topLinePunct w:val="0"/>
        <w:bidi w:val="0"/>
        <w:snapToGrid/>
        <w:spacing w:before="0" w:after="0" w:afterLines="0" w:line="540" w:lineRule="exact"/>
        <w:ind w:left="0" w:leftChars="0" w:right="0" w:firstLine="560" w:firstLineChars="200"/>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承包人履行合同期间，应遵守发包人关于数字化建设与应用的有关要求，包括但不限于以下内容：</w:t>
      </w:r>
    </w:p>
    <w:p w14:paraId="15AABFA3">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permStart w:id="103" w:edGrp="everyone"/>
      <w:r>
        <w:rPr>
          <w:rFonts w:hint="eastAsia" w:ascii="宋体" w:hAnsi="宋体" w:eastAsia="宋体" w:cs="宋体"/>
          <w:color w:val="auto"/>
          <w:sz w:val="28"/>
          <w:szCs w:val="28"/>
          <w:highlight w:val="none"/>
          <w:shd w:val="clear" w:color="auto" w:fill="auto"/>
          <w:lang w:val="en-US" w:eastAsia="zh-CN"/>
        </w:rPr>
        <w:t>工程建设全过程使用项目建设管理系统（以下简称“PMS”）进行工程进度、质量、安全、造价、设备、监造、文档等管理范围的全过程闭环管理，承包人应指定本标段数字化应用的联络人，负责组织本标段人员的账号申请、印章注册、组织推广和应用培训等工作；</w:t>
      </w:r>
    </w:p>
    <w:p w14:paraId="63233FA0">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应积极组织PMS在本标段的推广应用，及时完成相关数据和文档资料的录入填报和问题的整改闭环，文档和数据录入按照“谁发起、谁负责；谁产生、谁负责”原则实施，如果承包人的数据和资料的录入不及时、不准确、不完整，以致影响工程管理业务流程的正常流转，责任由承包人承担；</w:t>
      </w:r>
    </w:p>
    <w:p w14:paraId="2A0EED39">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承包人应向发包人提供相关电子文件的原始格式电子文档，包括不限于：三维模型文件、CAD、图片视频等，并按要求上传至PMS；</w:t>
      </w:r>
    </w:p>
    <w:p w14:paraId="42614774">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PMS全面使用基于第三方电子签名服务的电子签章，承包人应指定本单位（项目部）电子印章管理员，按电子印章注册要求及时完成电子印章的申请注册，如因电子印章申请注册办理滞后或电子签名盖章不及时，导致系统业务功能不能正常使用（如影响结算报量、付款申请流程），责任由承包人自行承担；</w:t>
      </w:r>
    </w:p>
    <w:p w14:paraId="44197C3D">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合同执行中承包人应使用支持云平台的进度管理软件进行施工进度计划的编制，并通过与PMS的协同应用及时对本标段施工进度计划进行跟踪填报和进度偏差分析；承包人根据工程施工管理实际需要自行购买进度管理软件；</w:t>
      </w:r>
    </w:p>
    <w:p w14:paraId="3264156B">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设备供应商(包括设备厂家)、设备安装单位、监理单位应使用设备管理应用（包括设备制造、发货、到货、出入库、开箱验收、监造、缺陷跟踪等），及时录入设备管理的相关数据和资料；</w:t>
      </w:r>
    </w:p>
    <w:p w14:paraId="27758760">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承包人在施工现场安装部署的视频监控，应配合发包人将视频数据接入PMS智慧系统；</w:t>
      </w:r>
    </w:p>
    <w:p w14:paraId="07E4556D">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承包人应按照实名制要求，组织实施本标段所有人员（包括新进场人员）的实名制认证工作；</w:t>
      </w:r>
    </w:p>
    <w:p w14:paraId="573935C0">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承包人应做好本标段人员的信息保密和网络安全的宣贯培训，杜绝本标段数据泄露和网络安全的事件发生；</w:t>
      </w:r>
    </w:p>
    <w:p w14:paraId="6553FDB8">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承包人应充分考虑PMS使用时增加的成本费用，并将其计入报价当中，发包人不再另行支付费用。承包人不得以各种理由拒绝在PMS进行本标段数据和资料的录入；</w:t>
      </w:r>
    </w:p>
    <w:p w14:paraId="0395E0E5">
      <w:pPr>
        <w:pStyle w:val="114"/>
        <w:keepNext w:val="0"/>
        <w:keepLines w:val="0"/>
        <w:pageBreakBefore w:val="0"/>
        <w:widowControl w:val="0"/>
        <w:numPr>
          <w:ilvl w:val="0"/>
          <w:numId w:val="7"/>
        </w:numPr>
        <w:kinsoku/>
        <w:wordWrap/>
        <w:overflowPunct/>
        <w:topLinePunct w:val="0"/>
        <w:autoSpaceDE/>
        <w:autoSpaceDN/>
        <w:bidi w:val="0"/>
        <w:adjustRightInd/>
        <w:snapToGrid/>
        <w:spacing w:before="0" w:after="0" w:afterLines="0" w:line="540" w:lineRule="exact"/>
        <w:ind w:left="0" w:leftChars="0" w:right="0" w:firstLine="560" w:firstLineChars="200"/>
        <w:textAlignment w:val="auto"/>
        <w:outlineLvl w:val="2"/>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发包人可视情况将承包人PMS的使用情况作为承包人扣分和评价的依据之一。</w:t>
      </w:r>
      <w:permEnd w:id="103"/>
    </w:p>
    <w:p w14:paraId="3BF3BFE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default" w:ascii="宋体" w:hAnsi="宋体" w:eastAsia="宋体" w:cs="宋体"/>
          <w:color w:val="auto"/>
          <w:sz w:val="28"/>
          <w:szCs w:val="28"/>
          <w:shd w:val="clear" w:color="auto" w:fill="auto"/>
          <w:lang w:val="en-US"/>
        </w:rPr>
        <w:t>31</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廉洁条款</w:t>
      </w:r>
    </w:p>
    <w:p w14:paraId="7B401E0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default" w:ascii="宋体" w:hAnsi="宋体" w:eastAsia="宋体" w:cs="宋体"/>
          <w:color w:val="auto"/>
          <w:sz w:val="28"/>
          <w:szCs w:val="28"/>
          <w:shd w:val="clear" w:color="auto" w:fill="auto"/>
          <w:lang w:val="en-US"/>
        </w:rPr>
        <w:t>31</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0FDD5FB2">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eastAsia="宋体" w:cs="宋体"/>
          <w:color w:val="auto"/>
          <w:sz w:val="28"/>
          <w:szCs w:val="28"/>
          <w:shd w:val="clear" w:color="auto" w:fill="auto"/>
          <w:lang w:val="en-US"/>
        </w:rPr>
        <w:t>31</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3581ECD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default" w:ascii="宋体" w:hAnsi="宋体" w:eastAsia="宋体" w:cs="宋体"/>
          <w:color w:val="auto"/>
          <w:sz w:val="28"/>
          <w:szCs w:val="28"/>
          <w:shd w:val="clear" w:color="auto" w:fill="auto"/>
          <w:lang w:val="en-US"/>
        </w:rPr>
        <w:t>31</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49774D2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104" w:edGrp="everyone"/>
      <w:r>
        <w:rPr>
          <w:rFonts w:hint="eastAsia" w:ascii="宋体" w:hAnsi="宋体" w:eastAsia="宋体" w:cs="宋体"/>
          <w:color w:val="auto"/>
          <w:sz w:val="28"/>
          <w:szCs w:val="28"/>
          <w:u w:val="single"/>
          <w:shd w:val="clear" w:color="auto" w:fill="auto"/>
          <w:lang w:val="en-US" w:eastAsia="zh-CN"/>
        </w:rPr>
        <w:t xml:space="preserve">    </w:t>
      </w:r>
      <w:permEnd w:id="104"/>
      <w:r>
        <w:rPr>
          <w:rFonts w:hint="eastAsia" w:ascii="宋体" w:hAnsi="宋体" w:eastAsia="宋体" w:cs="宋体"/>
          <w:color w:val="auto"/>
          <w:sz w:val="28"/>
          <w:szCs w:val="28"/>
          <w:shd w:val="clear" w:color="auto" w:fill="auto"/>
        </w:rPr>
        <w:t>；举报地址：</w:t>
      </w:r>
      <w:permStart w:id="105" w:edGrp="everyone"/>
      <w:r>
        <w:rPr>
          <w:rFonts w:hint="eastAsia" w:ascii="宋体" w:hAnsi="宋体" w:eastAsia="宋体" w:cs="宋体"/>
          <w:color w:val="auto"/>
          <w:sz w:val="28"/>
          <w:szCs w:val="28"/>
          <w:u w:val="single"/>
          <w:shd w:val="clear" w:color="auto" w:fill="auto"/>
          <w:lang w:val="en-US"/>
        </w:rPr>
        <w:t xml:space="preserve">    </w:t>
      </w:r>
      <w:permEnd w:id="105"/>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106" w:edGrp="everyone"/>
      <w:r>
        <w:rPr>
          <w:rFonts w:hint="eastAsia" w:ascii="宋体" w:hAnsi="宋体" w:eastAsia="宋体" w:cs="宋体"/>
          <w:color w:val="auto"/>
          <w:sz w:val="28"/>
          <w:szCs w:val="28"/>
          <w:u w:val="single"/>
          <w:shd w:val="clear" w:color="auto" w:fill="auto"/>
          <w:lang w:val="en-US"/>
        </w:rPr>
        <w:t xml:space="preserve">     </w:t>
      </w:r>
      <w:permEnd w:id="106"/>
      <w:r>
        <w:rPr>
          <w:rFonts w:hint="eastAsia" w:ascii="宋体" w:hAnsi="宋体" w:eastAsia="宋体" w:cs="宋体"/>
          <w:color w:val="auto"/>
          <w:sz w:val="28"/>
          <w:szCs w:val="28"/>
          <w:shd w:val="clear" w:color="auto" w:fill="auto"/>
        </w:rPr>
        <w:t>；举报电话：</w:t>
      </w:r>
      <w:permStart w:id="107" w:edGrp="everyone"/>
      <w:r>
        <w:rPr>
          <w:rFonts w:hint="eastAsia" w:ascii="宋体" w:hAnsi="宋体" w:eastAsia="宋体" w:cs="宋体"/>
          <w:b w:val="0"/>
          <w:bCs w:val="0"/>
          <w:color w:val="auto"/>
          <w:sz w:val="28"/>
          <w:szCs w:val="28"/>
          <w:u w:val="single"/>
          <w:shd w:val="clear" w:color="auto" w:fill="auto"/>
          <w:lang w:val="en-US"/>
        </w:rPr>
        <w:t xml:space="preserve">    </w:t>
      </w:r>
      <w:permEnd w:id="107"/>
      <w:r>
        <w:rPr>
          <w:rFonts w:hint="eastAsia" w:ascii="宋体" w:hAnsi="宋体" w:eastAsia="宋体" w:cs="宋体"/>
          <w:color w:val="auto"/>
          <w:sz w:val="28"/>
          <w:szCs w:val="28"/>
          <w:shd w:val="clear" w:color="auto" w:fill="auto"/>
        </w:rPr>
        <w:t>。</w:t>
      </w:r>
    </w:p>
    <w:p w14:paraId="0DB82D90">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default" w:ascii="宋体" w:hAnsi="宋体" w:eastAsia="宋体" w:cs="宋体"/>
          <w:color w:val="auto"/>
          <w:sz w:val="28"/>
          <w:szCs w:val="28"/>
          <w:shd w:val="clear" w:color="auto" w:fill="auto"/>
          <w:lang w:val="en-US"/>
        </w:rPr>
        <w:t>31</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542621DD">
      <w:pPr>
        <w:pStyle w:val="114"/>
        <w:keepNext w:val="0"/>
        <w:keepLines w:val="0"/>
        <w:pageBreakBefore w:val="0"/>
        <w:numPr>
          <w:ilvl w:val="0"/>
          <w:numId w:val="0"/>
        </w:numPr>
        <w:kinsoku/>
        <w:wordWrap/>
        <w:overflowPunct/>
        <w:topLinePunct w:val="0"/>
        <w:bidi w:val="0"/>
        <w:snapToGrid/>
        <w:spacing w:before="0" w:after="0" w:afterLines="0" w:line="540" w:lineRule="exact"/>
        <w:ind w:firstLine="561" w:firstLineChars="200"/>
        <w:rPr>
          <w:rFonts w:hint="eastAsia" w:ascii="宋体" w:hAnsi="宋体" w:eastAsia="宋体" w:cs="宋体"/>
          <w:b/>
          <w:bCs w:val="0"/>
          <w:color w:val="auto"/>
          <w:sz w:val="28"/>
          <w:szCs w:val="28"/>
          <w:highlight w:val="none"/>
          <w:shd w:val="clear" w:color="auto" w:fill="auto"/>
          <w:lang w:val="en-US" w:eastAsia="zh-CN"/>
        </w:rPr>
      </w:pPr>
      <w:r>
        <w:rPr>
          <w:rFonts w:hint="default" w:ascii="宋体" w:hAnsi="宋体" w:eastAsia="宋体" w:cs="宋体"/>
          <w:b/>
          <w:bCs w:val="0"/>
          <w:color w:val="auto"/>
          <w:sz w:val="28"/>
          <w:szCs w:val="28"/>
          <w:shd w:val="clear" w:color="auto" w:fill="auto"/>
          <w:lang w:val="en-US"/>
        </w:rPr>
        <w:t>31</w:t>
      </w:r>
      <w:r>
        <w:rPr>
          <w:rFonts w:hint="eastAsia" w:ascii="宋体" w:hAnsi="宋体" w:eastAsia="宋体" w:cs="宋体"/>
          <w:b/>
          <w:bCs w:val="0"/>
          <w:color w:val="auto"/>
          <w:sz w:val="28"/>
          <w:szCs w:val="28"/>
          <w:shd w:val="clear" w:color="auto" w:fill="auto"/>
          <w:lang w:val="en-US" w:eastAsia="zh-CN"/>
        </w:rPr>
        <w:t>.</w:t>
      </w:r>
      <w:r>
        <w:rPr>
          <w:rFonts w:hint="eastAsia" w:ascii="宋体" w:hAnsi="宋体" w:eastAsia="宋体" w:cs="宋体"/>
          <w:b/>
          <w:bCs w:val="0"/>
          <w:color w:val="auto"/>
          <w:sz w:val="28"/>
          <w:szCs w:val="28"/>
          <w:shd w:val="clear" w:color="auto" w:fill="auto"/>
        </w:rPr>
        <w:t>5</w:t>
      </w:r>
      <w:r>
        <w:rPr>
          <w:rFonts w:hint="eastAsia" w:ascii="宋体" w:hAnsi="宋体" w:eastAsia="宋体" w:cs="宋体"/>
          <w:b/>
          <w:bCs w:val="0"/>
          <w:color w:val="auto"/>
          <w:sz w:val="28"/>
          <w:szCs w:val="28"/>
          <w:shd w:val="clear" w:color="auto" w:fill="auto"/>
          <w:lang w:val="en-US" w:eastAsia="zh-CN"/>
        </w:rPr>
        <w:t xml:space="preserve"> </w:t>
      </w:r>
      <w:r>
        <w:rPr>
          <w:rFonts w:hint="eastAsia" w:ascii="宋体" w:hAnsi="宋体" w:eastAsia="宋体" w:cs="宋体"/>
          <w:b/>
          <w:bCs w:val="0"/>
          <w:color w:val="auto"/>
          <w:sz w:val="28"/>
          <w:szCs w:val="28"/>
          <w:shd w:val="clear" w:color="auto" w:fill="auto"/>
        </w:rPr>
        <w:t>乙方违反国家及本合同有关廉洁规定的，</w:t>
      </w:r>
      <w:r>
        <w:rPr>
          <w:rFonts w:hint="eastAsia" w:ascii="宋体" w:hAnsi="宋体" w:eastAsia="宋体" w:cs="宋体"/>
          <w:b/>
          <w:bCs w:val="0"/>
          <w:color w:val="auto"/>
          <w:sz w:val="28"/>
          <w:szCs w:val="28"/>
          <w:shd w:val="clear" w:color="auto" w:fill="auto"/>
          <w:lang w:val="en-US" w:eastAsia="zh-CN"/>
        </w:rPr>
        <w:t>甲方有权根据中国南方电网有限责任公司供应商失信处理有关规定，在</w:t>
      </w:r>
      <w:r>
        <w:rPr>
          <w:rFonts w:hint="eastAsia" w:ascii="宋体" w:eastAsia="宋体" w:cs="宋体"/>
          <w:b/>
          <w:bCs w:val="0"/>
          <w:color w:val="auto"/>
          <w:sz w:val="28"/>
          <w:szCs w:val="28"/>
          <w:shd w:val="clear" w:color="auto" w:fill="auto"/>
          <w:lang w:val="en-US" w:eastAsia="zh-CN"/>
        </w:rPr>
        <w:t>中国</w:t>
      </w:r>
      <w:r>
        <w:rPr>
          <w:rFonts w:hint="eastAsia" w:ascii="宋体" w:hAnsi="宋体" w:eastAsia="宋体" w:cs="宋体"/>
          <w:b/>
          <w:bCs w:val="0"/>
          <w:color w:val="auto"/>
          <w:sz w:val="28"/>
          <w:szCs w:val="28"/>
          <w:shd w:val="clear" w:color="auto" w:fill="auto"/>
          <w:lang w:val="en-US" w:eastAsia="zh-CN"/>
        </w:rPr>
        <w:t>南方电网</w:t>
      </w:r>
      <w:r>
        <w:rPr>
          <w:rFonts w:hint="eastAsia" w:ascii="宋体" w:eastAsia="宋体" w:cs="宋体"/>
          <w:b/>
          <w:bCs w:val="0"/>
          <w:color w:val="auto"/>
          <w:sz w:val="28"/>
          <w:szCs w:val="28"/>
          <w:shd w:val="clear" w:color="auto" w:fill="auto"/>
          <w:lang w:val="en-US" w:eastAsia="zh-CN"/>
        </w:rPr>
        <w:t>有限责任</w:t>
      </w:r>
      <w:r>
        <w:rPr>
          <w:rFonts w:hint="eastAsia" w:ascii="宋体" w:hAnsi="宋体" w:eastAsia="宋体" w:cs="宋体"/>
          <w:b/>
          <w:bCs w:val="0"/>
          <w:color w:val="auto"/>
          <w:sz w:val="28"/>
          <w:szCs w:val="28"/>
          <w:shd w:val="clear" w:color="auto" w:fill="auto"/>
          <w:lang w:val="en-US" w:eastAsia="zh-CN"/>
        </w:rPr>
        <w:t>公司范围内</w:t>
      </w:r>
      <w:r>
        <w:rPr>
          <w:rFonts w:hint="eastAsia" w:ascii="宋体" w:hAnsi="宋体" w:eastAsia="宋体" w:cs="宋体"/>
          <w:b/>
          <w:bCs w:val="0"/>
          <w:color w:val="auto"/>
          <w:sz w:val="28"/>
          <w:szCs w:val="28"/>
          <w:shd w:val="clear" w:color="auto" w:fill="auto"/>
        </w:rPr>
        <w:t>对乙方</w:t>
      </w:r>
      <w:r>
        <w:rPr>
          <w:rFonts w:hint="eastAsia" w:ascii="宋体" w:hAnsi="宋体" w:eastAsia="宋体" w:cs="宋体"/>
          <w:b/>
          <w:bCs w:val="0"/>
          <w:color w:val="auto"/>
          <w:sz w:val="28"/>
          <w:szCs w:val="28"/>
          <w:shd w:val="clear" w:color="auto" w:fill="auto"/>
          <w:lang w:val="en-US" w:eastAsia="zh-CN"/>
        </w:rPr>
        <w:t>进行一定期限的</w:t>
      </w:r>
      <w:r>
        <w:rPr>
          <w:rFonts w:hint="eastAsia" w:ascii="宋体" w:hAnsi="宋体" w:eastAsia="宋体" w:cs="宋体"/>
          <w:b/>
          <w:bCs w:val="0"/>
          <w:color w:val="auto"/>
          <w:sz w:val="28"/>
          <w:szCs w:val="28"/>
          <w:shd w:val="clear" w:color="auto" w:fill="auto"/>
        </w:rPr>
        <w:t>不接受投标</w:t>
      </w:r>
      <w:r>
        <w:rPr>
          <w:rFonts w:hint="eastAsia" w:ascii="宋体" w:hAnsi="宋体" w:eastAsia="宋体" w:cs="宋体"/>
          <w:b/>
          <w:bCs w:val="0"/>
          <w:color w:val="auto"/>
          <w:sz w:val="28"/>
          <w:szCs w:val="28"/>
          <w:shd w:val="clear" w:color="auto" w:fill="auto"/>
          <w:lang w:eastAsia="zh-CN"/>
        </w:rPr>
        <w:t>、</w:t>
      </w:r>
      <w:r>
        <w:rPr>
          <w:rFonts w:hint="eastAsia" w:ascii="宋体" w:hAnsi="宋体" w:eastAsia="宋体" w:cs="宋体"/>
          <w:b/>
          <w:bCs w:val="0"/>
          <w:color w:val="auto"/>
          <w:sz w:val="28"/>
          <w:szCs w:val="28"/>
          <w:shd w:val="clear" w:color="auto" w:fill="auto"/>
          <w:lang w:val="en-US" w:eastAsia="zh-CN"/>
        </w:rPr>
        <w:t>市场禁入（包括暂停投标资格、取消中标或成交资格、不签订新的订单合同或发出新的订单）等</w:t>
      </w:r>
      <w:bookmarkStart w:id="680" w:name="_GoBack"/>
      <w:bookmarkEnd w:id="680"/>
      <w:r>
        <w:rPr>
          <w:rFonts w:hint="eastAsia" w:ascii="宋体" w:hAnsi="宋体" w:eastAsia="宋体" w:cs="宋体"/>
          <w:b/>
          <w:bCs w:val="0"/>
          <w:color w:val="auto"/>
          <w:sz w:val="28"/>
          <w:szCs w:val="28"/>
          <w:shd w:val="clear" w:color="auto" w:fill="auto"/>
          <w:lang w:val="en-US" w:eastAsia="zh-CN"/>
        </w:rPr>
        <w:t>不与其发生新的采购活动的处理，并有权单方解除合同，因此造成的损失由乙方承担</w:t>
      </w:r>
      <w:r>
        <w:rPr>
          <w:rFonts w:hint="eastAsia" w:ascii="宋体" w:hAnsi="宋体" w:eastAsia="宋体" w:cs="宋体"/>
          <w:b/>
          <w:bCs w:val="0"/>
          <w:color w:val="auto"/>
          <w:sz w:val="28"/>
          <w:szCs w:val="28"/>
          <w:shd w:val="clear" w:color="auto" w:fill="auto"/>
        </w:rPr>
        <w:t>；涉嫌犯罪的，移送司法机关依法追究刑事责任。</w:t>
      </w:r>
    </w:p>
    <w:p w14:paraId="700D9929">
      <w:pPr>
        <w:pStyle w:val="114"/>
        <w:keepNext w:val="0"/>
        <w:keepLines w:val="0"/>
        <w:pageBreakBefore w:val="0"/>
        <w:numPr>
          <w:ilvl w:val="0"/>
          <w:numId w:val="0"/>
        </w:numPr>
        <w:kinsoku/>
        <w:wordWrap/>
        <w:overflowPunct/>
        <w:topLinePunct w:val="0"/>
        <w:bidi w:val="0"/>
        <w:snapToGrid/>
        <w:spacing w:before="0" w:after="0" w:afterLines="0" w:line="540" w:lineRule="exact"/>
        <w:ind w:firstLine="560" w:firstLineChars="200"/>
        <w:rPr>
          <w:rFonts w:hint="eastAsia" w:ascii="宋体" w:hAnsi="宋体" w:eastAsia="宋体" w:cs="宋体"/>
          <w:color w:val="auto"/>
          <w:sz w:val="28"/>
          <w:szCs w:val="28"/>
          <w:highlight w:val="none"/>
          <w:shd w:val="clear" w:color="auto" w:fill="auto"/>
          <w:lang w:val="en-US" w:eastAsia="zh-CN"/>
        </w:rPr>
      </w:pPr>
      <w:r>
        <w:rPr>
          <w:rFonts w:hint="default" w:ascii="宋体" w:eastAsia="宋体" w:cs="宋体"/>
          <w:color w:val="auto"/>
          <w:sz w:val="28"/>
          <w:szCs w:val="28"/>
          <w:highlight w:val="none"/>
          <w:shd w:val="clear" w:color="auto" w:fill="auto"/>
          <w:lang w:val="en-US" w:eastAsia="zh-CN"/>
        </w:rPr>
        <w:t>32.</w:t>
      </w:r>
      <w:r>
        <w:rPr>
          <w:rFonts w:hint="eastAsia" w:ascii="宋体" w:hAnsi="宋体" w:eastAsia="宋体" w:cs="宋体"/>
          <w:color w:val="auto"/>
          <w:sz w:val="28"/>
          <w:szCs w:val="28"/>
          <w:highlight w:val="none"/>
          <w:shd w:val="clear" w:color="auto" w:fill="auto"/>
          <w:lang w:val="en-US" w:eastAsia="zh-CN"/>
        </w:rPr>
        <w:t>附件</w:t>
      </w:r>
    </w:p>
    <w:p w14:paraId="7909D2EA">
      <w:pPr>
        <w:pStyle w:val="92"/>
        <w:keepNext w:val="0"/>
        <w:keepLines w:val="0"/>
        <w:pageBreakBefore w:val="0"/>
        <w:kinsoku/>
        <w:wordWrap/>
        <w:overflowPunct/>
        <w:topLinePunct w:val="0"/>
        <w:autoSpaceDE w:val="0"/>
        <w:autoSpaceDN w:val="0"/>
        <w:bidi w:val="0"/>
        <w:snapToGrid/>
        <w:spacing w:line="540" w:lineRule="exact"/>
        <w:ind w:left="0" w:leftChars="0" w:right="0" w:firstLine="560" w:firstLineChars="200"/>
        <w:textAlignment w:val="bottom"/>
        <w:outlineLvl w:val="3"/>
        <w:rPr>
          <w:rFonts w:hint="eastAsia" w:ascii="宋体" w:hAnsi="宋体" w:eastAsia="宋体" w:cs="宋体"/>
          <w:color w:val="auto"/>
          <w:sz w:val="28"/>
          <w:szCs w:val="28"/>
          <w:highlight w:val="none"/>
          <w:shd w:val="clear" w:color="auto" w:fill="auto"/>
          <w:lang w:val="en-US" w:eastAsia="zh-CN"/>
        </w:rPr>
      </w:pPr>
      <w:permStart w:id="108" w:edGrp="everyone"/>
      <w:r>
        <w:rPr>
          <w:rFonts w:hint="eastAsia" w:ascii="宋体" w:hAnsi="宋体" w:eastAsia="宋体" w:cs="宋体"/>
          <w:color w:val="auto"/>
          <w:sz w:val="28"/>
          <w:szCs w:val="28"/>
          <w:highlight w:val="none"/>
          <w:shd w:val="clear" w:color="auto" w:fill="auto"/>
          <w:lang w:val="en-US" w:eastAsia="zh-CN"/>
        </w:rPr>
        <w:t>附件1：工程量报价清单</w:t>
      </w:r>
    </w:p>
    <w:p w14:paraId="39A32CE0">
      <w:pPr>
        <w:pStyle w:val="92"/>
        <w:keepNext w:val="0"/>
        <w:keepLines w:val="0"/>
        <w:pageBreakBefore w:val="0"/>
        <w:kinsoku/>
        <w:wordWrap/>
        <w:overflowPunct/>
        <w:topLinePunct w:val="0"/>
        <w:autoSpaceDE w:val="0"/>
        <w:autoSpaceDN w:val="0"/>
        <w:bidi w:val="0"/>
        <w:snapToGrid/>
        <w:spacing w:line="540" w:lineRule="exact"/>
        <w:ind w:left="0" w:leftChars="0" w:right="0" w:firstLine="560" w:firstLineChars="200"/>
        <w:textAlignment w:val="bottom"/>
        <w:outlineLvl w:val="3"/>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附件2：澄清补遗</w:t>
      </w:r>
      <w:r>
        <w:rPr>
          <w:rFonts w:hint="eastAsia" w:ascii="宋体" w:hAnsi="宋体" w:eastAsia="宋体" w:cs="宋体"/>
          <w:i/>
          <w:iCs/>
          <w:color w:val="auto"/>
          <w:sz w:val="28"/>
          <w:szCs w:val="28"/>
          <w:highlight w:val="none"/>
          <w:shd w:val="clear" w:color="auto" w:fill="auto"/>
          <w:lang w:val="en-US" w:eastAsia="zh-CN"/>
        </w:rPr>
        <w:t>（若有）</w:t>
      </w:r>
    </w:p>
    <w:p w14:paraId="0BBFC78C">
      <w:pPr>
        <w:pStyle w:val="92"/>
        <w:keepNext w:val="0"/>
        <w:keepLines w:val="0"/>
        <w:pageBreakBefore w:val="0"/>
        <w:kinsoku/>
        <w:wordWrap/>
        <w:overflowPunct/>
        <w:topLinePunct w:val="0"/>
        <w:autoSpaceDE w:val="0"/>
        <w:autoSpaceDN w:val="0"/>
        <w:bidi w:val="0"/>
        <w:snapToGrid/>
        <w:spacing w:line="540" w:lineRule="exact"/>
        <w:ind w:left="0" w:leftChars="0" w:right="0" w:firstLine="560" w:firstLineChars="200"/>
        <w:textAlignment w:val="bottom"/>
        <w:outlineLvl w:val="3"/>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附件3：谈判纪要</w:t>
      </w:r>
      <w:r>
        <w:rPr>
          <w:rFonts w:hint="eastAsia" w:ascii="宋体" w:hAnsi="宋体" w:eastAsia="宋体" w:cs="宋体"/>
          <w:i/>
          <w:iCs/>
          <w:color w:val="auto"/>
          <w:sz w:val="28"/>
          <w:szCs w:val="28"/>
          <w:highlight w:val="none"/>
          <w:shd w:val="clear" w:color="auto" w:fill="auto"/>
          <w:lang w:val="en-US" w:eastAsia="zh-CN"/>
        </w:rPr>
        <w:t>（若有）</w:t>
      </w:r>
    </w:p>
    <w:p w14:paraId="2875E081">
      <w:pPr>
        <w:pStyle w:val="92"/>
        <w:keepNext w:val="0"/>
        <w:keepLines w:val="0"/>
        <w:pageBreakBefore w:val="0"/>
        <w:kinsoku/>
        <w:wordWrap/>
        <w:overflowPunct/>
        <w:topLinePunct w:val="0"/>
        <w:autoSpaceDE w:val="0"/>
        <w:autoSpaceDN w:val="0"/>
        <w:bidi w:val="0"/>
        <w:snapToGrid/>
        <w:spacing w:line="540" w:lineRule="exact"/>
        <w:ind w:left="0" w:leftChars="0" w:right="0" w:firstLine="560" w:firstLineChars="200"/>
        <w:textAlignment w:val="bottom"/>
        <w:outlineLvl w:val="3"/>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附件4：保障农民工工资协议（另附）</w:t>
      </w:r>
    </w:p>
    <w:p w14:paraId="73CAA32B">
      <w:pPr>
        <w:pStyle w:val="92"/>
        <w:keepNext w:val="0"/>
        <w:keepLines w:val="0"/>
        <w:pageBreakBefore w:val="0"/>
        <w:kinsoku/>
        <w:wordWrap/>
        <w:overflowPunct/>
        <w:topLinePunct w:val="0"/>
        <w:autoSpaceDE w:val="0"/>
        <w:autoSpaceDN w:val="0"/>
        <w:bidi w:val="0"/>
        <w:snapToGrid/>
        <w:spacing w:line="540" w:lineRule="exact"/>
        <w:ind w:left="0" w:leftChars="0" w:right="0" w:firstLine="560" w:firstLineChars="200"/>
        <w:textAlignment w:val="bottom"/>
        <w:outlineLvl w:val="3"/>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附件5：廉洁协议书（另附）</w:t>
      </w:r>
    </w:p>
    <w:p w14:paraId="46BA04FB">
      <w:pPr>
        <w:pStyle w:val="92"/>
        <w:keepNext w:val="0"/>
        <w:keepLines w:val="0"/>
        <w:pageBreakBefore w:val="0"/>
        <w:kinsoku/>
        <w:wordWrap/>
        <w:overflowPunct/>
        <w:topLinePunct w:val="0"/>
        <w:autoSpaceDE w:val="0"/>
        <w:autoSpaceDN w:val="0"/>
        <w:bidi w:val="0"/>
        <w:snapToGrid/>
        <w:spacing w:line="540" w:lineRule="exact"/>
        <w:ind w:left="0" w:leftChars="0" w:right="0" w:firstLine="560" w:firstLineChars="200"/>
        <w:textAlignment w:val="bottom"/>
        <w:outlineLvl w:val="3"/>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附件6：施工安全协议（另附）</w:t>
      </w:r>
    </w:p>
    <w:permEnd w:id="108"/>
    <w:p w14:paraId="54138F95">
      <w:pPr>
        <w:pStyle w:val="92"/>
        <w:keepNext w:val="0"/>
        <w:keepLines w:val="0"/>
        <w:pageBreakBefore w:val="0"/>
        <w:kinsoku/>
        <w:wordWrap/>
        <w:overflowPunct/>
        <w:topLinePunct w:val="0"/>
        <w:autoSpaceDE w:val="0"/>
        <w:autoSpaceDN w:val="0"/>
        <w:bidi w:val="0"/>
        <w:snapToGrid/>
        <w:spacing w:line="540" w:lineRule="exact"/>
        <w:ind w:left="0" w:leftChars="0" w:right="0" w:firstLine="561" w:firstLineChars="200"/>
        <w:textAlignment w:val="bottom"/>
        <w:outlineLvl w:val="3"/>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（以下无正文）</w:t>
      </w:r>
    </w:p>
    <w:sectPr>
      <w:headerReference r:id="rId6" w:type="default"/>
      <w:footerReference r:id="rId7"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体">
    <w:altName w:val="方正仿宋_GBK"/>
    <w:panose1 w:val="00000000000000000000"/>
    <w:charset w:val="86"/>
    <w:family w:val="modern"/>
    <w:pitch w:val="default"/>
    <w:sig w:usb0="00000000" w:usb1="00000000" w:usb2="00000010" w:usb3="00000000" w:csb0="00040000" w:csb1="00000000"/>
  </w:font>
  <w:font w:name="Cambria">
    <w:altName w:val="苹方-简"/>
    <w:panose1 w:val="02040503050406030204"/>
    <w:charset w:val="00"/>
    <w:family w:val="roman"/>
    <w:pitch w:val="default"/>
    <w:sig w:usb0="00000000" w:usb1="00000000" w:usb2="02000000" w:usb3="00000000" w:csb0="2000019F" w:csb1="00000000"/>
  </w:font>
  <w:font w:name="华文细黑">
    <w:altName w:val="黑体-简"/>
    <w:panose1 w:val="02010600040101010101"/>
    <w:charset w:val="86"/>
    <w:family w:val="auto"/>
    <w:pitch w:val="default"/>
    <w:sig w:usb0="00000000" w:usb1="00000000" w:usb2="00000000" w:usb3="00000000" w:csb0="0004009F" w:csb1="DFD70000"/>
  </w:font>
  <w:font w:name="仿宋_GB2312">
    <w:altName w:val="方正仿宋_GBK"/>
    <w:panose1 w:val="02010609030101010101"/>
    <w:charset w:val="86"/>
    <w:family w:val="roman"/>
    <w:pitch w:val="default"/>
    <w:sig w:usb0="00000000" w:usb1="00000000" w:usb2="00000000" w:usb3="00000000" w:csb0="00040000" w:csb1="00000000"/>
  </w:font>
  <w:font w:name="ˎ̥">
    <w:altName w:val="苹方-简"/>
    <w:panose1 w:val="00000000000000000000"/>
    <w:charset w:val="00"/>
    <w:family w:val="modern"/>
    <w:pitch w:val="default"/>
    <w:sig w:usb0="00000000" w:usb1="00000000" w:usb2="00000000" w:usb3="00000000" w:csb0="00000000" w:csb1="00000000"/>
  </w:font>
  <w:font w:name="华文新魏">
    <w:altName w:val="宋体-简"/>
    <w:panose1 w:val="02010800040101010101"/>
    <w:charset w:val="86"/>
    <w:family w:val="auto"/>
    <w:pitch w:val="default"/>
    <w:sig w:usb0="00000000" w:usb1="00000000" w:usb2="00000000" w:usb3="00000000" w:csb0="00040000" w:csb1="00000000"/>
  </w:font>
  <w:font w:name="Tms Rmn">
    <w:altName w:val="苹方-简"/>
    <w:panose1 w:val="02020603040505020304"/>
    <w:charset w:val="00"/>
    <w:family w:val="roman"/>
    <w:pitch w:val="default"/>
    <w:sig w:usb0="00000000" w:usb1="00000000" w:usb2="00000000" w:usb3="00000000" w:csb0="00000001" w:csb1="00000000"/>
  </w:font>
  <w:font w:name="Italic">
    <w:altName w:val="苹方-简"/>
    <w:panose1 w:val="00000000000000000000"/>
    <w:charset w:val="00"/>
    <w:family w:val="auto"/>
    <w:pitch w:val="default"/>
    <w:sig w:usb0="00000000" w:usb1="00000000" w:usb2="00000000" w:usb3="00000000" w:csb0="000001F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auto"/>
    <w:pitch w:val="default"/>
    <w:sig w:usb0="E1002AFF" w:usb1="C000605B" w:usb2="00000029" w:usb3="00000000" w:csb0="200101FF" w:csb1="20280000"/>
  </w:font>
  <w:font w:name="方正仿宋_GBK">
    <w:panose1 w:val="02000000000000000000"/>
    <w:charset w:val="86"/>
    <w:family w:val="script"/>
    <w:pitch w:val="default"/>
    <w:sig w:usb0="A00002BF" w:usb1="38CF7CFA" w:usb2="00082016"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Kingsoft Sign">
    <w:panose1 w:val="05050102010706020507"/>
    <w:charset w:val="00"/>
    <w:family w:val="auto"/>
    <w:pitch w:val="default"/>
    <w:sig w:usb0="00000000" w:usb1="10000000" w:usb2="00000000" w:usb3="00000000" w:csb0="00000001" w:csb1="00000000"/>
  </w:font>
  <w:font w:name="黑体-简">
    <w:panose1 w:val="02000000000000000000"/>
    <w:charset w:val="86"/>
    <w:family w:val="auto"/>
    <w:pitch w:val="default"/>
    <w:sig w:usb0="8000002F" w:usb1="0800004A" w:usb2="00000000" w:usb3="00000000" w:csb0="203E0000" w:csb1="00000000"/>
  </w:font>
  <w:font w:name="PingFang SC">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DBE02F">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1021CE47">
                          <w:pPr>
                            <w:snapToGrid w:val="0"/>
                            <w:rPr>
                              <w:rFonts w:hint="eastAsia" w:eastAsia="宋体"/>
                              <w:sz w:val="18"/>
                              <w:lang w:eastAsia="zh-CN"/>
                            </w:rPr>
                          </w:pPr>
                          <w:r>
                            <w:rPr>
                              <w:rFonts w:hint="eastAsia" w:eastAsia="宋体"/>
                              <w:sz w:val="18"/>
                              <w:lang w:eastAsia="zh-CN"/>
                            </w:rPr>
                            <w:t xml:space="preserve">第 </w:t>
                          </w: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rFonts w:hint="eastAsia" w:eastAsia="宋体"/>
                              <w:sz w:val="18"/>
                              <w:lang w:eastAsia="zh-CN"/>
                            </w:rPr>
                            <w:t>1</w:t>
                          </w:r>
                          <w:r>
                            <w:rPr>
                              <w:rFonts w:hint="eastAsia" w:eastAsia="宋体"/>
                              <w:sz w:val="18"/>
                              <w:lang w:eastAsia="zh-CN"/>
                            </w:rPr>
                            <w:fldChar w:fldCharType="end"/>
                          </w:r>
                          <w:r>
                            <w:rPr>
                              <w:rFonts w:hint="eastAsia" w:eastAsia="宋体"/>
                              <w:sz w:val="18"/>
                              <w:lang w:eastAsia="zh-CN"/>
                            </w:rPr>
                            <w:t xml:space="preserve"> 页 共 </w:t>
                          </w:r>
                          <w:r>
                            <w:rPr>
                              <w:rFonts w:hint="eastAsia" w:eastAsia="宋体"/>
                              <w:sz w:val="18"/>
                              <w:lang w:eastAsia="zh-CN"/>
                            </w:rPr>
                            <w:fldChar w:fldCharType="begin"/>
                          </w:r>
                          <w:r>
                            <w:rPr>
                              <w:rFonts w:hint="eastAsia" w:eastAsia="宋体"/>
                              <w:sz w:val="18"/>
                              <w:lang w:eastAsia="zh-CN"/>
                            </w:rPr>
                            <w:instrText xml:space="preserve"> NUMPAGES  \* MERGEFORMAT </w:instrText>
                          </w:r>
                          <w:r>
                            <w:rPr>
                              <w:rFonts w:hint="eastAsia" w:eastAsia="宋体"/>
                              <w:sz w:val="18"/>
                              <w:lang w:eastAsia="zh-CN"/>
                            </w:rPr>
                            <w:fldChar w:fldCharType="separate"/>
                          </w:r>
                          <w:r>
                            <w:rPr>
                              <w:rFonts w:hint="eastAsia" w:eastAsia="宋体"/>
                              <w:sz w:val="18"/>
                              <w:lang w:eastAsia="zh-CN"/>
                            </w:rPr>
                            <w:t>72</w:t>
                          </w:r>
                          <w:r>
                            <w:rPr>
                              <w:rFonts w:hint="eastAsia" w:eastAsia="宋体"/>
                              <w:sz w:val="18"/>
                              <w:lang w:eastAsia="zh-CN"/>
                            </w:rPr>
                            <w:fldChar w:fldCharType="end"/>
                          </w:r>
                          <w:r>
                            <w:rPr>
                              <w:rFonts w:hint="eastAsia" w:eastAsia="宋体"/>
                              <w:sz w:val="18"/>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TK2dTWAQAAsQ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qlC5GWYcBKncfZkxWE3TIR2&#10;rj0hzx4XoqEW958S/cmi3ml3ZiPMxm42Dj6ofZeXK/UC/+EQcbg8c+owwiLX5OBLZtbT1qVVeern&#10;qsc/bfM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aGmCS9MAAAAFAQAADwAAAAAAAAABACAAAAAi&#10;AAAAZHJzL2Rvd25yZXYueG1sUEsBAhQAFAAAAAgAh07iQHTK2dTWAQAAsQMAAA4AAAAAAAAAAQAg&#10;AAAAIgEAAGRycy9lMm9Eb2MueG1sUEsFBgAAAAAGAAYAWQEAAGoFAAAAAA==&#10;">
              <v:fill on="f" focussize="0,0"/>
              <v:stroke on="f" weight="1.25pt"/>
              <v:imagedata o:title=""/>
              <o:lock v:ext="edit" aspectratio="f"/>
              <v:textbox inset="0mm,0mm,0mm,0mm" style="mso-fit-shape-to-text:t;">
                <w:txbxContent>
                  <w:p w14:paraId="1021CE47">
                    <w:pPr>
                      <w:snapToGrid w:val="0"/>
                      <w:rPr>
                        <w:rFonts w:hint="eastAsia" w:eastAsia="宋体"/>
                        <w:sz w:val="18"/>
                        <w:lang w:eastAsia="zh-CN"/>
                      </w:rPr>
                    </w:pPr>
                    <w:r>
                      <w:rPr>
                        <w:rFonts w:hint="eastAsia" w:eastAsia="宋体"/>
                        <w:sz w:val="18"/>
                        <w:lang w:eastAsia="zh-CN"/>
                      </w:rPr>
                      <w:t xml:space="preserve">第 </w:t>
                    </w: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rFonts w:hint="eastAsia" w:eastAsia="宋体"/>
                        <w:sz w:val="18"/>
                        <w:lang w:eastAsia="zh-CN"/>
                      </w:rPr>
                      <w:t>1</w:t>
                    </w:r>
                    <w:r>
                      <w:rPr>
                        <w:rFonts w:hint="eastAsia" w:eastAsia="宋体"/>
                        <w:sz w:val="18"/>
                        <w:lang w:eastAsia="zh-CN"/>
                      </w:rPr>
                      <w:fldChar w:fldCharType="end"/>
                    </w:r>
                    <w:r>
                      <w:rPr>
                        <w:rFonts w:hint="eastAsia" w:eastAsia="宋体"/>
                        <w:sz w:val="18"/>
                        <w:lang w:eastAsia="zh-CN"/>
                      </w:rPr>
                      <w:t xml:space="preserve"> 页 共 </w:t>
                    </w:r>
                    <w:r>
                      <w:rPr>
                        <w:rFonts w:hint="eastAsia" w:eastAsia="宋体"/>
                        <w:sz w:val="18"/>
                        <w:lang w:eastAsia="zh-CN"/>
                      </w:rPr>
                      <w:fldChar w:fldCharType="begin"/>
                    </w:r>
                    <w:r>
                      <w:rPr>
                        <w:rFonts w:hint="eastAsia" w:eastAsia="宋体"/>
                        <w:sz w:val="18"/>
                        <w:lang w:eastAsia="zh-CN"/>
                      </w:rPr>
                      <w:instrText xml:space="preserve"> NUMPAGES  \* MERGEFORMAT </w:instrText>
                    </w:r>
                    <w:r>
                      <w:rPr>
                        <w:rFonts w:hint="eastAsia" w:eastAsia="宋体"/>
                        <w:sz w:val="18"/>
                        <w:lang w:eastAsia="zh-CN"/>
                      </w:rPr>
                      <w:fldChar w:fldCharType="separate"/>
                    </w:r>
                    <w:r>
                      <w:rPr>
                        <w:rFonts w:hint="eastAsia" w:eastAsia="宋体"/>
                        <w:sz w:val="18"/>
                        <w:lang w:eastAsia="zh-CN"/>
                      </w:rPr>
                      <w:t>72</w:t>
                    </w:r>
                    <w:r>
                      <w:rPr>
                        <w:rFonts w:hint="eastAsia" w:eastAsia="宋体"/>
                        <w:sz w:val="18"/>
                        <w:lang w:eastAsia="zh-CN"/>
                      </w:rPr>
                      <w:fldChar w:fldCharType="end"/>
                    </w:r>
                    <w:r>
                      <w:rPr>
                        <w:rFonts w:hint="eastAsia" w:eastAsia="宋体"/>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AD389">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66A03FC4">
                          <w:pPr>
                            <w:snapToGrid w:val="0"/>
                            <w:rPr>
                              <w:rFonts w:hint="eastAsia" w:eastAsia="宋体"/>
                              <w:sz w:val="18"/>
                              <w:lang w:eastAsia="zh-CN"/>
                            </w:rPr>
                          </w:pPr>
                          <w:r>
                            <w:rPr>
                              <w:rFonts w:hint="eastAsia" w:eastAsia="宋体"/>
                              <w:sz w:val="18"/>
                              <w:lang w:eastAsia="zh-CN"/>
                            </w:rPr>
                            <w:t xml:space="preserve">第 </w:t>
                          </w: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rFonts w:hint="eastAsia" w:eastAsia="宋体"/>
                              <w:sz w:val="18"/>
                              <w:lang w:eastAsia="zh-CN"/>
                            </w:rPr>
                            <w:t>4</w:t>
                          </w:r>
                          <w:r>
                            <w:rPr>
                              <w:rFonts w:hint="eastAsia" w:eastAsia="宋体"/>
                              <w:sz w:val="18"/>
                              <w:lang w:eastAsia="zh-CN"/>
                            </w:rPr>
                            <w:fldChar w:fldCharType="end"/>
                          </w:r>
                          <w:r>
                            <w:rPr>
                              <w:rFonts w:hint="eastAsia" w:eastAsia="宋体"/>
                              <w:sz w:val="18"/>
                              <w:lang w:eastAsia="zh-CN"/>
                            </w:rPr>
                            <w:t xml:space="preserve"> 页 共 </w:t>
                          </w:r>
                          <w:r>
                            <w:rPr>
                              <w:rFonts w:hint="eastAsia" w:eastAsia="宋体"/>
                              <w:sz w:val="18"/>
                              <w:lang w:eastAsia="zh-CN"/>
                            </w:rPr>
                            <w:fldChar w:fldCharType="begin"/>
                          </w:r>
                          <w:r>
                            <w:rPr>
                              <w:rFonts w:hint="eastAsia" w:eastAsia="宋体"/>
                              <w:sz w:val="18"/>
                              <w:lang w:eastAsia="zh-CN"/>
                            </w:rPr>
                            <w:instrText xml:space="preserve"> NUMPAGES  \* MERGEFORMAT </w:instrText>
                          </w:r>
                          <w:r>
                            <w:rPr>
                              <w:rFonts w:hint="eastAsia" w:eastAsia="宋体"/>
                              <w:sz w:val="18"/>
                              <w:lang w:eastAsia="zh-CN"/>
                            </w:rPr>
                            <w:fldChar w:fldCharType="separate"/>
                          </w:r>
                          <w:r>
                            <w:rPr>
                              <w:rFonts w:hint="eastAsia" w:eastAsia="宋体"/>
                              <w:sz w:val="18"/>
                              <w:lang w:eastAsia="zh-CN"/>
                            </w:rPr>
                            <w:t>72</w:t>
                          </w:r>
                          <w:r>
                            <w:rPr>
                              <w:rFonts w:hint="eastAsia" w:eastAsia="宋体"/>
                              <w:sz w:val="18"/>
                              <w:lang w:eastAsia="zh-CN"/>
                            </w:rPr>
                            <w:fldChar w:fldCharType="end"/>
                          </w:r>
                          <w:r>
                            <w:rPr>
                              <w:rFonts w:hint="eastAsia" w:eastAsia="宋体"/>
                              <w:sz w:val="18"/>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EjNV8zXAQAAsQ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duULPIyzDiJ09R7suK4G2ei&#10;O9edkOeAC9FSi/tPif5oUe+0O4sRFmO3GAcf1L7Py5Vqgb89RGwu95wqTLDINTk4ycx63rq0Kv/6&#10;OevxT9v8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BIzVfM1wEAALEDAAAOAAAAAAAAAAEA&#10;IAAAACIBAABkcnMvZTJvRG9jLnhtbFBLBQYAAAAABgAGAFkBAABrBQAAAAA=&#10;">
              <v:fill on="f" focussize="0,0"/>
              <v:stroke on="f" weight="1.25pt"/>
              <v:imagedata o:title=""/>
              <o:lock v:ext="edit" aspectratio="f"/>
              <v:textbox inset="0mm,0mm,0mm,0mm" style="mso-fit-shape-to-text:t;">
                <w:txbxContent>
                  <w:p w14:paraId="66A03FC4">
                    <w:pPr>
                      <w:snapToGrid w:val="0"/>
                      <w:rPr>
                        <w:rFonts w:hint="eastAsia" w:eastAsia="宋体"/>
                        <w:sz w:val="18"/>
                        <w:lang w:eastAsia="zh-CN"/>
                      </w:rPr>
                    </w:pPr>
                    <w:r>
                      <w:rPr>
                        <w:rFonts w:hint="eastAsia" w:eastAsia="宋体"/>
                        <w:sz w:val="18"/>
                        <w:lang w:eastAsia="zh-CN"/>
                      </w:rPr>
                      <w:t xml:space="preserve">第 </w:t>
                    </w: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rFonts w:hint="eastAsia" w:eastAsia="宋体"/>
                        <w:sz w:val="18"/>
                        <w:lang w:eastAsia="zh-CN"/>
                      </w:rPr>
                      <w:t>4</w:t>
                    </w:r>
                    <w:r>
                      <w:rPr>
                        <w:rFonts w:hint="eastAsia" w:eastAsia="宋体"/>
                        <w:sz w:val="18"/>
                        <w:lang w:eastAsia="zh-CN"/>
                      </w:rPr>
                      <w:fldChar w:fldCharType="end"/>
                    </w:r>
                    <w:r>
                      <w:rPr>
                        <w:rFonts w:hint="eastAsia" w:eastAsia="宋体"/>
                        <w:sz w:val="18"/>
                        <w:lang w:eastAsia="zh-CN"/>
                      </w:rPr>
                      <w:t xml:space="preserve"> 页 共 </w:t>
                    </w:r>
                    <w:r>
                      <w:rPr>
                        <w:rFonts w:hint="eastAsia" w:eastAsia="宋体"/>
                        <w:sz w:val="18"/>
                        <w:lang w:eastAsia="zh-CN"/>
                      </w:rPr>
                      <w:fldChar w:fldCharType="begin"/>
                    </w:r>
                    <w:r>
                      <w:rPr>
                        <w:rFonts w:hint="eastAsia" w:eastAsia="宋体"/>
                        <w:sz w:val="18"/>
                        <w:lang w:eastAsia="zh-CN"/>
                      </w:rPr>
                      <w:instrText xml:space="preserve"> NUMPAGES  \* MERGEFORMAT </w:instrText>
                    </w:r>
                    <w:r>
                      <w:rPr>
                        <w:rFonts w:hint="eastAsia" w:eastAsia="宋体"/>
                        <w:sz w:val="18"/>
                        <w:lang w:eastAsia="zh-CN"/>
                      </w:rPr>
                      <w:fldChar w:fldCharType="separate"/>
                    </w:r>
                    <w:r>
                      <w:rPr>
                        <w:rFonts w:hint="eastAsia" w:eastAsia="宋体"/>
                        <w:sz w:val="18"/>
                        <w:lang w:eastAsia="zh-CN"/>
                      </w:rPr>
                      <w:t>72</w:t>
                    </w:r>
                    <w:r>
                      <w:rPr>
                        <w:rFonts w:hint="eastAsia" w:eastAsia="宋体"/>
                        <w:sz w:val="18"/>
                        <w:lang w:eastAsia="zh-CN"/>
                      </w:rPr>
                      <w:fldChar w:fldCharType="end"/>
                    </w:r>
                    <w:r>
                      <w:rPr>
                        <w:rFonts w:hint="eastAsia" w:eastAsia="宋体"/>
                        <w:sz w:val="18"/>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61749">
    <w:pPr>
      <w:pStyle w:val="3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FAD445">
                          <w:pPr>
                            <w:pStyle w:val="30"/>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DFAD445">
                    <w:pPr>
                      <w:pStyle w:val="30"/>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72</w:t>
                    </w:r>
                    <w:r>
                      <w:fldChar w:fldCharType="end"/>
                    </w:r>
                    <w:r>
                      <w:t xml:space="preserve"> 页</w:t>
                    </w:r>
                  </w:p>
                </w:txbxContent>
              </v:textbox>
            </v:shape>
          </w:pict>
        </mc:Fallback>
      </mc:AlternateContent>
    </w:r>
  </w:p>
  <w:p w14:paraId="385BED08">
    <w:pPr>
      <w:pStyle w:val="30"/>
      <w:ind w:left="1890" w:right="360" w:hanging="1890"/>
      <w:jc w:val="center"/>
      <w:rPr>
        <w:rStyle w:val="49"/>
        <w:rFonts w:ascii="方正仿宋_GBK" w:eastAsia="方正仿宋_GBK"/>
        <w:sz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EAC0F">
    <w:pPr>
      <w:pStyle w:val="3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C40C2">
    <w:pPr>
      <w:pStyle w:val="3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ECB085"/>
    <w:multiLevelType w:val="singleLevel"/>
    <w:tmpl w:val="C2ECB085"/>
    <w:lvl w:ilvl="0" w:tentative="0">
      <w:start w:val="1"/>
      <w:numFmt w:val="decimal"/>
      <w:lvlText w:val="%1."/>
      <w:lvlJc w:val="left"/>
      <w:pPr>
        <w:ind w:left="425" w:hanging="425"/>
      </w:pPr>
      <w:rPr>
        <w:rFonts w:hint="default"/>
        <w:b w:val="0"/>
        <w:bCs w:val="0"/>
        <w:color w:val="auto"/>
      </w:rPr>
    </w:lvl>
  </w:abstractNum>
  <w:abstractNum w:abstractNumId="1">
    <w:nsid w:val="D3DC1508"/>
    <w:multiLevelType w:val="singleLevel"/>
    <w:tmpl w:val="D3DC1508"/>
    <w:lvl w:ilvl="0" w:tentative="0">
      <w:start w:val="2"/>
      <w:numFmt w:val="decimal"/>
      <w:lvlText w:val="(%1)"/>
      <w:lvlJc w:val="left"/>
      <w:pPr>
        <w:tabs>
          <w:tab w:val="left" w:pos="312"/>
        </w:tabs>
      </w:pPr>
    </w:lvl>
  </w:abstractNum>
  <w:abstractNum w:abstractNumId="2">
    <w:nsid w:val="EF352D12"/>
    <w:multiLevelType w:val="singleLevel"/>
    <w:tmpl w:val="EF352D12"/>
    <w:lvl w:ilvl="0" w:tentative="0">
      <w:start w:val="1"/>
      <w:numFmt w:val="decimal"/>
      <w:lvlText w:val="(%1)"/>
      <w:lvlJc w:val="left"/>
      <w:pPr>
        <w:ind w:left="425" w:hanging="425"/>
      </w:pPr>
      <w:rPr>
        <w:rFonts w:hint="default"/>
      </w:rPr>
    </w:lvl>
  </w:abstractNum>
  <w:abstractNum w:abstractNumId="3">
    <w:nsid w:val="4AEAFB8D"/>
    <w:multiLevelType w:val="singleLevel"/>
    <w:tmpl w:val="4AEAFB8D"/>
    <w:lvl w:ilvl="0" w:tentative="0">
      <w:start w:val="1"/>
      <w:numFmt w:val="decimal"/>
      <w:lvlText w:val="(%1)"/>
      <w:lvlJc w:val="left"/>
      <w:pPr>
        <w:ind w:left="425" w:hanging="425"/>
      </w:pPr>
      <w:rPr>
        <w:rFonts w:hint="default"/>
      </w:rPr>
    </w:lvl>
  </w:abstractNum>
  <w:abstractNum w:abstractNumId="4">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lvlText w:val="%1%2"/>
      <w:lvlJc w:val="left"/>
      <w:pPr>
        <w:tabs>
          <w:tab w:val="left" w:pos="360"/>
        </w:tabs>
        <w:ind w:left="0" w:firstLine="0"/>
      </w:pPr>
      <w:rPr>
        <w:rFonts w:hint="default" w:ascii="Times New Roman" w:hAnsi="Times New Roman" w:eastAsia="宋体" w:cs="Times New Roman"/>
        <w:b w:val="0"/>
        <w:i w:val="0"/>
        <w:sz w:val="24"/>
        <w:szCs w:val="24"/>
      </w:rPr>
    </w:lvl>
    <w:lvl w:ilvl="2" w:tentative="0">
      <w:start w:val="1"/>
      <w:numFmt w:val="decimal"/>
      <w:pStyle w:val="116"/>
      <w:lvlText w:val="%1%2.%3"/>
      <w:lvlJc w:val="left"/>
      <w:pPr>
        <w:tabs>
          <w:tab w:val="left" w:pos="720"/>
        </w:tabs>
        <w:ind w:left="0" w:firstLine="0"/>
      </w:pPr>
      <w:rPr>
        <w:rFonts w:hint="eastAsia" w:ascii="黑体" w:hAnsi="Times New Roman" w:eastAsia="黑体"/>
        <w:b w:val="0"/>
        <w:i w:val="0"/>
        <w:sz w:val="30"/>
        <w:szCs w:val="30"/>
      </w:rPr>
    </w:lvl>
    <w:lvl w:ilvl="3" w:tentative="0">
      <w:start w:val="1"/>
      <w:numFmt w:val="decimal"/>
      <w:pStyle w:val="118"/>
      <w:lvlText w:val="%1%2.%3.%4"/>
      <w:lvlJc w:val="left"/>
      <w:pPr>
        <w:tabs>
          <w:tab w:val="left" w:pos="720"/>
        </w:tabs>
        <w:ind w:left="0" w:firstLine="0"/>
      </w:pPr>
      <w:rPr>
        <w:rFonts w:hint="eastAsia" w:ascii="黑体" w:hAnsi="Times New Roman" w:eastAsia="黑体"/>
        <w:b w:val="0"/>
        <w:i w:val="0"/>
        <w:sz w:val="30"/>
        <w:szCs w:val="30"/>
      </w:rPr>
    </w:lvl>
    <w:lvl w:ilvl="4" w:tentative="0">
      <w:start w:val="1"/>
      <w:numFmt w:val="decimal"/>
      <w:pStyle w:val="119"/>
      <w:lvlText w:val="%2.%3.%4.%5"/>
      <w:lvlJc w:val="left"/>
      <w:pPr>
        <w:tabs>
          <w:tab w:val="left" w:pos="1080"/>
        </w:tabs>
        <w:ind w:left="0" w:firstLine="0"/>
      </w:pPr>
      <w:rPr>
        <w:rFonts w:hint="eastAsia" w:ascii="黑体" w:hAnsi="Times New Roman" w:eastAsia="黑体"/>
        <w:b w:val="0"/>
        <w:i w:val="0"/>
        <w:sz w:val="30"/>
        <w:szCs w:val="30"/>
      </w:rPr>
    </w:lvl>
    <w:lvl w:ilvl="5" w:tentative="0">
      <w:start w:val="1"/>
      <w:numFmt w:val="decimal"/>
      <w:pStyle w:val="120"/>
      <w:lvlText w:val="%2.%3.%4.%5.%6"/>
      <w:lvlJc w:val="left"/>
      <w:pPr>
        <w:tabs>
          <w:tab w:val="left" w:pos="1021"/>
        </w:tabs>
        <w:ind w:left="1021" w:hanging="1021"/>
      </w:pPr>
      <w:rPr>
        <w:rFonts w:hint="eastAsia" w:ascii="黑体" w:hAnsi="Times New Roman" w:eastAsia="黑体"/>
        <w:b/>
        <w:i w:val="0"/>
        <w:sz w:val="30"/>
        <w:szCs w:val="30"/>
      </w:rPr>
    </w:lvl>
    <w:lvl w:ilvl="6" w:tentative="0">
      <w:start w:val="1"/>
      <w:numFmt w:val="decimal"/>
      <w:lvlRestart w:val="5"/>
      <w:pStyle w:val="121"/>
      <w:lvlText w:val="%2.%3.%4.%5.%6.%7"/>
      <w:lvlJc w:val="left"/>
      <w:pPr>
        <w:tabs>
          <w:tab w:val="left" w:pos="1440"/>
        </w:tabs>
        <w:ind w:left="0" w:firstLine="0"/>
      </w:pPr>
      <w:rPr>
        <w:rFonts w:hint="eastAsia" w:ascii="黑体" w:hAnsi="Times New Roman" w:eastAsia="黑体"/>
        <w:b/>
        <w:i w:val="0"/>
        <w:sz w:val="30"/>
        <w:szCs w:val="30"/>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5">
    <w:nsid w:val="7D7255F0"/>
    <w:multiLevelType w:val="multilevel"/>
    <w:tmpl w:val="7D7255F0"/>
    <w:lvl w:ilvl="0" w:tentative="0">
      <w:start w:val="1"/>
      <w:numFmt w:val="bullet"/>
      <w:pStyle w:val="95"/>
      <w:lvlText w:val=""/>
      <w:lvlJc w:val="left"/>
      <w:pPr>
        <w:tabs>
          <w:tab w:val="left" w:pos="1259"/>
        </w:tabs>
        <w:ind w:left="1259" w:hanging="420"/>
      </w:pPr>
      <w:rPr>
        <w:rFonts w:hint="default" w:ascii="Wingdings" w:hAnsi="Wingdings"/>
      </w:rPr>
    </w:lvl>
    <w:lvl w:ilvl="1" w:tentative="0">
      <w:start w:val="0"/>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6">
    <w:nsid w:val="7DFB1FF5"/>
    <w:multiLevelType w:val="singleLevel"/>
    <w:tmpl w:val="7DFB1FF5"/>
    <w:lvl w:ilvl="0" w:tentative="0">
      <w:start w:val="4"/>
      <w:numFmt w:val="decimal"/>
      <w:suff w:val="nothing"/>
      <w:lvlText w:val="（%1）"/>
      <w:lvlJc w:val="left"/>
    </w:lvl>
  </w:abstractNum>
  <w:num w:numId="1">
    <w:abstractNumId w:val="5"/>
  </w:num>
  <w:num w:numId="2">
    <w:abstractNumId w:val="4"/>
  </w:num>
  <w:num w:numId="3">
    <w:abstractNumId w:val="0"/>
  </w:num>
  <w:num w:numId="4">
    <w:abstractNumId w:val="3"/>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hideSpellingErrors/>
  <w:documentProtection w:edit="readOnly"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5YjZmMmYzYzcwMjQzMDkwNDY2NzhjYTM4OWI3YjIifQ=="/>
  </w:docVars>
  <w:rsids>
    <w:rsidRoot w:val="001227F2"/>
    <w:rsid w:val="00000A69"/>
    <w:rsid w:val="0000121D"/>
    <w:rsid w:val="00001898"/>
    <w:rsid w:val="00002D4B"/>
    <w:rsid w:val="000043DB"/>
    <w:rsid w:val="00004931"/>
    <w:rsid w:val="000061DD"/>
    <w:rsid w:val="0000624B"/>
    <w:rsid w:val="000078CD"/>
    <w:rsid w:val="00010365"/>
    <w:rsid w:val="0001297E"/>
    <w:rsid w:val="00014555"/>
    <w:rsid w:val="000146DE"/>
    <w:rsid w:val="000173F8"/>
    <w:rsid w:val="0002073A"/>
    <w:rsid w:val="00020B54"/>
    <w:rsid w:val="00024BA8"/>
    <w:rsid w:val="00025C06"/>
    <w:rsid w:val="00031081"/>
    <w:rsid w:val="0003228D"/>
    <w:rsid w:val="00033202"/>
    <w:rsid w:val="00033A10"/>
    <w:rsid w:val="00034D76"/>
    <w:rsid w:val="00037F4C"/>
    <w:rsid w:val="00040F47"/>
    <w:rsid w:val="00041F54"/>
    <w:rsid w:val="000426EA"/>
    <w:rsid w:val="00044493"/>
    <w:rsid w:val="000453D6"/>
    <w:rsid w:val="000504D0"/>
    <w:rsid w:val="0005333A"/>
    <w:rsid w:val="000563F1"/>
    <w:rsid w:val="00056D83"/>
    <w:rsid w:val="000575AF"/>
    <w:rsid w:val="000578F4"/>
    <w:rsid w:val="00061172"/>
    <w:rsid w:val="00061B6B"/>
    <w:rsid w:val="00063989"/>
    <w:rsid w:val="00064E5A"/>
    <w:rsid w:val="0006558F"/>
    <w:rsid w:val="00065E36"/>
    <w:rsid w:val="000666D1"/>
    <w:rsid w:val="00067A78"/>
    <w:rsid w:val="0007147F"/>
    <w:rsid w:val="00075257"/>
    <w:rsid w:val="000807A8"/>
    <w:rsid w:val="000812D2"/>
    <w:rsid w:val="00082A08"/>
    <w:rsid w:val="000831E3"/>
    <w:rsid w:val="0008439B"/>
    <w:rsid w:val="000926EB"/>
    <w:rsid w:val="00092CB7"/>
    <w:rsid w:val="000944C5"/>
    <w:rsid w:val="000953A0"/>
    <w:rsid w:val="000A35F4"/>
    <w:rsid w:val="000A366B"/>
    <w:rsid w:val="000A3953"/>
    <w:rsid w:val="000A530E"/>
    <w:rsid w:val="000A5407"/>
    <w:rsid w:val="000A7B8C"/>
    <w:rsid w:val="000A7E8E"/>
    <w:rsid w:val="000B0A0C"/>
    <w:rsid w:val="000B5BF6"/>
    <w:rsid w:val="000C22B6"/>
    <w:rsid w:val="000C4931"/>
    <w:rsid w:val="000C74B5"/>
    <w:rsid w:val="000D0033"/>
    <w:rsid w:val="000D0BF8"/>
    <w:rsid w:val="000D39C8"/>
    <w:rsid w:val="000D3DB7"/>
    <w:rsid w:val="000D60AF"/>
    <w:rsid w:val="000D772A"/>
    <w:rsid w:val="000E36CD"/>
    <w:rsid w:val="000E3CD8"/>
    <w:rsid w:val="000E77CF"/>
    <w:rsid w:val="000F2BE9"/>
    <w:rsid w:val="000F3382"/>
    <w:rsid w:val="000F5C4F"/>
    <w:rsid w:val="0010050B"/>
    <w:rsid w:val="001028D0"/>
    <w:rsid w:val="00105B67"/>
    <w:rsid w:val="001121C1"/>
    <w:rsid w:val="00113DB1"/>
    <w:rsid w:val="00116E61"/>
    <w:rsid w:val="00120222"/>
    <w:rsid w:val="0012142D"/>
    <w:rsid w:val="001227F2"/>
    <w:rsid w:val="0012510E"/>
    <w:rsid w:val="00125450"/>
    <w:rsid w:val="00131D84"/>
    <w:rsid w:val="00134762"/>
    <w:rsid w:val="0013735B"/>
    <w:rsid w:val="00137A00"/>
    <w:rsid w:val="00137A81"/>
    <w:rsid w:val="001402DA"/>
    <w:rsid w:val="00143104"/>
    <w:rsid w:val="001469AA"/>
    <w:rsid w:val="00147E03"/>
    <w:rsid w:val="0015167D"/>
    <w:rsid w:val="00153675"/>
    <w:rsid w:val="00154200"/>
    <w:rsid w:val="00155DB4"/>
    <w:rsid w:val="0015647C"/>
    <w:rsid w:val="0016240B"/>
    <w:rsid w:val="00163EB8"/>
    <w:rsid w:val="001658C2"/>
    <w:rsid w:val="00166BB3"/>
    <w:rsid w:val="00170917"/>
    <w:rsid w:val="00171973"/>
    <w:rsid w:val="00171DD1"/>
    <w:rsid w:val="001767C6"/>
    <w:rsid w:val="001802D5"/>
    <w:rsid w:val="0018067D"/>
    <w:rsid w:val="00186647"/>
    <w:rsid w:val="00186814"/>
    <w:rsid w:val="00187DD1"/>
    <w:rsid w:val="00192314"/>
    <w:rsid w:val="00194E54"/>
    <w:rsid w:val="0019525A"/>
    <w:rsid w:val="00196A25"/>
    <w:rsid w:val="001A3A9E"/>
    <w:rsid w:val="001A5068"/>
    <w:rsid w:val="001A6DCC"/>
    <w:rsid w:val="001A7C4C"/>
    <w:rsid w:val="001B1F1D"/>
    <w:rsid w:val="001B21B7"/>
    <w:rsid w:val="001B41EC"/>
    <w:rsid w:val="001B439A"/>
    <w:rsid w:val="001B44CC"/>
    <w:rsid w:val="001C3318"/>
    <w:rsid w:val="001C6424"/>
    <w:rsid w:val="001C6BBF"/>
    <w:rsid w:val="001D13B3"/>
    <w:rsid w:val="001D36E4"/>
    <w:rsid w:val="001D535B"/>
    <w:rsid w:val="001D647D"/>
    <w:rsid w:val="001D6E61"/>
    <w:rsid w:val="001D7CA2"/>
    <w:rsid w:val="001E1FAB"/>
    <w:rsid w:val="001E3761"/>
    <w:rsid w:val="001E495E"/>
    <w:rsid w:val="001E6B95"/>
    <w:rsid w:val="001E7546"/>
    <w:rsid w:val="001E7607"/>
    <w:rsid w:val="001F4CFA"/>
    <w:rsid w:val="001F67BD"/>
    <w:rsid w:val="001F7CCE"/>
    <w:rsid w:val="00200ADF"/>
    <w:rsid w:val="00200E69"/>
    <w:rsid w:val="002020A6"/>
    <w:rsid w:val="0020617F"/>
    <w:rsid w:val="00206717"/>
    <w:rsid w:val="00207381"/>
    <w:rsid w:val="0020797D"/>
    <w:rsid w:val="00210CCA"/>
    <w:rsid w:val="0021193D"/>
    <w:rsid w:val="00215DB1"/>
    <w:rsid w:val="002170A2"/>
    <w:rsid w:val="00220909"/>
    <w:rsid w:val="0022129A"/>
    <w:rsid w:val="002214AA"/>
    <w:rsid w:val="002259B8"/>
    <w:rsid w:val="00227A02"/>
    <w:rsid w:val="00232FC3"/>
    <w:rsid w:val="002336A2"/>
    <w:rsid w:val="00234BD0"/>
    <w:rsid w:val="002447A1"/>
    <w:rsid w:val="00250CD5"/>
    <w:rsid w:val="0025472D"/>
    <w:rsid w:val="00260A7E"/>
    <w:rsid w:val="002618DE"/>
    <w:rsid w:val="00262D6C"/>
    <w:rsid w:val="00263A51"/>
    <w:rsid w:val="00266508"/>
    <w:rsid w:val="0027028A"/>
    <w:rsid w:val="00271A8A"/>
    <w:rsid w:val="00272250"/>
    <w:rsid w:val="00273BB7"/>
    <w:rsid w:val="00273D9A"/>
    <w:rsid w:val="00274445"/>
    <w:rsid w:val="002747A1"/>
    <w:rsid w:val="002756D1"/>
    <w:rsid w:val="00281503"/>
    <w:rsid w:val="0028223F"/>
    <w:rsid w:val="0028266E"/>
    <w:rsid w:val="002831EC"/>
    <w:rsid w:val="00284C31"/>
    <w:rsid w:val="002854BF"/>
    <w:rsid w:val="0028616C"/>
    <w:rsid w:val="00286E12"/>
    <w:rsid w:val="0028794B"/>
    <w:rsid w:val="00291A05"/>
    <w:rsid w:val="00292531"/>
    <w:rsid w:val="002932C5"/>
    <w:rsid w:val="00296825"/>
    <w:rsid w:val="002A4C5F"/>
    <w:rsid w:val="002B0F7C"/>
    <w:rsid w:val="002B351A"/>
    <w:rsid w:val="002B531E"/>
    <w:rsid w:val="002C3372"/>
    <w:rsid w:val="002C3662"/>
    <w:rsid w:val="002C7402"/>
    <w:rsid w:val="002D1951"/>
    <w:rsid w:val="002D3E74"/>
    <w:rsid w:val="002D467E"/>
    <w:rsid w:val="002D4FD5"/>
    <w:rsid w:val="002D52AE"/>
    <w:rsid w:val="002E0D10"/>
    <w:rsid w:val="002E4B69"/>
    <w:rsid w:val="002E7A9C"/>
    <w:rsid w:val="002F235C"/>
    <w:rsid w:val="002F2EA9"/>
    <w:rsid w:val="002F4B06"/>
    <w:rsid w:val="002F7087"/>
    <w:rsid w:val="00300348"/>
    <w:rsid w:val="003018C5"/>
    <w:rsid w:val="00305AC8"/>
    <w:rsid w:val="0030635C"/>
    <w:rsid w:val="00306402"/>
    <w:rsid w:val="0030776E"/>
    <w:rsid w:val="00311AA2"/>
    <w:rsid w:val="003222A5"/>
    <w:rsid w:val="00322957"/>
    <w:rsid w:val="0032400B"/>
    <w:rsid w:val="00326B10"/>
    <w:rsid w:val="003300E1"/>
    <w:rsid w:val="00332E02"/>
    <w:rsid w:val="00335E7D"/>
    <w:rsid w:val="00336694"/>
    <w:rsid w:val="0034144D"/>
    <w:rsid w:val="0034154A"/>
    <w:rsid w:val="00341F75"/>
    <w:rsid w:val="003430A8"/>
    <w:rsid w:val="00343BC6"/>
    <w:rsid w:val="003476B9"/>
    <w:rsid w:val="00347F86"/>
    <w:rsid w:val="00354D65"/>
    <w:rsid w:val="00355652"/>
    <w:rsid w:val="003569F3"/>
    <w:rsid w:val="00360BF6"/>
    <w:rsid w:val="003627B5"/>
    <w:rsid w:val="00364A1B"/>
    <w:rsid w:val="003661CB"/>
    <w:rsid w:val="00366579"/>
    <w:rsid w:val="00372874"/>
    <w:rsid w:val="0037637C"/>
    <w:rsid w:val="00377602"/>
    <w:rsid w:val="00381E7E"/>
    <w:rsid w:val="003852BC"/>
    <w:rsid w:val="00385949"/>
    <w:rsid w:val="00385A0C"/>
    <w:rsid w:val="00387432"/>
    <w:rsid w:val="00391796"/>
    <w:rsid w:val="00392897"/>
    <w:rsid w:val="00393C08"/>
    <w:rsid w:val="00393F90"/>
    <w:rsid w:val="003A243D"/>
    <w:rsid w:val="003A51EF"/>
    <w:rsid w:val="003A795D"/>
    <w:rsid w:val="003B0A0E"/>
    <w:rsid w:val="003B3597"/>
    <w:rsid w:val="003B5660"/>
    <w:rsid w:val="003B5773"/>
    <w:rsid w:val="003C19CC"/>
    <w:rsid w:val="003C2B26"/>
    <w:rsid w:val="003C4D55"/>
    <w:rsid w:val="003C56EC"/>
    <w:rsid w:val="003D25D5"/>
    <w:rsid w:val="003D40B1"/>
    <w:rsid w:val="003D422A"/>
    <w:rsid w:val="003D696B"/>
    <w:rsid w:val="003D7410"/>
    <w:rsid w:val="003D7FF3"/>
    <w:rsid w:val="003E2FC5"/>
    <w:rsid w:val="003E6B07"/>
    <w:rsid w:val="003F156C"/>
    <w:rsid w:val="003F26EB"/>
    <w:rsid w:val="003F3610"/>
    <w:rsid w:val="003F463A"/>
    <w:rsid w:val="00401F58"/>
    <w:rsid w:val="00402362"/>
    <w:rsid w:val="00410361"/>
    <w:rsid w:val="00411004"/>
    <w:rsid w:val="004149C3"/>
    <w:rsid w:val="00417F08"/>
    <w:rsid w:val="00426375"/>
    <w:rsid w:val="00432A62"/>
    <w:rsid w:val="0044254A"/>
    <w:rsid w:val="004426E4"/>
    <w:rsid w:val="00442A11"/>
    <w:rsid w:val="00442E40"/>
    <w:rsid w:val="00445884"/>
    <w:rsid w:val="00446A59"/>
    <w:rsid w:val="00447F9E"/>
    <w:rsid w:val="00451F68"/>
    <w:rsid w:val="004525EB"/>
    <w:rsid w:val="00454017"/>
    <w:rsid w:val="0045598E"/>
    <w:rsid w:val="00455AED"/>
    <w:rsid w:val="0045680F"/>
    <w:rsid w:val="00456B11"/>
    <w:rsid w:val="00457DB1"/>
    <w:rsid w:val="00472806"/>
    <w:rsid w:val="004729BF"/>
    <w:rsid w:val="0048236E"/>
    <w:rsid w:val="004840B5"/>
    <w:rsid w:val="00484DF6"/>
    <w:rsid w:val="004865C6"/>
    <w:rsid w:val="004917CF"/>
    <w:rsid w:val="00492BAD"/>
    <w:rsid w:val="00493911"/>
    <w:rsid w:val="004A1D18"/>
    <w:rsid w:val="004A5706"/>
    <w:rsid w:val="004A74E0"/>
    <w:rsid w:val="004A78BE"/>
    <w:rsid w:val="004B24BB"/>
    <w:rsid w:val="004B2E45"/>
    <w:rsid w:val="004B47F3"/>
    <w:rsid w:val="004B6E94"/>
    <w:rsid w:val="004B7A8F"/>
    <w:rsid w:val="004C1719"/>
    <w:rsid w:val="004C3705"/>
    <w:rsid w:val="004D0BBC"/>
    <w:rsid w:val="004D12B8"/>
    <w:rsid w:val="004D350D"/>
    <w:rsid w:val="004D3BB1"/>
    <w:rsid w:val="004D581C"/>
    <w:rsid w:val="004D6E3B"/>
    <w:rsid w:val="004D7CFD"/>
    <w:rsid w:val="004E162A"/>
    <w:rsid w:val="004E52B7"/>
    <w:rsid w:val="004E55D0"/>
    <w:rsid w:val="004F7D16"/>
    <w:rsid w:val="0050125B"/>
    <w:rsid w:val="00501309"/>
    <w:rsid w:val="00501C69"/>
    <w:rsid w:val="00502869"/>
    <w:rsid w:val="00502F47"/>
    <w:rsid w:val="005044FF"/>
    <w:rsid w:val="00504E6B"/>
    <w:rsid w:val="005052D5"/>
    <w:rsid w:val="005072D9"/>
    <w:rsid w:val="0051037C"/>
    <w:rsid w:val="00511199"/>
    <w:rsid w:val="00511487"/>
    <w:rsid w:val="00511E0A"/>
    <w:rsid w:val="0051502F"/>
    <w:rsid w:val="005209D0"/>
    <w:rsid w:val="005221D6"/>
    <w:rsid w:val="0052239B"/>
    <w:rsid w:val="00522CDF"/>
    <w:rsid w:val="00526176"/>
    <w:rsid w:val="00527014"/>
    <w:rsid w:val="005343E4"/>
    <w:rsid w:val="00536BA4"/>
    <w:rsid w:val="00540BAF"/>
    <w:rsid w:val="005412CB"/>
    <w:rsid w:val="00546A02"/>
    <w:rsid w:val="0054750F"/>
    <w:rsid w:val="00547770"/>
    <w:rsid w:val="00547CBC"/>
    <w:rsid w:val="00550F10"/>
    <w:rsid w:val="005523E9"/>
    <w:rsid w:val="005534BA"/>
    <w:rsid w:val="00554C83"/>
    <w:rsid w:val="005553EE"/>
    <w:rsid w:val="00555E29"/>
    <w:rsid w:val="00563A31"/>
    <w:rsid w:val="00567B78"/>
    <w:rsid w:val="00570D80"/>
    <w:rsid w:val="0057156F"/>
    <w:rsid w:val="00572341"/>
    <w:rsid w:val="005739AC"/>
    <w:rsid w:val="00575492"/>
    <w:rsid w:val="005757C8"/>
    <w:rsid w:val="0057609F"/>
    <w:rsid w:val="00577826"/>
    <w:rsid w:val="0058149B"/>
    <w:rsid w:val="00581E61"/>
    <w:rsid w:val="00582094"/>
    <w:rsid w:val="005822BC"/>
    <w:rsid w:val="0058252D"/>
    <w:rsid w:val="005831F9"/>
    <w:rsid w:val="00593629"/>
    <w:rsid w:val="00593B6D"/>
    <w:rsid w:val="00596853"/>
    <w:rsid w:val="00596D30"/>
    <w:rsid w:val="005A16DA"/>
    <w:rsid w:val="005A2625"/>
    <w:rsid w:val="005A33F8"/>
    <w:rsid w:val="005A3968"/>
    <w:rsid w:val="005A3A06"/>
    <w:rsid w:val="005A4214"/>
    <w:rsid w:val="005A4412"/>
    <w:rsid w:val="005A5D72"/>
    <w:rsid w:val="005A7AC5"/>
    <w:rsid w:val="005B600E"/>
    <w:rsid w:val="005C5A94"/>
    <w:rsid w:val="005D11E1"/>
    <w:rsid w:val="005D2671"/>
    <w:rsid w:val="005D67B2"/>
    <w:rsid w:val="005E0C71"/>
    <w:rsid w:val="005E196A"/>
    <w:rsid w:val="005E2A02"/>
    <w:rsid w:val="005E3F35"/>
    <w:rsid w:val="005E523B"/>
    <w:rsid w:val="005E6957"/>
    <w:rsid w:val="005F1862"/>
    <w:rsid w:val="005F1D83"/>
    <w:rsid w:val="005F2EA2"/>
    <w:rsid w:val="005F334A"/>
    <w:rsid w:val="005F342E"/>
    <w:rsid w:val="005F4E5C"/>
    <w:rsid w:val="0060245B"/>
    <w:rsid w:val="0060252D"/>
    <w:rsid w:val="006027E7"/>
    <w:rsid w:val="00606187"/>
    <w:rsid w:val="006108BE"/>
    <w:rsid w:val="00610B62"/>
    <w:rsid w:val="00613064"/>
    <w:rsid w:val="006156D2"/>
    <w:rsid w:val="00617468"/>
    <w:rsid w:val="0061798D"/>
    <w:rsid w:val="00620D83"/>
    <w:rsid w:val="00622EA9"/>
    <w:rsid w:val="0062672F"/>
    <w:rsid w:val="006313CD"/>
    <w:rsid w:val="00631C98"/>
    <w:rsid w:val="0063768A"/>
    <w:rsid w:val="00642D80"/>
    <w:rsid w:val="006431F1"/>
    <w:rsid w:val="006457DB"/>
    <w:rsid w:val="006458CD"/>
    <w:rsid w:val="00647949"/>
    <w:rsid w:val="006527DD"/>
    <w:rsid w:val="006537B9"/>
    <w:rsid w:val="006554DB"/>
    <w:rsid w:val="0065594D"/>
    <w:rsid w:val="00655DF4"/>
    <w:rsid w:val="00660FA9"/>
    <w:rsid w:val="00661D00"/>
    <w:rsid w:val="00666684"/>
    <w:rsid w:val="00666BEC"/>
    <w:rsid w:val="006704D5"/>
    <w:rsid w:val="00672EC7"/>
    <w:rsid w:val="00677CD3"/>
    <w:rsid w:val="0068075A"/>
    <w:rsid w:val="006818B0"/>
    <w:rsid w:val="00682FC3"/>
    <w:rsid w:val="0068629D"/>
    <w:rsid w:val="006873E4"/>
    <w:rsid w:val="00690375"/>
    <w:rsid w:val="006912A4"/>
    <w:rsid w:val="00692BB5"/>
    <w:rsid w:val="00692C7A"/>
    <w:rsid w:val="00694CE5"/>
    <w:rsid w:val="00696E7B"/>
    <w:rsid w:val="00697352"/>
    <w:rsid w:val="006A0155"/>
    <w:rsid w:val="006A0208"/>
    <w:rsid w:val="006A0D13"/>
    <w:rsid w:val="006A25ED"/>
    <w:rsid w:val="006A37DB"/>
    <w:rsid w:val="006A5E64"/>
    <w:rsid w:val="006B152B"/>
    <w:rsid w:val="006B467F"/>
    <w:rsid w:val="006B743D"/>
    <w:rsid w:val="006B76C3"/>
    <w:rsid w:val="006B7A44"/>
    <w:rsid w:val="006C0222"/>
    <w:rsid w:val="006C581C"/>
    <w:rsid w:val="006C647F"/>
    <w:rsid w:val="006C669C"/>
    <w:rsid w:val="006D1113"/>
    <w:rsid w:val="006D2CFE"/>
    <w:rsid w:val="006D2F27"/>
    <w:rsid w:val="006D48F7"/>
    <w:rsid w:val="006D4F75"/>
    <w:rsid w:val="006D52B9"/>
    <w:rsid w:val="006D7FA0"/>
    <w:rsid w:val="006E70E4"/>
    <w:rsid w:val="006F03C8"/>
    <w:rsid w:val="006F1C1C"/>
    <w:rsid w:val="006F3BC0"/>
    <w:rsid w:val="006F517D"/>
    <w:rsid w:val="006F6D22"/>
    <w:rsid w:val="0070022D"/>
    <w:rsid w:val="00700F23"/>
    <w:rsid w:val="00701A94"/>
    <w:rsid w:val="00701AE3"/>
    <w:rsid w:val="00701C68"/>
    <w:rsid w:val="0070250C"/>
    <w:rsid w:val="00704BAE"/>
    <w:rsid w:val="00710FE3"/>
    <w:rsid w:val="0072225F"/>
    <w:rsid w:val="00722EDB"/>
    <w:rsid w:val="00723230"/>
    <w:rsid w:val="00724A55"/>
    <w:rsid w:val="007274E4"/>
    <w:rsid w:val="00727C12"/>
    <w:rsid w:val="00731558"/>
    <w:rsid w:val="00735EFE"/>
    <w:rsid w:val="007365AE"/>
    <w:rsid w:val="0073724A"/>
    <w:rsid w:val="00740964"/>
    <w:rsid w:val="00742DD1"/>
    <w:rsid w:val="00742EA7"/>
    <w:rsid w:val="0074302A"/>
    <w:rsid w:val="0074558B"/>
    <w:rsid w:val="007476F9"/>
    <w:rsid w:val="007540A9"/>
    <w:rsid w:val="00754272"/>
    <w:rsid w:val="00760635"/>
    <w:rsid w:val="007615AA"/>
    <w:rsid w:val="007759E4"/>
    <w:rsid w:val="007800CD"/>
    <w:rsid w:val="00781132"/>
    <w:rsid w:val="007820EB"/>
    <w:rsid w:val="007821B1"/>
    <w:rsid w:val="00783056"/>
    <w:rsid w:val="00784062"/>
    <w:rsid w:val="007960E3"/>
    <w:rsid w:val="00796867"/>
    <w:rsid w:val="00797980"/>
    <w:rsid w:val="007A0136"/>
    <w:rsid w:val="007A220A"/>
    <w:rsid w:val="007A3FFC"/>
    <w:rsid w:val="007A7D98"/>
    <w:rsid w:val="007B0EB4"/>
    <w:rsid w:val="007B19E9"/>
    <w:rsid w:val="007B68C5"/>
    <w:rsid w:val="007B74EF"/>
    <w:rsid w:val="007C4A1C"/>
    <w:rsid w:val="007C4B17"/>
    <w:rsid w:val="007C5BEF"/>
    <w:rsid w:val="007C6F34"/>
    <w:rsid w:val="007C7B35"/>
    <w:rsid w:val="007D313E"/>
    <w:rsid w:val="007D5083"/>
    <w:rsid w:val="007D6DF1"/>
    <w:rsid w:val="007D7FD0"/>
    <w:rsid w:val="007E239E"/>
    <w:rsid w:val="007E5D64"/>
    <w:rsid w:val="007E788A"/>
    <w:rsid w:val="007F51B2"/>
    <w:rsid w:val="007F5487"/>
    <w:rsid w:val="00806107"/>
    <w:rsid w:val="00814868"/>
    <w:rsid w:val="00814918"/>
    <w:rsid w:val="0081778C"/>
    <w:rsid w:val="00820836"/>
    <w:rsid w:val="008213CF"/>
    <w:rsid w:val="00821C6D"/>
    <w:rsid w:val="00822B39"/>
    <w:rsid w:val="00822D90"/>
    <w:rsid w:val="008247DC"/>
    <w:rsid w:val="008258D3"/>
    <w:rsid w:val="00825959"/>
    <w:rsid w:val="00827A39"/>
    <w:rsid w:val="00832D9C"/>
    <w:rsid w:val="008336B3"/>
    <w:rsid w:val="00834F04"/>
    <w:rsid w:val="00837056"/>
    <w:rsid w:val="00840493"/>
    <w:rsid w:val="00840A8C"/>
    <w:rsid w:val="008439CB"/>
    <w:rsid w:val="008500C7"/>
    <w:rsid w:val="00850F86"/>
    <w:rsid w:val="00851B7F"/>
    <w:rsid w:val="00851E27"/>
    <w:rsid w:val="00853962"/>
    <w:rsid w:val="0085517B"/>
    <w:rsid w:val="0085518C"/>
    <w:rsid w:val="008613E2"/>
    <w:rsid w:val="00861F64"/>
    <w:rsid w:val="00862ACB"/>
    <w:rsid w:val="008632C7"/>
    <w:rsid w:val="00866AEE"/>
    <w:rsid w:val="00867EA6"/>
    <w:rsid w:val="00870643"/>
    <w:rsid w:val="00870ABD"/>
    <w:rsid w:val="008711FD"/>
    <w:rsid w:val="008731B7"/>
    <w:rsid w:val="00874180"/>
    <w:rsid w:val="00877A1C"/>
    <w:rsid w:val="00880E75"/>
    <w:rsid w:val="0088125F"/>
    <w:rsid w:val="0088291B"/>
    <w:rsid w:val="00884459"/>
    <w:rsid w:val="00885BA9"/>
    <w:rsid w:val="00885D0D"/>
    <w:rsid w:val="008911C6"/>
    <w:rsid w:val="00891959"/>
    <w:rsid w:val="008931E3"/>
    <w:rsid w:val="008A0A37"/>
    <w:rsid w:val="008A0CFD"/>
    <w:rsid w:val="008A3FF0"/>
    <w:rsid w:val="008A5EC6"/>
    <w:rsid w:val="008A76BD"/>
    <w:rsid w:val="008A7B2E"/>
    <w:rsid w:val="008B00C9"/>
    <w:rsid w:val="008B2BB9"/>
    <w:rsid w:val="008B3078"/>
    <w:rsid w:val="008B3F3D"/>
    <w:rsid w:val="008B76D7"/>
    <w:rsid w:val="008C1230"/>
    <w:rsid w:val="008C1740"/>
    <w:rsid w:val="008C2675"/>
    <w:rsid w:val="008C3E1C"/>
    <w:rsid w:val="008C3FFC"/>
    <w:rsid w:val="008C6836"/>
    <w:rsid w:val="008D19A1"/>
    <w:rsid w:val="008D288B"/>
    <w:rsid w:val="008D35F0"/>
    <w:rsid w:val="008D3C91"/>
    <w:rsid w:val="008D4CD1"/>
    <w:rsid w:val="008D6000"/>
    <w:rsid w:val="008F3702"/>
    <w:rsid w:val="008F3B39"/>
    <w:rsid w:val="008F48C8"/>
    <w:rsid w:val="008F56A4"/>
    <w:rsid w:val="008F5FE9"/>
    <w:rsid w:val="008F6010"/>
    <w:rsid w:val="00904014"/>
    <w:rsid w:val="00904A01"/>
    <w:rsid w:val="00907789"/>
    <w:rsid w:val="00912C4D"/>
    <w:rsid w:val="0091323A"/>
    <w:rsid w:val="009219E3"/>
    <w:rsid w:val="00923346"/>
    <w:rsid w:val="00924E44"/>
    <w:rsid w:val="009335F2"/>
    <w:rsid w:val="00933DC5"/>
    <w:rsid w:val="009354D5"/>
    <w:rsid w:val="00937E8C"/>
    <w:rsid w:val="009408A6"/>
    <w:rsid w:val="00941206"/>
    <w:rsid w:val="0094152A"/>
    <w:rsid w:val="0094165A"/>
    <w:rsid w:val="009419F0"/>
    <w:rsid w:val="009478B1"/>
    <w:rsid w:val="009506AE"/>
    <w:rsid w:val="00952A3B"/>
    <w:rsid w:val="00953ADA"/>
    <w:rsid w:val="00956BE0"/>
    <w:rsid w:val="00963A52"/>
    <w:rsid w:val="0096403A"/>
    <w:rsid w:val="009674B2"/>
    <w:rsid w:val="00967D45"/>
    <w:rsid w:val="00967EAA"/>
    <w:rsid w:val="009720BA"/>
    <w:rsid w:val="00974EB0"/>
    <w:rsid w:val="00976196"/>
    <w:rsid w:val="00981115"/>
    <w:rsid w:val="00982411"/>
    <w:rsid w:val="009923B3"/>
    <w:rsid w:val="009948C7"/>
    <w:rsid w:val="00995CBE"/>
    <w:rsid w:val="00997053"/>
    <w:rsid w:val="00997F98"/>
    <w:rsid w:val="009A09A9"/>
    <w:rsid w:val="009A1E73"/>
    <w:rsid w:val="009A789B"/>
    <w:rsid w:val="009B0C0E"/>
    <w:rsid w:val="009C2FE3"/>
    <w:rsid w:val="009C4BA8"/>
    <w:rsid w:val="009D04F8"/>
    <w:rsid w:val="009D2272"/>
    <w:rsid w:val="009D3786"/>
    <w:rsid w:val="009D53BA"/>
    <w:rsid w:val="009E37ED"/>
    <w:rsid w:val="009E53FC"/>
    <w:rsid w:val="009F03C8"/>
    <w:rsid w:val="009F4DB7"/>
    <w:rsid w:val="00A02911"/>
    <w:rsid w:val="00A02BBC"/>
    <w:rsid w:val="00A03557"/>
    <w:rsid w:val="00A061BA"/>
    <w:rsid w:val="00A069FA"/>
    <w:rsid w:val="00A10629"/>
    <w:rsid w:val="00A10F43"/>
    <w:rsid w:val="00A117E2"/>
    <w:rsid w:val="00A1318B"/>
    <w:rsid w:val="00A162C8"/>
    <w:rsid w:val="00A1760E"/>
    <w:rsid w:val="00A178D9"/>
    <w:rsid w:val="00A17F7A"/>
    <w:rsid w:val="00A222F4"/>
    <w:rsid w:val="00A228A6"/>
    <w:rsid w:val="00A23C4D"/>
    <w:rsid w:val="00A25E88"/>
    <w:rsid w:val="00A31253"/>
    <w:rsid w:val="00A31E97"/>
    <w:rsid w:val="00A34F53"/>
    <w:rsid w:val="00A35EA3"/>
    <w:rsid w:val="00A42DB6"/>
    <w:rsid w:val="00A445AD"/>
    <w:rsid w:val="00A5317D"/>
    <w:rsid w:val="00A53F9B"/>
    <w:rsid w:val="00A54B13"/>
    <w:rsid w:val="00A632E6"/>
    <w:rsid w:val="00A70445"/>
    <w:rsid w:val="00A72C13"/>
    <w:rsid w:val="00A776B4"/>
    <w:rsid w:val="00A80CDE"/>
    <w:rsid w:val="00A82C03"/>
    <w:rsid w:val="00A8301C"/>
    <w:rsid w:val="00A87205"/>
    <w:rsid w:val="00A9016E"/>
    <w:rsid w:val="00A90DA2"/>
    <w:rsid w:val="00A90F6F"/>
    <w:rsid w:val="00A912D8"/>
    <w:rsid w:val="00A914EC"/>
    <w:rsid w:val="00A91F0D"/>
    <w:rsid w:val="00A931C2"/>
    <w:rsid w:val="00A93CE7"/>
    <w:rsid w:val="00A949AD"/>
    <w:rsid w:val="00A959D8"/>
    <w:rsid w:val="00A97C53"/>
    <w:rsid w:val="00AA4678"/>
    <w:rsid w:val="00AB3FB1"/>
    <w:rsid w:val="00AB6446"/>
    <w:rsid w:val="00AC1CD6"/>
    <w:rsid w:val="00AC2EC0"/>
    <w:rsid w:val="00AC3C53"/>
    <w:rsid w:val="00AC7F5E"/>
    <w:rsid w:val="00AD2653"/>
    <w:rsid w:val="00AD291C"/>
    <w:rsid w:val="00AE031B"/>
    <w:rsid w:val="00AE31E0"/>
    <w:rsid w:val="00AE562F"/>
    <w:rsid w:val="00AE6904"/>
    <w:rsid w:val="00AE7B80"/>
    <w:rsid w:val="00AF0C19"/>
    <w:rsid w:val="00AF43FE"/>
    <w:rsid w:val="00AF554D"/>
    <w:rsid w:val="00B0053F"/>
    <w:rsid w:val="00B03103"/>
    <w:rsid w:val="00B04538"/>
    <w:rsid w:val="00B1088A"/>
    <w:rsid w:val="00B118E9"/>
    <w:rsid w:val="00B11C46"/>
    <w:rsid w:val="00B12BA7"/>
    <w:rsid w:val="00B13F77"/>
    <w:rsid w:val="00B151E7"/>
    <w:rsid w:val="00B17D13"/>
    <w:rsid w:val="00B217D9"/>
    <w:rsid w:val="00B23811"/>
    <w:rsid w:val="00B25189"/>
    <w:rsid w:val="00B30326"/>
    <w:rsid w:val="00B31AAF"/>
    <w:rsid w:val="00B37B9E"/>
    <w:rsid w:val="00B41511"/>
    <w:rsid w:val="00B423C1"/>
    <w:rsid w:val="00B44523"/>
    <w:rsid w:val="00B46A13"/>
    <w:rsid w:val="00B47D79"/>
    <w:rsid w:val="00B507D9"/>
    <w:rsid w:val="00B511E8"/>
    <w:rsid w:val="00B52B09"/>
    <w:rsid w:val="00B5307C"/>
    <w:rsid w:val="00B53339"/>
    <w:rsid w:val="00B53409"/>
    <w:rsid w:val="00B53963"/>
    <w:rsid w:val="00B570DB"/>
    <w:rsid w:val="00B6020F"/>
    <w:rsid w:val="00B614B0"/>
    <w:rsid w:val="00B62778"/>
    <w:rsid w:val="00B727C8"/>
    <w:rsid w:val="00B729C3"/>
    <w:rsid w:val="00B732D9"/>
    <w:rsid w:val="00B73DA3"/>
    <w:rsid w:val="00B77E0F"/>
    <w:rsid w:val="00B816ED"/>
    <w:rsid w:val="00B82D48"/>
    <w:rsid w:val="00B835B6"/>
    <w:rsid w:val="00B84B13"/>
    <w:rsid w:val="00B8576D"/>
    <w:rsid w:val="00B8594E"/>
    <w:rsid w:val="00B85CD6"/>
    <w:rsid w:val="00B900A5"/>
    <w:rsid w:val="00B95914"/>
    <w:rsid w:val="00BA05C7"/>
    <w:rsid w:val="00BA181A"/>
    <w:rsid w:val="00BA3B74"/>
    <w:rsid w:val="00BA5C08"/>
    <w:rsid w:val="00BB0B12"/>
    <w:rsid w:val="00BB734A"/>
    <w:rsid w:val="00BC1191"/>
    <w:rsid w:val="00BC1B0E"/>
    <w:rsid w:val="00BC2592"/>
    <w:rsid w:val="00BC746A"/>
    <w:rsid w:val="00BC7A8A"/>
    <w:rsid w:val="00BD1683"/>
    <w:rsid w:val="00BD23FB"/>
    <w:rsid w:val="00BD28C7"/>
    <w:rsid w:val="00BD2E19"/>
    <w:rsid w:val="00BD3C4C"/>
    <w:rsid w:val="00BD422C"/>
    <w:rsid w:val="00BD568B"/>
    <w:rsid w:val="00BD5E33"/>
    <w:rsid w:val="00BE06E8"/>
    <w:rsid w:val="00BE5247"/>
    <w:rsid w:val="00BE5B97"/>
    <w:rsid w:val="00BF2966"/>
    <w:rsid w:val="00BF3403"/>
    <w:rsid w:val="00C06192"/>
    <w:rsid w:val="00C1474F"/>
    <w:rsid w:val="00C155DF"/>
    <w:rsid w:val="00C16D9F"/>
    <w:rsid w:val="00C17E09"/>
    <w:rsid w:val="00C2006A"/>
    <w:rsid w:val="00C20828"/>
    <w:rsid w:val="00C25054"/>
    <w:rsid w:val="00C26C99"/>
    <w:rsid w:val="00C27CA0"/>
    <w:rsid w:val="00C347C2"/>
    <w:rsid w:val="00C37A0F"/>
    <w:rsid w:val="00C402E6"/>
    <w:rsid w:val="00C42066"/>
    <w:rsid w:val="00C4249A"/>
    <w:rsid w:val="00C425ED"/>
    <w:rsid w:val="00C52C8D"/>
    <w:rsid w:val="00C53EF4"/>
    <w:rsid w:val="00C55116"/>
    <w:rsid w:val="00C55DEB"/>
    <w:rsid w:val="00C56B98"/>
    <w:rsid w:val="00C5747A"/>
    <w:rsid w:val="00C576B1"/>
    <w:rsid w:val="00C60ECB"/>
    <w:rsid w:val="00C64CE6"/>
    <w:rsid w:val="00C668BB"/>
    <w:rsid w:val="00C67ABC"/>
    <w:rsid w:val="00C70417"/>
    <w:rsid w:val="00C74113"/>
    <w:rsid w:val="00C76D64"/>
    <w:rsid w:val="00C8438C"/>
    <w:rsid w:val="00C8551C"/>
    <w:rsid w:val="00C90CFC"/>
    <w:rsid w:val="00C92163"/>
    <w:rsid w:val="00C948F7"/>
    <w:rsid w:val="00C96506"/>
    <w:rsid w:val="00C96F2D"/>
    <w:rsid w:val="00CA0256"/>
    <w:rsid w:val="00CA1A70"/>
    <w:rsid w:val="00CA3102"/>
    <w:rsid w:val="00CA77C1"/>
    <w:rsid w:val="00CB11D7"/>
    <w:rsid w:val="00CB1E96"/>
    <w:rsid w:val="00CB3294"/>
    <w:rsid w:val="00CB3837"/>
    <w:rsid w:val="00CC72EC"/>
    <w:rsid w:val="00CD584E"/>
    <w:rsid w:val="00CE0815"/>
    <w:rsid w:val="00CE1D90"/>
    <w:rsid w:val="00CE2A8E"/>
    <w:rsid w:val="00CF3BAD"/>
    <w:rsid w:val="00CF7D3A"/>
    <w:rsid w:val="00D0001B"/>
    <w:rsid w:val="00D0052E"/>
    <w:rsid w:val="00D010A8"/>
    <w:rsid w:val="00D03D36"/>
    <w:rsid w:val="00D03F0D"/>
    <w:rsid w:val="00D047B9"/>
    <w:rsid w:val="00D065BA"/>
    <w:rsid w:val="00D077A4"/>
    <w:rsid w:val="00D117F6"/>
    <w:rsid w:val="00D1231B"/>
    <w:rsid w:val="00D15889"/>
    <w:rsid w:val="00D25180"/>
    <w:rsid w:val="00D26A8E"/>
    <w:rsid w:val="00D27F4F"/>
    <w:rsid w:val="00D313C2"/>
    <w:rsid w:val="00D32259"/>
    <w:rsid w:val="00D4109D"/>
    <w:rsid w:val="00D46D2F"/>
    <w:rsid w:val="00D47837"/>
    <w:rsid w:val="00D504A3"/>
    <w:rsid w:val="00D51CD8"/>
    <w:rsid w:val="00D54BAE"/>
    <w:rsid w:val="00D61A64"/>
    <w:rsid w:val="00D6253C"/>
    <w:rsid w:val="00D64DF2"/>
    <w:rsid w:val="00D66C65"/>
    <w:rsid w:val="00D73034"/>
    <w:rsid w:val="00D73899"/>
    <w:rsid w:val="00D74C05"/>
    <w:rsid w:val="00D76F4D"/>
    <w:rsid w:val="00D8148F"/>
    <w:rsid w:val="00D834A2"/>
    <w:rsid w:val="00D84FC7"/>
    <w:rsid w:val="00D8735C"/>
    <w:rsid w:val="00D9011F"/>
    <w:rsid w:val="00D917BF"/>
    <w:rsid w:val="00D93E25"/>
    <w:rsid w:val="00D95C82"/>
    <w:rsid w:val="00D95DC3"/>
    <w:rsid w:val="00D95E0E"/>
    <w:rsid w:val="00DA14E1"/>
    <w:rsid w:val="00DA226E"/>
    <w:rsid w:val="00DB2418"/>
    <w:rsid w:val="00DB4AC2"/>
    <w:rsid w:val="00DB5A73"/>
    <w:rsid w:val="00DC4554"/>
    <w:rsid w:val="00DC4C1B"/>
    <w:rsid w:val="00DD0914"/>
    <w:rsid w:val="00DE42CE"/>
    <w:rsid w:val="00DE50A8"/>
    <w:rsid w:val="00DE5E8E"/>
    <w:rsid w:val="00DF3AE4"/>
    <w:rsid w:val="00DF58D1"/>
    <w:rsid w:val="00DF74FE"/>
    <w:rsid w:val="00DF7EE5"/>
    <w:rsid w:val="00E05A71"/>
    <w:rsid w:val="00E11E28"/>
    <w:rsid w:val="00E14BC5"/>
    <w:rsid w:val="00E20149"/>
    <w:rsid w:val="00E20ECE"/>
    <w:rsid w:val="00E2183E"/>
    <w:rsid w:val="00E25EA7"/>
    <w:rsid w:val="00E264EE"/>
    <w:rsid w:val="00E26CC9"/>
    <w:rsid w:val="00E275EE"/>
    <w:rsid w:val="00E31E90"/>
    <w:rsid w:val="00E32AF1"/>
    <w:rsid w:val="00E33C28"/>
    <w:rsid w:val="00E349BC"/>
    <w:rsid w:val="00E36AA5"/>
    <w:rsid w:val="00E40B41"/>
    <w:rsid w:val="00E4142B"/>
    <w:rsid w:val="00E43C54"/>
    <w:rsid w:val="00E43EBC"/>
    <w:rsid w:val="00E460B4"/>
    <w:rsid w:val="00E501C8"/>
    <w:rsid w:val="00E50355"/>
    <w:rsid w:val="00E53172"/>
    <w:rsid w:val="00E5336F"/>
    <w:rsid w:val="00E542EC"/>
    <w:rsid w:val="00E61746"/>
    <w:rsid w:val="00E617D9"/>
    <w:rsid w:val="00E61CB2"/>
    <w:rsid w:val="00E62339"/>
    <w:rsid w:val="00E65539"/>
    <w:rsid w:val="00E67EA7"/>
    <w:rsid w:val="00E7319E"/>
    <w:rsid w:val="00E80F61"/>
    <w:rsid w:val="00E8222A"/>
    <w:rsid w:val="00E8570C"/>
    <w:rsid w:val="00E85DA5"/>
    <w:rsid w:val="00E906E8"/>
    <w:rsid w:val="00E96426"/>
    <w:rsid w:val="00EA09F9"/>
    <w:rsid w:val="00EA1105"/>
    <w:rsid w:val="00EA5322"/>
    <w:rsid w:val="00EA5C3A"/>
    <w:rsid w:val="00EB1C0E"/>
    <w:rsid w:val="00EB3971"/>
    <w:rsid w:val="00EB4278"/>
    <w:rsid w:val="00EB7404"/>
    <w:rsid w:val="00EC2AC1"/>
    <w:rsid w:val="00EC73AB"/>
    <w:rsid w:val="00EC7C35"/>
    <w:rsid w:val="00ED2B2F"/>
    <w:rsid w:val="00ED31D0"/>
    <w:rsid w:val="00ED3D80"/>
    <w:rsid w:val="00ED3E2E"/>
    <w:rsid w:val="00ED6830"/>
    <w:rsid w:val="00ED6FEF"/>
    <w:rsid w:val="00EE1EF5"/>
    <w:rsid w:val="00EE450E"/>
    <w:rsid w:val="00EE5022"/>
    <w:rsid w:val="00EE6282"/>
    <w:rsid w:val="00EF1A93"/>
    <w:rsid w:val="00EF20FE"/>
    <w:rsid w:val="00EF44B0"/>
    <w:rsid w:val="00EF540F"/>
    <w:rsid w:val="00EF7458"/>
    <w:rsid w:val="00F02446"/>
    <w:rsid w:val="00F0370A"/>
    <w:rsid w:val="00F057B5"/>
    <w:rsid w:val="00F07D85"/>
    <w:rsid w:val="00F10722"/>
    <w:rsid w:val="00F15044"/>
    <w:rsid w:val="00F245E8"/>
    <w:rsid w:val="00F25B05"/>
    <w:rsid w:val="00F25E94"/>
    <w:rsid w:val="00F2675B"/>
    <w:rsid w:val="00F267D9"/>
    <w:rsid w:val="00F30F0F"/>
    <w:rsid w:val="00F33C2E"/>
    <w:rsid w:val="00F355CD"/>
    <w:rsid w:val="00F366AB"/>
    <w:rsid w:val="00F36942"/>
    <w:rsid w:val="00F3798C"/>
    <w:rsid w:val="00F443CC"/>
    <w:rsid w:val="00F44C34"/>
    <w:rsid w:val="00F5048A"/>
    <w:rsid w:val="00F645D1"/>
    <w:rsid w:val="00F650EF"/>
    <w:rsid w:val="00F717D8"/>
    <w:rsid w:val="00F72B05"/>
    <w:rsid w:val="00F76723"/>
    <w:rsid w:val="00F81187"/>
    <w:rsid w:val="00F83E6C"/>
    <w:rsid w:val="00F865BE"/>
    <w:rsid w:val="00F86F0A"/>
    <w:rsid w:val="00F87329"/>
    <w:rsid w:val="00F875DE"/>
    <w:rsid w:val="00F87727"/>
    <w:rsid w:val="00F900C9"/>
    <w:rsid w:val="00F93B37"/>
    <w:rsid w:val="00F97C28"/>
    <w:rsid w:val="00FA00B2"/>
    <w:rsid w:val="00FA2ECF"/>
    <w:rsid w:val="00FA3178"/>
    <w:rsid w:val="00FB06D8"/>
    <w:rsid w:val="00FB0ECA"/>
    <w:rsid w:val="00FB497E"/>
    <w:rsid w:val="00FB78BB"/>
    <w:rsid w:val="00FC0ED9"/>
    <w:rsid w:val="00FC3618"/>
    <w:rsid w:val="00FC4712"/>
    <w:rsid w:val="00FC57DD"/>
    <w:rsid w:val="00FC6DF5"/>
    <w:rsid w:val="00FD702F"/>
    <w:rsid w:val="00FE19D7"/>
    <w:rsid w:val="00FE5C78"/>
    <w:rsid w:val="00FE61AA"/>
    <w:rsid w:val="00FE649D"/>
    <w:rsid w:val="00FE67F1"/>
    <w:rsid w:val="00FE76E2"/>
    <w:rsid w:val="00FF510A"/>
    <w:rsid w:val="00FF5196"/>
    <w:rsid w:val="00FF5ED9"/>
    <w:rsid w:val="00FF6746"/>
    <w:rsid w:val="00FF7857"/>
    <w:rsid w:val="00FF7CBB"/>
    <w:rsid w:val="00FF7E16"/>
    <w:rsid w:val="00FF7E5F"/>
    <w:rsid w:val="014A3D18"/>
    <w:rsid w:val="016E3227"/>
    <w:rsid w:val="019A6EAF"/>
    <w:rsid w:val="02C714A4"/>
    <w:rsid w:val="030E3D77"/>
    <w:rsid w:val="03251D55"/>
    <w:rsid w:val="03737E3D"/>
    <w:rsid w:val="03903AB9"/>
    <w:rsid w:val="03A2395B"/>
    <w:rsid w:val="03B906BB"/>
    <w:rsid w:val="03C30CDA"/>
    <w:rsid w:val="03D51564"/>
    <w:rsid w:val="04581E59"/>
    <w:rsid w:val="04AC4715"/>
    <w:rsid w:val="04B21F74"/>
    <w:rsid w:val="0528471C"/>
    <w:rsid w:val="052C6D8B"/>
    <w:rsid w:val="05691A03"/>
    <w:rsid w:val="05CD60D9"/>
    <w:rsid w:val="061B6E97"/>
    <w:rsid w:val="064A7446"/>
    <w:rsid w:val="069A18C4"/>
    <w:rsid w:val="07032F71"/>
    <w:rsid w:val="070F0D0E"/>
    <w:rsid w:val="07586C73"/>
    <w:rsid w:val="076C3095"/>
    <w:rsid w:val="081004CF"/>
    <w:rsid w:val="083D508B"/>
    <w:rsid w:val="08456DEA"/>
    <w:rsid w:val="08944210"/>
    <w:rsid w:val="090D1138"/>
    <w:rsid w:val="09380E75"/>
    <w:rsid w:val="0967508E"/>
    <w:rsid w:val="09DE5EB4"/>
    <w:rsid w:val="09ED3441"/>
    <w:rsid w:val="0A3557E4"/>
    <w:rsid w:val="0B4F0B40"/>
    <w:rsid w:val="0B686C0B"/>
    <w:rsid w:val="0C7F5817"/>
    <w:rsid w:val="0CF252DD"/>
    <w:rsid w:val="0D476DCE"/>
    <w:rsid w:val="0D667A5B"/>
    <w:rsid w:val="0DAE6ADE"/>
    <w:rsid w:val="0DD05348"/>
    <w:rsid w:val="0DEA2684"/>
    <w:rsid w:val="0DF71962"/>
    <w:rsid w:val="0EFD7E29"/>
    <w:rsid w:val="0F1F2279"/>
    <w:rsid w:val="0F5C77C2"/>
    <w:rsid w:val="0F5D5AA6"/>
    <w:rsid w:val="0FB50942"/>
    <w:rsid w:val="1035765A"/>
    <w:rsid w:val="108E0427"/>
    <w:rsid w:val="115D4DBD"/>
    <w:rsid w:val="11BA79A9"/>
    <w:rsid w:val="11E81B42"/>
    <w:rsid w:val="130E4D4C"/>
    <w:rsid w:val="131955A0"/>
    <w:rsid w:val="1320741A"/>
    <w:rsid w:val="13523267"/>
    <w:rsid w:val="13AA1353"/>
    <w:rsid w:val="13EB0C40"/>
    <w:rsid w:val="1467378F"/>
    <w:rsid w:val="14697287"/>
    <w:rsid w:val="14AE006C"/>
    <w:rsid w:val="151F367E"/>
    <w:rsid w:val="157C3043"/>
    <w:rsid w:val="15F3691A"/>
    <w:rsid w:val="16BF3442"/>
    <w:rsid w:val="171624D9"/>
    <w:rsid w:val="17203774"/>
    <w:rsid w:val="17B32773"/>
    <w:rsid w:val="17D34C26"/>
    <w:rsid w:val="17D51D99"/>
    <w:rsid w:val="17FB44A0"/>
    <w:rsid w:val="18171741"/>
    <w:rsid w:val="191D7750"/>
    <w:rsid w:val="1A7734E0"/>
    <w:rsid w:val="1A7A676D"/>
    <w:rsid w:val="1A9579D1"/>
    <w:rsid w:val="1AC0420A"/>
    <w:rsid w:val="1B0B7023"/>
    <w:rsid w:val="1B1D5BC3"/>
    <w:rsid w:val="1B2A3F24"/>
    <w:rsid w:val="1B590735"/>
    <w:rsid w:val="1BDE4A61"/>
    <w:rsid w:val="1C2E1855"/>
    <w:rsid w:val="1CB14755"/>
    <w:rsid w:val="1CB80C2C"/>
    <w:rsid w:val="1D097731"/>
    <w:rsid w:val="1D40568D"/>
    <w:rsid w:val="1DB661B0"/>
    <w:rsid w:val="1DCD6B09"/>
    <w:rsid w:val="1DDC0629"/>
    <w:rsid w:val="1DEE6B97"/>
    <w:rsid w:val="1DEF2BE6"/>
    <w:rsid w:val="1DFE2FD3"/>
    <w:rsid w:val="1E1E6B72"/>
    <w:rsid w:val="1E7058B3"/>
    <w:rsid w:val="1F0145D1"/>
    <w:rsid w:val="1F547F1C"/>
    <w:rsid w:val="20D62051"/>
    <w:rsid w:val="210E517E"/>
    <w:rsid w:val="214E0B0B"/>
    <w:rsid w:val="21DC1EED"/>
    <w:rsid w:val="222376BB"/>
    <w:rsid w:val="227C040E"/>
    <w:rsid w:val="230964DD"/>
    <w:rsid w:val="23115ACF"/>
    <w:rsid w:val="23F72C5C"/>
    <w:rsid w:val="240C390A"/>
    <w:rsid w:val="241851F1"/>
    <w:rsid w:val="245F3D30"/>
    <w:rsid w:val="247E3B6D"/>
    <w:rsid w:val="24E64225"/>
    <w:rsid w:val="255F284A"/>
    <w:rsid w:val="25BB6F35"/>
    <w:rsid w:val="25FF21BB"/>
    <w:rsid w:val="261F6C8C"/>
    <w:rsid w:val="26542CB1"/>
    <w:rsid w:val="26624729"/>
    <w:rsid w:val="269226AA"/>
    <w:rsid w:val="26960BDD"/>
    <w:rsid w:val="26B933E2"/>
    <w:rsid w:val="27F3229A"/>
    <w:rsid w:val="284604D4"/>
    <w:rsid w:val="28481C84"/>
    <w:rsid w:val="28CC22B1"/>
    <w:rsid w:val="28E251C1"/>
    <w:rsid w:val="28FE5489"/>
    <w:rsid w:val="2A2D0A36"/>
    <w:rsid w:val="2A4D2E5D"/>
    <w:rsid w:val="2A7B2AC1"/>
    <w:rsid w:val="2AD95059"/>
    <w:rsid w:val="2B1F5040"/>
    <w:rsid w:val="2B294192"/>
    <w:rsid w:val="2BB65CFF"/>
    <w:rsid w:val="2CC04571"/>
    <w:rsid w:val="2DF80920"/>
    <w:rsid w:val="2E1022AB"/>
    <w:rsid w:val="2E3B2650"/>
    <w:rsid w:val="2E3E316C"/>
    <w:rsid w:val="2EC26F82"/>
    <w:rsid w:val="2EE039DA"/>
    <w:rsid w:val="2F5101FD"/>
    <w:rsid w:val="2F7714F2"/>
    <w:rsid w:val="306D597F"/>
    <w:rsid w:val="3073310C"/>
    <w:rsid w:val="30D7502F"/>
    <w:rsid w:val="312204A9"/>
    <w:rsid w:val="31EB74D6"/>
    <w:rsid w:val="31F314D2"/>
    <w:rsid w:val="3203259E"/>
    <w:rsid w:val="32B14FBC"/>
    <w:rsid w:val="32E877FA"/>
    <w:rsid w:val="32F94E59"/>
    <w:rsid w:val="33273EF2"/>
    <w:rsid w:val="33AE56DB"/>
    <w:rsid w:val="34AD12B7"/>
    <w:rsid w:val="34EE0AAF"/>
    <w:rsid w:val="36434931"/>
    <w:rsid w:val="37E213E4"/>
    <w:rsid w:val="383C1A3F"/>
    <w:rsid w:val="38C00517"/>
    <w:rsid w:val="394757C6"/>
    <w:rsid w:val="394E39F0"/>
    <w:rsid w:val="3961212F"/>
    <w:rsid w:val="398E2EF8"/>
    <w:rsid w:val="39E00BD8"/>
    <w:rsid w:val="39E43F86"/>
    <w:rsid w:val="39F740BC"/>
    <w:rsid w:val="3A07324A"/>
    <w:rsid w:val="3A184055"/>
    <w:rsid w:val="3A716814"/>
    <w:rsid w:val="3A903888"/>
    <w:rsid w:val="3BBE086A"/>
    <w:rsid w:val="3BE92982"/>
    <w:rsid w:val="3C0F1104"/>
    <w:rsid w:val="3CD4250C"/>
    <w:rsid w:val="3CD425F0"/>
    <w:rsid w:val="3CEC3499"/>
    <w:rsid w:val="3E306EE0"/>
    <w:rsid w:val="3EDB7C91"/>
    <w:rsid w:val="40DF3A9C"/>
    <w:rsid w:val="4105352B"/>
    <w:rsid w:val="41085F34"/>
    <w:rsid w:val="41614A48"/>
    <w:rsid w:val="41D80CF6"/>
    <w:rsid w:val="42B32EF2"/>
    <w:rsid w:val="42F858C5"/>
    <w:rsid w:val="441471B5"/>
    <w:rsid w:val="447675BE"/>
    <w:rsid w:val="45443518"/>
    <w:rsid w:val="45525CAC"/>
    <w:rsid w:val="45D42105"/>
    <w:rsid w:val="45F52D8B"/>
    <w:rsid w:val="45FA334A"/>
    <w:rsid w:val="45FC30F2"/>
    <w:rsid w:val="46095DF7"/>
    <w:rsid w:val="4629292E"/>
    <w:rsid w:val="46CB42E2"/>
    <w:rsid w:val="46D30AFB"/>
    <w:rsid w:val="46F9449D"/>
    <w:rsid w:val="47165EBE"/>
    <w:rsid w:val="47B70FB5"/>
    <w:rsid w:val="47DC3A6B"/>
    <w:rsid w:val="480849FA"/>
    <w:rsid w:val="48180144"/>
    <w:rsid w:val="484C06FD"/>
    <w:rsid w:val="48547A5A"/>
    <w:rsid w:val="4870791B"/>
    <w:rsid w:val="48954B41"/>
    <w:rsid w:val="49246D16"/>
    <w:rsid w:val="49451414"/>
    <w:rsid w:val="4A0016A5"/>
    <w:rsid w:val="4A0F498D"/>
    <w:rsid w:val="4A1907A7"/>
    <w:rsid w:val="4AF9238C"/>
    <w:rsid w:val="4B3128F2"/>
    <w:rsid w:val="4B343E28"/>
    <w:rsid w:val="4C263A2F"/>
    <w:rsid w:val="4CA84651"/>
    <w:rsid w:val="4D5F6FBA"/>
    <w:rsid w:val="4E102354"/>
    <w:rsid w:val="4F561094"/>
    <w:rsid w:val="4F5B5D68"/>
    <w:rsid w:val="4F640CCF"/>
    <w:rsid w:val="4FAD16BF"/>
    <w:rsid w:val="4FC30D92"/>
    <w:rsid w:val="4FF60852"/>
    <w:rsid w:val="50F93666"/>
    <w:rsid w:val="51032DD3"/>
    <w:rsid w:val="51171F28"/>
    <w:rsid w:val="52181EC3"/>
    <w:rsid w:val="526438E7"/>
    <w:rsid w:val="52DE0004"/>
    <w:rsid w:val="52E96CC0"/>
    <w:rsid w:val="53FD0123"/>
    <w:rsid w:val="54C047F9"/>
    <w:rsid w:val="54E476A2"/>
    <w:rsid w:val="54F363D6"/>
    <w:rsid w:val="55253741"/>
    <w:rsid w:val="55610BEF"/>
    <w:rsid w:val="57312335"/>
    <w:rsid w:val="57A17C22"/>
    <w:rsid w:val="5899755D"/>
    <w:rsid w:val="58B6590E"/>
    <w:rsid w:val="593115C1"/>
    <w:rsid w:val="595A0DA0"/>
    <w:rsid w:val="595B0922"/>
    <w:rsid w:val="59966423"/>
    <w:rsid w:val="5A270D6E"/>
    <w:rsid w:val="5ACD6B9B"/>
    <w:rsid w:val="5AEA672E"/>
    <w:rsid w:val="5B2914A9"/>
    <w:rsid w:val="5B8256B2"/>
    <w:rsid w:val="5C043980"/>
    <w:rsid w:val="5C3F15FC"/>
    <w:rsid w:val="5C7779CE"/>
    <w:rsid w:val="5D556EAE"/>
    <w:rsid w:val="5D80701E"/>
    <w:rsid w:val="5DE63193"/>
    <w:rsid w:val="5E145BCE"/>
    <w:rsid w:val="5E1E5841"/>
    <w:rsid w:val="5F07502A"/>
    <w:rsid w:val="5F411193"/>
    <w:rsid w:val="5F5A2564"/>
    <w:rsid w:val="5F69758F"/>
    <w:rsid w:val="604F6D2A"/>
    <w:rsid w:val="60FA65E2"/>
    <w:rsid w:val="60FF275F"/>
    <w:rsid w:val="61596857"/>
    <w:rsid w:val="6161047C"/>
    <w:rsid w:val="616A1D25"/>
    <w:rsid w:val="61A64C83"/>
    <w:rsid w:val="61DA2941"/>
    <w:rsid w:val="61E17F3E"/>
    <w:rsid w:val="624A6E0A"/>
    <w:rsid w:val="626D07D0"/>
    <w:rsid w:val="62CE5926"/>
    <w:rsid w:val="63BF1B3C"/>
    <w:rsid w:val="646F5AD0"/>
    <w:rsid w:val="64A66316"/>
    <w:rsid w:val="64D57A2C"/>
    <w:rsid w:val="65E6324D"/>
    <w:rsid w:val="660048CC"/>
    <w:rsid w:val="66303B2A"/>
    <w:rsid w:val="66482649"/>
    <w:rsid w:val="66835025"/>
    <w:rsid w:val="66D04CB5"/>
    <w:rsid w:val="67046310"/>
    <w:rsid w:val="676A1643"/>
    <w:rsid w:val="684A678F"/>
    <w:rsid w:val="691F7870"/>
    <w:rsid w:val="69681CD0"/>
    <w:rsid w:val="6A471A9B"/>
    <w:rsid w:val="6A901A5F"/>
    <w:rsid w:val="6AC25DB6"/>
    <w:rsid w:val="6BFF077C"/>
    <w:rsid w:val="6C140578"/>
    <w:rsid w:val="6C2B55DE"/>
    <w:rsid w:val="6D092389"/>
    <w:rsid w:val="6D3418C0"/>
    <w:rsid w:val="6D4A7B1D"/>
    <w:rsid w:val="6D9F71C4"/>
    <w:rsid w:val="6E454F72"/>
    <w:rsid w:val="6EA747E2"/>
    <w:rsid w:val="6F270E7E"/>
    <w:rsid w:val="6F646BDE"/>
    <w:rsid w:val="6F67142A"/>
    <w:rsid w:val="6F8508F4"/>
    <w:rsid w:val="6FA3147F"/>
    <w:rsid w:val="6FD45826"/>
    <w:rsid w:val="70A708DC"/>
    <w:rsid w:val="70D02A4F"/>
    <w:rsid w:val="725C50E9"/>
    <w:rsid w:val="726E1A78"/>
    <w:rsid w:val="72D57BD7"/>
    <w:rsid w:val="74667961"/>
    <w:rsid w:val="74AE5A91"/>
    <w:rsid w:val="75EA7003"/>
    <w:rsid w:val="762344CD"/>
    <w:rsid w:val="76C342AA"/>
    <w:rsid w:val="78476230"/>
    <w:rsid w:val="787DDB48"/>
    <w:rsid w:val="78A32227"/>
    <w:rsid w:val="79197668"/>
    <w:rsid w:val="793C05AC"/>
    <w:rsid w:val="798C1B5A"/>
    <w:rsid w:val="79955AA0"/>
    <w:rsid w:val="7A6B0D66"/>
    <w:rsid w:val="7B0E3C80"/>
    <w:rsid w:val="7B654750"/>
    <w:rsid w:val="7B7C7D1F"/>
    <w:rsid w:val="7B9E538C"/>
    <w:rsid w:val="7C5B40E1"/>
    <w:rsid w:val="7C6A7F6E"/>
    <w:rsid w:val="7CD30DD3"/>
    <w:rsid w:val="7CED3003"/>
    <w:rsid w:val="7D043381"/>
    <w:rsid w:val="7D236C90"/>
    <w:rsid w:val="7D4F0EA6"/>
    <w:rsid w:val="7D885400"/>
    <w:rsid w:val="7DA808A9"/>
    <w:rsid w:val="7DC971D4"/>
    <w:rsid w:val="7DCC23D5"/>
    <w:rsid w:val="7E06388A"/>
    <w:rsid w:val="7E4C2D2E"/>
    <w:rsid w:val="7E50267E"/>
    <w:rsid w:val="7E5725D5"/>
    <w:rsid w:val="7EDA1DE4"/>
    <w:rsid w:val="7F8F5DCF"/>
    <w:rsid w:val="7FBAB011"/>
    <w:rsid w:val="7FBF668D"/>
    <w:rsid w:val="7FDE56BD"/>
    <w:rsid w:val="7FF71FF3"/>
    <w:rsid w:val="BFBDEFC9"/>
    <w:rsid w:val="DDBD8F0D"/>
    <w:rsid w:val="DF6DC484"/>
    <w:rsid w:val="EDE3F9EE"/>
    <w:rsid w:val="F5E4C8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53"/>
    <w:qFormat/>
    <w:uiPriority w:val="0"/>
    <w:pPr>
      <w:keepNext/>
      <w:widowControl/>
      <w:overflowPunct w:val="0"/>
      <w:autoSpaceDE w:val="0"/>
      <w:autoSpaceDN w:val="0"/>
      <w:adjustRightInd w:val="0"/>
      <w:spacing w:before="240" w:after="60" w:line="360" w:lineRule="auto"/>
      <w:jc w:val="left"/>
      <w:textAlignment w:val="baseline"/>
      <w:outlineLvl w:val="0"/>
    </w:pPr>
    <w:rPr>
      <w:rFonts w:ascii="仿宋体" w:hAnsi="Times New Roman" w:eastAsia="仿宋体" w:cs="Times New Roman"/>
      <w:b/>
      <w:kern w:val="28"/>
      <w:sz w:val="26"/>
      <w:szCs w:val="20"/>
    </w:rPr>
  </w:style>
  <w:style w:type="paragraph" w:styleId="5">
    <w:name w:val="heading 2"/>
    <w:basedOn w:val="1"/>
    <w:next w:val="6"/>
    <w:link w:val="54"/>
    <w:qFormat/>
    <w:uiPriority w:val="0"/>
    <w:pPr>
      <w:keepNext/>
      <w:widowControl/>
      <w:overflowPunct w:val="0"/>
      <w:autoSpaceDE w:val="0"/>
      <w:autoSpaceDN w:val="0"/>
      <w:adjustRightInd w:val="0"/>
      <w:spacing w:line="500" w:lineRule="exact"/>
      <w:ind w:left="-69" w:right="-120"/>
      <w:jc w:val="center"/>
      <w:textAlignment w:val="baseline"/>
      <w:outlineLvl w:val="1"/>
    </w:pPr>
    <w:rPr>
      <w:rFonts w:ascii="宋体" w:hAnsi="Times New Roman" w:eastAsia="宋体" w:cs="Times New Roman"/>
      <w:b/>
      <w:kern w:val="0"/>
      <w:szCs w:val="20"/>
    </w:rPr>
  </w:style>
  <w:style w:type="paragraph" w:styleId="7">
    <w:name w:val="heading 3"/>
    <w:basedOn w:val="1"/>
    <w:next w:val="6"/>
    <w:link w:val="55"/>
    <w:qFormat/>
    <w:uiPriority w:val="0"/>
    <w:pPr>
      <w:keepNext/>
      <w:keepLines/>
      <w:spacing w:before="120" w:after="120" w:line="600" w:lineRule="exact"/>
      <w:outlineLvl w:val="2"/>
    </w:pPr>
    <w:rPr>
      <w:rFonts w:ascii="Times New Roman" w:hAnsi="Times New Roman" w:eastAsia="宋体" w:cs="Times New Roman"/>
      <w:b/>
      <w:sz w:val="28"/>
      <w:szCs w:val="20"/>
    </w:rPr>
  </w:style>
  <w:style w:type="paragraph" w:styleId="8">
    <w:name w:val="heading 4"/>
    <w:basedOn w:val="1"/>
    <w:next w:val="6"/>
    <w:link w:val="56"/>
    <w:qFormat/>
    <w:uiPriority w:val="0"/>
    <w:pPr>
      <w:keepNext/>
      <w:widowControl/>
      <w:overflowPunct w:val="0"/>
      <w:autoSpaceDE w:val="0"/>
      <w:autoSpaceDN w:val="0"/>
      <w:adjustRightInd w:val="0"/>
      <w:spacing w:line="500" w:lineRule="exact"/>
      <w:ind w:left="-108" w:right="-65"/>
      <w:jc w:val="center"/>
      <w:textAlignment w:val="baseline"/>
      <w:outlineLvl w:val="3"/>
    </w:pPr>
    <w:rPr>
      <w:rFonts w:ascii="宋体" w:hAnsi="Times New Roman" w:eastAsia="宋体" w:cs="Times New Roman"/>
      <w:b/>
      <w:kern w:val="0"/>
      <w:szCs w:val="20"/>
    </w:rPr>
  </w:style>
  <w:style w:type="paragraph" w:styleId="9">
    <w:name w:val="heading 5"/>
    <w:basedOn w:val="1"/>
    <w:next w:val="6"/>
    <w:link w:val="57"/>
    <w:qFormat/>
    <w:uiPriority w:val="0"/>
    <w:pPr>
      <w:keepNext/>
      <w:widowControl/>
      <w:overflowPunct w:val="0"/>
      <w:autoSpaceDE w:val="0"/>
      <w:autoSpaceDN w:val="0"/>
      <w:adjustRightInd w:val="0"/>
      <w:spacing w:line="500" w:lineRule="exact"/>
      <w:ind w:left="-108" w:right="-137"/>
      <w:jc w:val="center"/>
      <w:textAlignment w:val="baseline"/>
      <w:outlineLvl w:val="4"/>
    </w:pPr>
    <w:rPr>
      <w:rFonts w:ascii="宋体" w:hAnsi="Times New Roman" w:eastAsia="宋体" w:cs="Times New Roman"/>
      <w:b/>
      <w:kern w:val="0"/>
      <w:szCs w:val="20"/>
    </w:rPr>
  </w:style>
  <w:style w:type="paragraph" w:styleId="10">
    <w:name w:val="heading 6"/>
    <w:basedOn w:val="1"/>
    <w:next w:val="6"/>
    <w:link w:val="58"/>
    <w:qFormat/>
    <w:uiPriority w:val="0"/>
    <w:pPr>
      <w:keepNext/>
      <w:widowControl/>
      <w:overflowPunct w:val="0"/>
      <w:autoSpaceDE w:val="0"/>
      <w:autoSpaceDN w:val="0"/>
      <w:adjustRightInd w:val="0"/>
      <w:spacing w:line="500" w:lineRule="exact"/>
      <w:ind w:left="-108" w:right="-109"/>
      <w:jc w:val="center"/>
      <w:textAlignment w:val="baseline"/>
      <w:outlineLvl w:val="5"/>
    </w:pPr>
    <w:rPr>
      <w:rFonts w:ascii="宋体" w:hAnsi="Times New Roman" w:eastAsia="宋体" w:cs="Times New Roman"/>
      <w:b/>
      <w:kern w:val="0"/>
      <w:szCs w:val="20"/>
    </w:rPr>
  </w:style>
  <w:style w:type="paragraph" w:styleId="11">
    <w:name w:val="heading 7"/>
    <w:basedOn w:val="1"/>
    <w:next w:val="6"/>
    <w:link w:val="59"/>
    <w:qFormat/>
    <w:uiPriority w:val="0"/>
    <w:pPr>
      <w:keepNext/>
      <w:widowControl/>
      <w:overflowPunct w:val="0"/>
      <w:autoSpaceDE w:val="0"/>
      <w:autoSpaceDN w:val="0"/>
      <w:adjustRightInd w:val="0"/>
      <w:spacing w:line="500" w:lineRule="exact"/>
      <w:ind w:left="-108" w:right="-82"/>
      <w:jc w:val="center"/>
      <w:textAlignment w:val="baseline"/>
      <w:outlineLvl w:val="6"/>
    </w:pPr>
    <w:rPr>
      <w:rFonts w:ascii="宋体" w:hAnsi="Times New Roman" w:eastAsia="宋体" w:cs="Times New Roman"/>
      <w:b/>
      <w:kern w:val="0"/>
      <w:szCs w:val="20"/>
    </w:rPr>
  </w:style>
  <w:style w:type="paragraph" w:styleId="12">
    <w:name w:val="heading 8"/>
    <w:basedOn w:val="1"/>
    <w:next w:val="6"/>
    <w:link w:val="60"/>
    <w:qFormat/>
    <w:uiPriority w:val="0"/>
    <w:pPr>
      <w:keepNext/>
      <w:widowControl/>
      <w:overflowPunct w:val="0"/>
      <w:autoSpaceDE w:val="0"/>
      <w:autoSpaceDN w:val="0"/>
      <w:adjustRightInd w:val="0"/>
      <w:spacing w:line="500" w:lineRule="exact"/>
      <w:ind w:left="-108" w:right="326"/>
      <w:jc w:val="center"/>
      <w:textAlignment w:val="baseline"/>
      <w:outlineLvl w:val="7"/>
    </w:pPr>
    <w:rPr>
      <w:rFonts w:ascii="宋体" w:hAnsi="Times New Roman" w:eastAsia="宋体" w:cs="Times New Roman"/>
      <w:b/>
      <w:kern w:val="0"/>
      <w:szCs w:val="20"/>
    </w:rPr>
  </w:style>
  <w:style w:type="paragraph" w:styleId="13">
    <w:name w:val="heading 9"/>
    <w:basedOn w:val="1"/>
    <w:next w:val="1"/>
    <w:link w:val="61"/>
    <w:qFormat/>
    <w:uiPriority w:val="0"/>
    <w:pPr>
      <w:keepNext/>
      <w:keepLines/>
      <w:topLinePunct/>
      <w:spacing w:before="240" w:after="64" w:line="319" w:lineRule="auto"/>
      <w:outlineLvl w:val="8"/>
    </w:pPr>
    <w:rPr>
      <w:rFonts w:ascii="Arial" w:hAnsi="Arial" w:eastAsia="黑体" w:cs="Times New Roman"/>
      <w:kern w:val="24"/>
      <w:szCs w:val="21"/>
    </w:rPr>
  </w:style>
  <w:style w:type="character" w:default="1" w:styleId="47">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2">
    <w:name w:val="Body Text"/>
    <w:basedOn w:val="1"/>
    <w:next w:val="3"/>
    <w:link w:val="70"/>
    <w:qFormat/>
    <w:uiPriority w:val="0"/>
    <w:pPr>
      <w:spacing w:after="120"/>
    </w:pPr>
    <w:rPr>
      <w:rFonts w:ascii="Times New Roman" w:hAnsi="Times New Roman" w:eastAsia="宋体" w:cs="Times New Roman"/>
      <w:szCs w:val="24"/>
    </w:rPr>
  </w:style>
  <w:style w:type="paragraph" w:styleId="3">
    <w:name w:val="Title"/>
    <w:basedOn w:val="1"/>
    <w:next w:val="1"/>
    <w:link w:val="96"/>
    <w:qFormat/>
    <w:uiPriority w:val="0"/>
    <w:pPr>
      <w:keepLines/>
      <w:widowControl w:val="0"/>
      <w:overflowPunct/>
      <w:autoSpaceDE/>
      <w:autoSpaceDN/>
      <w:adjustRightInd/>
      <w:spacing w:line="240" w:lineRule="auto"/>
      <w:ind w:left="2720"/>
      <w:jc w:val="center"/>
      <w:textAlignment w:val="auto"/>
    </w:pPr>
    <w:rPr>
      <w:rFonts w:ascii="Arial" w:hAnsi="Arial" w:eastAsia="宋体"/>
      <w:kern w:val="2"/>
      <w:sz w:val="32"/>
      <w:u w:val="single"/>
    </w:rPr>
  </w:style>
  <w:style w:type="paragraph" w:styleId="6">
    <w:name w:val="Normal Indent"/>
    <w:basedOn w:val="1"/>
    <w:qFormat/>
    <w:uiPriority w:val="0"/>
    <w:pPr>
      <w:spacing w:line="500" w:lineRule="exact"/>
      <w:ind w:firstLine="420"/>
    </w:pPr>
    <w:rPr>
      <w:rFonts w:ascii="Times New Roman" w:hAnsi="Times New Roman" w:eastAsia="宋体" w:cs="Times New Roman"/>
      <w:sz w:val="28"/>
      <w:szCs w:val="20"/>
    </w:rPr>
  </w:style>
  <w:style w:type="paragraph" w:styleId="14">
    <w:name w:val="toc 7"/>
    <w:basedOn w:val="1"/>
    <w:next w:val="1"/>
    <w:qFormat/>
    <w:uiPriority w:val="39"/>
    <w:pPr>
      <w:ind w:left="2520"/>
    </w:pPr>
    <w:rPr>
      <w:rFonts w:ascii="Times New Roman" w:hAnsi="Times New Roman" w:eastAsia="宋体" w:cs="Times New Roman"/>
      <w:szCs w:val="20"/>
    </w:rPr>
  </w:style>
  <w:style w:type="paragraph" w:styleId="15">
    <w:name w:val="Note Heading"/>
    <w:basedOn w:val="1"/>
    <w:next w:val="1"/>
    <w:link w:val="97"/>
    <w:qFormat/>
    <w:uiPriority w:val="0"/>
    <w:pPr>
      <w:jc w:val="center"/>
    </w:pPr>
    <w:rPr>
      <w:rFonts w:ascii="Times New Roman" w:hAnsi="Times New Roman" w:eastAsia="宋体" w:cs="Times New Roman"/>
      <w:szCs w:val="20"/>
    </w:rPr>
  </w:style>
  <w:style w:type="paragraph" w:styleId="16">
    <w:name w:val="caption"/>
    <w:basedOn w:val="1"/>
    <w:next w:val="1"/>
    <w:qFormat/>
    <w:uiPriority w:val="0"/>
    <w:pPr>
      <w:spacing w:before="152" w:after="160"/>
    </w:pPr>
    <w:rPr>
      <w:rFonts w:ascii="Arial" w:hAnsi="Arial" w:eastAsia="黑体" w:cs="Times New Roman"/>
      <w:sz w:val="20"/>
      <w:szCs w:val="20"/>
    </w:rPr>
  </w:style>
  <w:style w:type="paragraph" w:styleId="17">
    <w:name w:val="Document Map"/>
    <w:basedOn w:val="1"/>
    <w:link w:val="81"/>
    <w:semiHidden/>
    <w:qFormat/>
    <w:uiPriority w:val="0"/>
    <w:pPr>
      <w:shd w:val="clear" w:color="auto" w:fill="000080"/>
    </w:pPr>
    <w:rPr>
      <w:rFonts w:ascii="Times New Roman" w:hAnsi="Times New Roman" w:eastAsia="宋体" w:cs="Times New Roman"/>
      <w:szCs w:val="24"/>
    </w:rPr>
  </w:style>
  <w:style w:type="paragraph" w:styleId="18">
    <w:name w:val="toa heading"/>
    <w:basedOn w:val="1"/>
    <w:next w:val="1"/>
    <w:unhideWhenUsed/>
    <w:qFormat/>
    <w:uiPriority w:val="99"/>
    <w:pPr>
      <w:spacing w:before="120"/>
    </w:pPr>
    <w:rPr>
      <w:rFonts w:eastAsia="宋体" w:asciiTheme="majorHAnsi" w:hAnsiTheme="majorHAnsi" w:cstheme="majorBidi"/>
      <w:sz w:val="24"/>
      <w:szCs w:val="24"/>
    </w:rPr>
  </w:style>
  <w:style w:type="paragraph" w:styleId="19">
    <w:name w:val="annotation text"/>
    <w:basedOn w:val="1"/>
    <w:link w:val="78"/>
    <w:qFormat/>
    <w:uiPriority w:val="0"/>
    <w:pPr>
      <w:jc w:val="left"/>
    </w:pPr>
    <w:rPr>
      <w:rFonts w:ascii="Times New Roman" w:hAnsi="Times New Roman" w:eastAsia="宋体" w:cs="Times New Roman"/>
      <w:szCs w:val="24"/>
    </w:rPr>
  </w:style>
  <w:style w:type="paragraph" w:styleId="20">
    <w:name w:val="Body Text 3"/>
    <w:basedOn w:val="1"/>
    <w:link w:val="72"/>
    <w:qFormat/>
    <w:uiPriority w:val="0"/>
    <w:pPr>
      <w:spacing w:after="120"/>
    </w:pPr>
    <w:rPr>
      <w:rFonts w:ascii="Times New Roman" w:hAnsi="Times New Roman" w:eastAsia="宋体" w:cs="Times New Roman"/>
      <w:sz w:val="16"/>
      <w:szCs w:val="16"/>
    </w:rPr>
  </w:style>
  <w:style w:type="paragraph" w:styleId="21">
    <w:name w:val="Body Text Indent"/>
    <w:basedOn w:val="1"/>
    <w:link w:val="67"/>
    <w:qFormat/>
    <w:uiPriority w:val="0"/>
    <w:pPr>
      <w:autoSpaceDE w:val="0"/>
      <w:autoSpaceDN w:val="0"/>
      <w:adjustRightInd w:val="0"/>
      <w:spacing w:before="120"/>
      <w:ind w:firstLine="454"/>
      <w:textAlignment w:val="baseline"/>
    </w:pPr>
    <w:rPr>
      <w:rFonts w:ascii="Times New Roman" w:hAnsi="Times New Roman" w:eastAsia="宋体" w:cs="Times New Roman"/>
      <w:kern w:val="0"/>
      <w:sz w:val="24"/>
      <w:szCs w:val="20"/>
    </w:rPr>
  </w:style>
  <w:style w:type="paragraph" w:styleId="22">
    <w:name w:val="List 2"/>
    <w:basedOn w:val="1"/>
    <w:qFormat/>
    <w:uiPriority w:val="0"/>
    <w:pPr>
      <w:spacing w:afterLines="50"/>
    </w:pPr>
    <w:rPr>
      <w:rFonts w:ascii="Times New Roman" w:hAnsi="Times New Roman" w:eastAsia="宋体" w:cs="Times New Roman"/>
      <w:sz w:val="28"/>
      <w:szCs w:val="20"/>
    </w:rPr>
  </w:style>
  <w:style w:type="paragraph" w:styleId="23">
    <w:name w:val="toc 5"/>
    <w:basedOn w:val="1"/>
    <w:next w:val="1"/>
    <w:qFormat/>
    <w:uiPriority w:val="39"/>
    <w:pPr>
      <w:ind w:left="1680"/>
    </w:pPr>
    <w:rPr>
      <w:rFonts w:ascii="Times New Roman" w:hAnsi="Times New Roman" w:eastAsia="宋体" w:cs="Times New Roman"/>
      <w:szCs w:val="20"/>
    </w:rPr>
  </w:style>
  <w:style w:type="paragraph" w:styleId="24">
    <w:name w:val="toc 3"/>
    <w:basedOn w:val="1"/>
    <w:next w:val="1"/>
    <w:qFormat/>
    <w:uiPriority w:val="39"/>
    <w:pPr>
      <w:tabs>
        <w:tab w:val="right" w:leader="dot" w:pos="9447"/>
      </w:tabs>
      <w:ind w:left="420" w:leftChars="200"/>
    </w:pPr>
    <w:rPr>
      <w:rFonts w:ascii="Times New Roman" w:hAnsi="Times New Roman" w:eastAsia="宋体" w:cs="Times New Roman"/>
      <w:iCs/>
      <w:sz w:val="24"/>
      <w:szCs w:val="20"/>
    </w:rPr>
  </w:style>
  <w:style w:type="paragraph" w:styleId="25">
    <w:name w:val="Plain Text"/>
    <w:basedOn w:val="1"/>
    <w:link w:val="62"/>
    <w:qFormat/>
    <w:uiPriority w:val="0"/>
    <w:rPr>
      <w:rFonts w:ascii="宋体" w:hAnsi="Courier New" w:eastAsia="宋体" w:cs="Times New Roman"/>
      <w:szCs w:val="20"/>
    </w:rPr>
  </w:style>
  <w:style w:type="paragraph" w:styleId="26">
    <w:name w:val="toc 8"/>
    <w:basedOn w:val="1"/>
    <w:next w:val="1"/>
    <w:qFormat/>
    <w:uiPriority w:val="39"/>
    <w:pPr>
      <w:ind w:left="2940"/>
    </w:pPr>
    <w:rPr>
      <w:rFonts w:ascii="Times New Roman" w:hAnsi="Times New Roman" w:eastAsia="宋体" w:cs="Times New Roman"/>
      <w:szCs w:val="20"/>
    </w:rPr>
  </w:style>
  <w:style w:type="paragraph" w:styleId="27">
    <w:name w:val="Date"/>
    <w:basedOn w:val="1"/>
    <w:next w:val="1"/>
    <w:link w:val="68"/>
    <w:qFormat/>
    <w:uiPriority w:val="0"/>
    <w:pPr>
      <w:ind w:left="100" w:leftChars="2500"/>
    </w:pPr>
    <w:rPr>
      <w:rFonts w:ascii="Times New Roman" w:hAnsi="Times New Roman" w:eastAsia="宋体" w:cs="Times New Roman"/>
      <w:b/>
      <w:sz w:val="24"/>
      <w:szCs w:val="20"/>
    </w:rPr>
  </w:style>
  <w:style w:type="paragraph" w:styleId="28">
    <w:name w:val="Body Text Indent 2"/>
    <w:basedOn w:val="1"/>
    <w:link w:val="69"/>
    <w:qFormat/>
    <w:uiPriority w:val="0"/>
    <w:pPr>
      <w:autoSpaceDE w:val="0"/>
      <w:autoSpaceDN w:val="0"/>
      <w:adjustRightInd w:val="0"/>
      <w:spacing w:line="360" w:lineRule="auto"/>
      <w:ind w:firstLine="480" w:firstLineChars="200"/>
    </w:pPr>
    <w:rPr>
      <w:rFonts w:ascii="宋体" w:hAnsi="Times New Roman" w:eastAsia="宋体" w:cs="Times New Roman"/>
      <w:color w:val="000000"/>
      <w:sz w:val="24"/>
      <w:szCs w:val="24"/>
    </w:rPr>
  </w:style>
  <w:style w:type="paragraph" w:styleId="29">
    <w:name w:val="Balloon Text"/>
    <w:basedOn w:val="1"/>
    <w:link w:val="77"/>
    <w:semiHidden/>
    <w:qFormat/>
    <w:uiPriority w:val="0"/>
    <w:rPr>
      <w:rFonts w:ascii="Times New Roman" w:hAnsi="Times New Roman" w:eastAsia="宋体" w:cs="Times New Roman"/>
      <w:sz w:val="18"/>
      <w:szCs w:val="18"/>
    </w:rPr>
  </w:style>
  <w:style w:type="paragraph" w:styleId="30">
    <w:name w:val="footer"/>
    <w:basedOn w:val="1"/>
    <w:link w:val="65"/>
    <w:qFormat/>
    <w:uiPriority w:val="99"/>
    <w:pPr>
      <w:tabs>
        <w:tab w:val="center" w:pos="4153"/>
        <w:tab w:val="right" w:pos="8306"/>
      </w:tabs>
      <w:snapToGrid w:val="0"/>
      <w:jc w:val="left"/>
    </w:pPr>
    <w:rPr>
      <w:rFonts w:ascii="Times New Roman" w:hAnsi="Times New Roman" w:eastAsia="宋体" w:cs="Times New Roman"/>
      <w:sz w:val="18"/>
      <w:szCs w:val="18"/>
    </w:rPr>
  </w:style>
  <w:style w:type="paragraph" w:styleId="31">
    <w:name w:val="header"/>
    <w:basedOn w:val="1"/>
    <w:link w:val="66"/>
    <w:qFormat/>
    <w:uiPriority w:val="0"/>
    <w:pPr>
      <w:pBdr>
        <w:bottom w:val="single" w:color="auto" w:sz="6" w:space="1"/>
      </w:pBdr>
      <w:tabs>
        <w:tab w:val="center" w:pos="4153"/>
        <w:tab w:val="right" w:pos="8306"/>
      </w:tabs>
      <w:snapToGrid w:val="0"/>
      <w:jc w:val="center"/>
    </w:pPr>
    <w:rPr>
      <w:rFonts w:ascii="Times New Roman" w:hAnsi="Times New Roman" w:eastAsia="宋体" w:cs="Times New Roman"/>
      <w:sz w:val="18"/>
      <w:szCs w:val="18"/>
    </w:rPr>
  </w:style>
  <w:style w:type="paragraph" w:styleId="32">
    <w:name w:val="toc 1"/>
    <w:basedOn w:val="1"/>
    <w:next w:val="1"/>
    <w:qFormat/>
    <w:uiPriority w:val="39"/>
    <w:pPr>
      <w:tabs>
        <w:tab w:val="right" w:leader="dot" w:pos="9450"/>
        <w:tab w:val="right" w:leader="dot" w:pos="9540"/>
      </w:tabs>
      <w:contextualSpacing/>
    </w:pPr>
    <w:rPr>
      <w:rFonts w:ascii="宋体" w:hAnsi="宋体" w:eastAsia="宋体" w:cs="Times New Roman"/>
      <w:b/>
      <w:bCs/>
      <w:caps/>
      <w:sz w:val="28"/>
      <w:szCs w:val="24"/>
    </w:rPr>
  </w:style>
  <w:style w:type="paragraph" w:styleId="33">
    <w:name w:val="toc 4"/>
    <w:basedOn w:val="1"/>
    <w:next w:val="1"/>
    <w:qFormat/>
    <w:uiPriority w:val="39"/>
    <w:pPr>
      <w:ind w:left="1260"/>
    </w:pPr>
    <w:rPr>
      <w:rFonts w:ascii="Times New Roman" w:hAnsi="Times New Roman" w:eastAsia="宋体" w:cs="Times New Roman"/>
      <w:szCs w:val="20"/>
    </w:rPr>
  </w:style>
  <w:style w:type="paragraph" w:styleId="34">
    <w:name w:val="Subtitle"/>
    <w:basedOn w:val="1"/>
    <w:link w:val="99"/>
    <w:qFormat/>
    <w:uiPriority w:val="0"/>
    <w:pPr>
      <w:spacing w:before="240" w:after="60" w:line="312" w:lineRule="auto"/>
      <w:jc w:val="center"/>
      <w:outlineLvl w:val="1"/>
    </w:pPr>
    <w:rPr>
      <w:rFonts w:ascii="Arial" w:hAnsi="Arial" w:eastAsia="宋体" w:cs="Arial"/>
      <w:b/>
      <w:bCs/>
      <w:kern w:val="28"/>
      <w:position w:val="16"/>
      <w:sz w:val="32"/>
      <w:szCs w:val="32"/>
    </w:rPr>
  </w:style>
  <w:style w:type="paragraph" w:styleId="35">
    <w:name w:val="footnote text"/>
    <w:basedOn w:val="1"/>
    <w:link w:val="73"/>
    <w:semiHidden/>
    <w:qFormat/>
    <w:uiPriority w:val="0"/>
    <w:pPr>
      <w:snapToGrid w:val="0"/>
      <w:jc w:val="left"/>
    </w:pPr>
    <w:rPr>
      <w:rFonts w:ascii="Times New Roman" w:hAnsi="Times New Roman" w:eastAsia="宋体" w:cs="Times New Roman"/>
      <w:sz w:val="18"/>
      <w:szCs w:val="18"/>
    </w:rPr>
  </w:style>
  <w:style w:type="paragraph" w:styleId="36">
    <w:name w:val="toc 6"/>
    <w:basedOn w:val="1"/>
    <w:next w:val="1"/>
    <w:qFormat/>
    <w:uiPriority w:val="39"/>
    <w:pPr>
      <w:ind w:left="2100"/>
    </w:pPr>
    <w:rPr>
      <w:rFonts w:ascii="Times New Roman" w:hAnsi="Times New Roman" w:eastAsia="宋体" w:cs="Times New Roman"/>
      <w:szCs w:val="20"/>
    </w:rPr>
  </w:style>
  <w:style w:type="paragraph" w:styleId="37">
    <w:name w:val="Body Text Indent 3"/>
    <w:basedOn w:val="1"/>
    <w:link w:val="71"/>
    <w:qFormat/>
    <w:uiPriority w:val="0"/>
    <w:pPr>
      <w:wordWrap w:val="0"/>
      <w:overflowPunct w:val="0"/>
      <w:autoSpaceDE w:val="0"/>
      <w:autoSpaceDN w:val="0"/>
      <w:adjustRightInd w:val="0"/>
      <w:spacing w:line="353" w:lineRule="auto"/>
      <w:ind w:left="600"/>
      <w:jc w:val="left"/>
      <w:textAlignment w:val="baseline"/>
    </w:pPr>
    <w:rPr>
      <w:rFonts w:ascii="Arial" w:hAnsi="Arial" w:eastAsia="宋体" w:cs="Times New Roman"/>
      <w:kern w:val="0"/>
      <w:sz w:val="24"/>
      <w:szCs w:val="20"/>
    </w:rPr>
  </w:style>
  <w:style w:type="paragraph" w:styleId="38">
    <w:name w:val="toc 2"/>
    <w:basedOn w:val="1"/>
    <w:next w:val="1"/>
    <w:qFormat/>
    <w:uiPriority w:val="39"/>
    <w:pPr>
      <w:tabs>
        <w:tab w:val="right" w:leader="dot" w:pos="9450"/>
        <w:tab w:val="right" w:leader="dot" w:pos="9678"/>
      </w:tabs>
      <w:ind w:left="210" w:leftChars="100" w:right="210"/>
    </w:pPr>
    <w:rPr>
      <w:rFonts w:ascii="黑体" w:hAnsi="宋体" w:eastAsia="宋体" w:cs="Times New Roman"/>
      <w:b/>
      <w:smallCaps/>
      <w:sz w:val="24"/>
      <w:szCs w:val="24"/>
    </w:rPr>
  </w:style>
  <w:style w:type="paragraph" w:styleId="39">
    <w:name w:val="toc 9"/>
    <w:basedOn w:val="1"/>
    <w:next w:val="1"/>
    <w:qFormat/>
    <w:uiPriority w:val="39"/>
    <w:pPr>
      <w:ind w:left="3360"/>
    </w:pPr>
    <w:rPr>
      <w:rFonts w:ascii="Times New Roman" w:hAnsi="Times New Roman" w:eastAsia="宋体" w:cs="Times New Roman"/>
      <w:szCs w:val="20"/>
    </w:rPr>
  </w:style>
  <w:style w:type="paragraph" w:styleId="40">
    <w:name w:val="Body Text 2"/>
    <w:basedOn w:val="1"/>
    <w:link w:val="98"/>
    <w:qFormat/>
    <w:uiPriority w:val="0"/>
    <w:pPr>
      <w:spacing w:after="120" w:line="480" w:lineRule="auto"/>
    </w:pPr>
    <w:rPr>
      <w:rFonts w:ascii="Times New Roman" w:hAnsi="Times New Roman" w:eastAsia="宋体" w:cs="Times New Roman"/>
      <w:position w:val="16"/>
      <w:sz w:val="28"/>
      <w:szCs w:val="20"/>
    </w:rPr>
  </w:style>
  <w:style w:type="paragraph" w:styleId="41">
    <w:name w:val="Normal (Web)"/>
    <w:basedOn w:val="1"/>
    <w:qFormat/>
    <w:uiPriority w:val="0"/>
    <w:pPr>
      <w:widowControl/>
      <w:spacing w:before="100" w:beforeAutospacing="1" w:after="100" w:afterAutospacing="1"/>
      <w:jc w:val="left"/>
    </w:pPr>
    <w:rPr>
      <w:rFonts w:ascii="宋体" w:hAnsi="宋体" w:eastAsia="宋体" w:cs="Times New Roman"/>
      <w:kern w:val="0"/>
      <w:sz w:val="24"/>
      <w:szCs w:val="20"/>
    </w:rPr>
  </w:style>
  <w:style w:type="paragraph" w:styleId="42">
    <w:name w:val="annotation subject"/>
    <w:basedOn w:val="19"/>
    <w:next w:val="19"/>
    <w:link w:val="79"/>
    <w:semiHidden/>
    <w:qFormat/>
    <w:uiPriority w:val="0"/>
    <w:rPr>
      <w:b/>
      <w:bCs/>
    </w:rPr>
  </w:style>
  <w:style w:type="paragraph" w:styleId="43">
    <w:name w:val="Body Text First Indent"/>
    <w:basedOn w:val="2"/>
    <w:link w:val="76"/>
    <w:qFormat/>
    <w:uiPriority w:val="0"/>
    <w:pPr>
      <w:ind w:firstLine="420" w:firstLineChars="100"/>
    </w:pPr>
  </w:style>
  <w:style w:type="paragraph" w:styleId="44">
    <w:name w:val="Body Text First Indent 2"/>
    <w:basedOn w:val="21"/>
    <w:link w:val="115"/>
    <w:qFormat/>
    <w:uiPriority w:val="0"/>
    <w:pPr>
      <w:autoSpaceDE/>
      <w:autoSpaceDN/>
      <w:adjustRightInd/>
      <w:spacing w:before="0" w:after="120"/>
      <w:ind w:left="420" w:leftChars="200" w:firstLine="420" w:firstLineChars="200"/>
      <w:textAlignment w:val="auto"/>
    </w:pPr>
    <w:rPr>
      <w:kern w:val="2"/>
      <w:position w:val="16"/>
      <w:sz w:val="28"/>
    </w:rPr>
  </w:style>
  <w:style w:type="table" w:styleId="46">
    <w:name w:val="Table Grid"/>
    <w:basedOn w:val="45"/>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8">
    <w:name w:val="Strong"/>
    <w:basedOn w:val="47"/>
    <w:qFormat/>
    <w:uiPriority w:val="0"/>
    <w:rPr>
      <w:b/>
      <w:bCs/>
    </w:rPr>
  </w:style>
  <w:style w:type="character" w:styleId="49">
    <w:name w:val="page number"/>
    <w:basedOn w:val="47"/>
    <w:qFormat/>
    <w:uiPriority w:val="0"/>
  </w:style>
  <w:style w:type="character" w:styleId="50">
    <w:name w:val="FollowedHyperlink"/>
    <w:qFormat/>
    <w:uiPriority w:val="99"/>
    <w:rPr>
      <w:color w:val="800080"/>
      <w:u w:val="single"/>
    </w:rPr>
  </w:style>
  <w:style w:type="character" w:styleId="51">
    <w:name w:val="Hyperlink"/>
    <w:qFormat/>
    <w:uiPriority w:val="99"/>
    <w:rPr>
      <w:color w:val="0000FF"/>
      <w:u w:val="single"/>
    </w:rPr>
  </w:style>
  <w:style w:type="character" w:styleId="52">
    <w:name w:val="annotation reference"/>
    <w:qFormat/>
    <w:uiPriority w:val="0"/>
    <w:rPr>
      <w:sz w:val="21"/>
      <w:szCs w:val="21"/>
    </w:rPr>
  </w:style>
  <w:style w:type="character" w:customStyle="1" w:styleId="53">
    <w:name w:val="标题 1 Char"/>
    <w:basedOn w:val="47"/>
    <w:link w:val="4"/>
    <w:qFormat/>
    <w:uiPriority w:val="0"/>
    <w:rPr>
      <w:rFonts w:ascii="仿宋体" w:hAnsi="Times New Roman" w:eastAsia="仿宋体" w:cs="Times New Roman"/>
      <w:b/>
      <w:kern w:val="28"/>
      <w:sz w:val="26"/>
      <w:szCs w:val="20"/>
    </w:rPr>
  </w:style>
  <w:style w:type="character" w:customStyle="1" w:styleId="54">
    <w:name w:val="标题 2 Char"/>
    <w:basedOn w:val="47"/>
    <w:link w:val="5"/>
    <w:qFormat/>
    <w:uiPriority w:val="0"/>
    <w:rPr>
      <w:rFonts w:ascii="宋体" w:hAnsi="Times New Roman" w:eastAsia="宋体" w:cs="Times New Roman"/>
      <w:b/>
      <w:kern w:val="0"/>
      <w:szCs w:val="20"/>
    </w:rPr>
  </w:style>
  <w:style w:type="character" w:customStyle="1" w:styleId="55">
    <w:name w:val="标题 3 Char"/>
    <w:basedOn w:val="47"/>
    <w:link w:val="7"/>
    <w:qFormat/>
    <w:uiPriority w:val="0"/>
    <w:rPr>
      <w:rFonts w:ascii="Times New Roman" w:hAnsi="Times New Roman" w:eastAsia="宋体" w:cs="Times New Roman"/>
      <w:b/>
      <w:sz w:val="28"/>
      <w:szCs w:val="20"/>
    </w:rPr>
  </w:style>
  <w:style w:type="character" w:customStyle="1" w:styleId="56">
    <w:name w:val="标题 4 Char"/>
    <w:basedOn w:val="47"/>
    <w:link w:val="8"/>
    <w:qFormat/>
    <w:uiPriority w:val="0"/>
    <w:rPr>
      <w:rFonts w:ascii="宋体" w:hAnsi="Times New Roman" w:eastAsia="宋体" w:cs="Times New Roman"/>
      <w:b/>
      <w:kern w:val="0"/>
      <w:szCs w:val="20"/>
    </w:rPr>
  </w:style>
  <w:style w:type="character" w:customStyle="1" w:styleId="57">
    <w:name w:val="标题 5 Char"/>
    <w:basedOn w:val="47"/>
    <w:link w:val="9"/>
    <w:qFormat/>
    <w:uiPriority w:val="0"/>
    <w:rPr>
      <w:rFonts w:ascii="宋体" w:hAnsi="Times New Roman" w:eastAsia="宋体" w:cs="Times New Roman"/>
      <w:b/>
      <w:kern w:val="0"/>
      <w:szCs w:val="20"/>
    </w:rPr>
  </w:style>
  <w:style w:type="character" w:customStyle="1" w:styleId="58">
    <w:name w:val="标题 6 Char"/>
    <w:basedOn w:val="47"/>
    <w:link w:val="10"/>
    <w:qFormat/>
    <w:uiPriority w:val="0"/>
    <w:rPr>
      <w:rFonts w:ascii="宋体" w:hAnsi="Times New Roman" w:eastAsia="宋体" w:cs="Times New Roman"/>
      <w:b/>
      <w:kern w:val="0"/>
      <w:szCs w:val="20"/>
    </w:rPr>
  </w:style>
  <w:style w:type="character" w:customStyle="1" w:styleId="59">
    <w:name w:val="标题 7 Char"/>
    <w:basedOn w:val="47"/>
    <w:link w:val="11"/>
    <w:qFormat/>
    <w:uiPriority w:val="0"/>
    <w:rPr>
      <w:rFonts w:ascii="宋体" w:hAnsi="Times New Roman" w:eastAsia="宋体" w:cs="Times New Roman"/>
      <w:b/>
      <w:kern w:val="0"/>
      <w:szCs w:val="20"/>
    </w:rPr>
  </w:style>
  <w:style w:type="character" w:customStyle="1" w:styleId="60">
    <w:name w:val="标题 8 Char"/>
    <w:basedOn w:val="47"/>
    <w:link w:val="12"/>
    <w:qFormat/>
    <w:uiPriority w:val="0"/>
    <w:rPr>
      <w:rFonts w:ascii="宋体" w:hAnsi="Times New Roman" w:eastAsia="宋体" w:cs="Times New Roman"/>
      <w:b/>
      <w:kern w:val="0"/>
      <w:szCs w:val="20"/>
    </w:rPr>
  </w:style>
  <w:style w:type="character" w:customStyle="1" w:styleId="61">
    <w:name w:val="标题 9 Char"/>
    <w:basedOn w:val="47"/>
    <w:link w:val="13"/>
    <w:qFormat/>
    <w:uiPriority w:val="0"/>
    <w:rPr>
      <w:rFonts w:ascii="Arial" w:hAnsi="Arial" w:eastAsia="黑体" w:cs="Times New Roman"/>
      <w:kern w:val="24"/>
      <w:szCs w:val="21"/>
    </w:rPr>
  </w:style>
  <w:style w:type="character" w:customStyle="1" w:styleId="62">
    <w:name w:val="纯文本 Char"/>
    <w:basedOn w:val="47"/>
    <w:link w:val="25"/>
    <w:qFormat/>
    <w:uiPriority w:val="0"/>
    <w:rPr>
      <w:rFonts w:ascii="宋体" w:hAnsi="Courier New" w:eastAsia="宋体" w:cs="Times New Roman"/>
      <w:szCs w:val="20"/>
    </w:rPr>
  </w:style>
  <w:style w:type="paragraph" w:customStyle="1" w:styleId="63">
    <w:name w:val="纯文本1"/>
    <w:basedOn w:val="1"/>
    <w:link w:val="64"/>
    <w:qFormat/>
    <w:uiPriority w:val="0"/>
    <w:pPr>
      <w:autoSpaceDE w:val="0"/>
      <w:autoSpaceDN w:val="0"/>
      <w:adjustRightInd w:val="0"/>
    </w:pPr>
    <w:rPr>
      <w:rFonts w:ascii="宋体" w:hAnsi="Times New Roman" w:eastAsia="宋体" w:cs="Times New Roman"/>
      <w:kern w:val="0"/>
      <w:szCs w:val="20"/>
    </w:rPr>
  </w:style>
  <w:style w:type="character" w:customStyle="1" w:styleId="64">
    <w:name w:val="Plain Text Char Char"/>
    <w:link w:val="63"/>
    <w:qFormat/>
    <w:uiPriority w:val="0"/>
    <w:rPr>
      <w:rFonts w:ascii="宋体" w:hAnsi="Times New Roman" w:eastAsia="宋体" w:cs="Times New Roman"/>
      <w:kern w:val="0"/>
      <w:szCs w:val="20"/>
    </w:rPr>
  </w:style>
  <w:style w:type="character" w:customStyle="1" w:styleId="65">
    <w:name w:val="页脚 Char"/>
    <w:basedOn w:val="47"/>
    <w:link w:val="30"/>
    <w:qFormat/>
    <w:uiPriority w:val="99"/>
    <w:rPr>
      <w:rFonts w:ascii="Times New Roman" w:hAnsi="Times New Roman" w:eastAsia="宋体" w:cs="Times New Roman"/>
      <w:sz w:val="18"/>
      <w:szCs w:val="18"/>
    </w:rPr>
  </w:style>
  <w:style w:type="character" w:customStyle="1" w:styleId="66">
    <w:name w:val="页眉 Char"/>
    <w:basedOn w:val="47"/>
    <w:link w:val="31"/>
    <w:qFormat/>
    <w:uiPriority w:val="0"/>
    <w:rPr>
      <w:rFonts w:ascii="Times New Roman" w:hAnsi="Times New Roman" w:eastAsia="宋体" w:cs="Times New Roman"/>
      <w:sz w:val="18"/>
      <w:szCs w:val="18"/>
    </w:rPr>
  </w:style>
  <w:style w:type="character" w:customStyle="1" w:styleId="67">
    <w:name w:val="正文文本缩进 Char"/>
    <w:basedOn w:val="47"/>
    <w:link w:val="21"/>
    <w:qFormat/>
    <w:uiPriority w:val="0"/>
    <w:rPr>
      <w:rFonts w:ascii="Times New Roman" w:hAnsi="Times New Roman" w:eastAsia="宋体" w:cs="Times New Roman"/>
      <w:kern w:val="0"/>
      <w:sz w:val="24"/>
      <w:szCs w:val="20"/>
    </w:rPr>
  </w:style>
  <w:style w:type="character" w:customStyle="1" w:styleId="68">
    <w:name w:val="日期 Char"/>
    <w:basedOn w:val="47"/>
    <w:link w:val="27"/>
    <w:qFormat/>
    <w:uiPriority w:val="0"/>
    <w:rPr>
      <w:rFonts w:ascii="Times New Roman" w:hAnsi="Times New Roman" w:eastAsia="宋体" w:cs="Times New Roman"/>
      <w:b/>
      <w:sz w:val="24"/>
      <w:szCs w:val="20"/>
    </w:rPr>
  </w:style>
  <w:style w:type="character" w:customStyle="1" w:styleId="69">
    <w:name w:val="正文文本缩进 2 Char"/>
    <w:basedOn w:val="47"/>
    <w:link w:val="28"/>
    <w:qFormat/>
    <w:uiPriority w:val="0"/>
    <w:rPr>
      <w:rFonts w:ascii="宋体" w:hAnsi="Times New Roman" w:eastAsia="宋体" w:cs="Times New Roman"/>
      <w:color w:val="000000"/>
      <w:sz w:val="24"/>
      <w:szCs w:val="24"/>
    </w:rPr>
  </w:style>
  <w:style w:type="character" w:customStyle="1" w:styleId="70">
    <w:name w:val="正文文本 Char"/>
    <w:basedOn w:val="47"/>
    <w:link w:val="2"/>
    <w:qFormat/>
    <w:uiPriority w:val="0"/>
    <w:rPr>
      <w:rFonts w:ascii="Times New Roman" w:hAnsi="Times New Roman" w:eastAsia="宋体" w:cs="Times New Roman"/>
      <w:szCs w:val="24"/>
    </w:rPr>
  </w:style>
  <w:style w:type="character" w:customStyle="1" w:styleId="71">
    <w:name w:val="正文文本缩进 3 Char"/>
    <w:basedOn w:val="47"/>
    <w:link w:val="37"/>
    <w:qFormat/>
    <w:uiPriority w:val="0"/>
    <w:rPr>
      <w:rFonts w:ascii="Arial" w:hAnsi="Arial" w:eastAsia="宋体" w:cs="Times New Roman"/>
      <w:kern w:val="0"/>
      <w:sz w:val="24"/>
      <w:szCs w:val="20"/>
    </w:rPr>
  </w:style>
  <w:style w:type="character" w:customStyle="1" w:styleId="72">
    <w:name w:val="正文文本 3 Char"/>
    <w:basedOn w:val="47"/>
    <w:link w:val="20"/>
    <w:qFormat/>
    <w:uiPriority w:val="0"/>
    <w:rPr>
      <w:rFonts w:ascii="Times New Roman" w:hAnsi="Times New Roman" w:eastAsia="宋体" w:cs="Times New Roman"/>
      <w:sz w:val="16"/>
      <w:szCs w:val="16"/>
    </w:rPr>
  </w:style>
  <w:style w:type="character" w:customStyle="1" w:styleId="73">
    <w:name w:val="脚注文本 Char"/>
    <w:basedOn w:val="47"/>
    <w:link w:val="35"/>
    <w:qFormat/>
    <w:uiPriority w:val="0"/>
    <w:rPr>
      <w:rFonts w:ascii="Times New Roman" w:hAnsi="Times New Roman" w:eastAsia="宋体" w:cs="Times New Roman"/>
      <w:sz w:val="18"/>
      <w:szCs w:val="18"/>
    </w:rPr>
  </w:style>
  <w:style w:type="character" w:customStyle="1" w:styleId="74">
    <w:name w:val="wang正文 Char"/>
    <w:link w:val="75"/>
    <w:qFormat/>
    <w:locked/>
    <w:uiPriority w:val="0"/>
    <w:rPr>
      <w:rFonts w:ascii="宋体" w:hAnsi="宋体" w:eastAsia="宋体"/>
      <w:szCs w:val="24"/>
    </w:rPr>
  </w:style>
  <w:style w:type="paragraph" w:customStyle="1" w:styleId="75">
    <w:name w:val="wang正文"/>
    <w:basedOn w:val="1"/>
    <w:link w:val="74"/>
    <w:qFormat/>
    <w:uiPriority w:val="0"/>
    <w:pPr>
      <w:tabs>
        <w:tab w:val="left" w:pos="6840"/>
      </w:tabs>
      <w:topLinePunct/>
      <w:ind w:firstLine="420"/>
    </w:pPr>
    <w:rPr>
      <w:rFonts w:ascii="宋体" w:hAnsi="宋体" w:eastAsia="宋体"/>
      <w:szCs w:val="24"/>
    </w:rPr>
  </w:style>
  <w:style w:type="character" w:customStyle="1" w:styleId="76">
    <w:name w:val="正文首行缩进 Char"/>
    <w:basedOn w:val="70"/>
    <w:link w:val="43"/>
    <w:qFormat/>
    <w:uiPriority w:val="0"/>
  </w:style>
  <w:style w:type="character" w:customStyle="1" w:styleId="77">
    <w:name w:val="批注框文本 Char"/>
    <w:basedOn w:val="47"/>
    <w:link w:val="29"/>
    <w:semiHidden/>
    <w:qFormat/>
    <w:uiPriority w:val="0"/>
    <w:rPr>
      <w:rFonts w:ascii="Times New Roman" w:hAnsi="Times New Roman" w:eastAsia="宋体" w:cs="Times New Roman"/>
      <w:sz w:val="18"/>
      <w:szCs w:val="18"/>
    </w:rPr>
  </w:style>
  <w:style w:type="character" w:customStyle="1" w:styleId="78">
    <w:name w:val="批注文字 Char"/>
    <w:basedOn w:val="47"/>
    <w:link w:val="19"/>
    <w:qFormat/>
    <w:uiPriority w:val="0"/>
    <w:rPr>
      <w:rFonts w:ascii="Times New Roman" w:hAnsi="Times New Roman" w:eastAsia="宋体" w:cs="Times New Roman"/>
      <w:szCs w:val="24"/>
    </w:rPr>
  </w:style>
  <w:style w:type="character" w:customStyle="1" w:styleId="79">
    <w:name w:val="批注主题 Char"/>
    <w:basedOn w:val="78"/>
    <w:link w:val="42"/>
    <w:semiHidden/>
    <w:qFormat/>
    <w:uiPriority w:val="0"/>
    <w:rPr>
      <w:b/>
      <w:bCs/>
    </w:rPr>
  </w:style>
  <w:style w:type="paragraph" w:customStyle="1" w:styleId="80">
    <w:name w:val="国网标题1"/>
    <w:basedOn w:val="1"/>
    <w:qFormat/>
    <w:uiPriority w:val="0"/>
    <w:pPr>
      <w:ind w:firstLine="643" w:firstLineChars="200"/>
    </w:pPr>
    <w:rPr>
      <w:rFonts w:ascii="黑体" w:hAnsi="Times New Roman" w:eastAsia="黑体" w:cs="Times New Roman"/>
      <w:b/>
      <w:sz w:val="32"/>
      <w:szCs w:val="32"/>
    </w:rPr>
  </w:style>
  <w:style w:type="character" w:customStyle="1" w:styleId="81">
    <w:name w:val="文档结构图 Char"/>
    <w:basedOn w:val="47"/>
    <w:link w:val="17"/>
    <w:semiHidden/>
    <w:qFormat/>
    <w:uiPriority w:val="99"/>
    <w:rPr>
      <w:rFonts w:ascii="Times New Roman" w:hAnsi="Times New Roman" w:eastAsia="宋体" w:cs="Times New Roman"/>
      <w:szCs w:val="24"/>
      <w:shd w:val="clear" w:color="auto" w:fill="000080"/>
    </w:rPr>
  </w:style>
  <w:style w:type="paragraph" w:customStyle="1" w:styleId="82">
    <w:name w:val="样式5"/>
    <w:basedOn w:val="31"/>
    <w:link w:val="83"/>
    <w:qFormat/>
    <w:uiPriority w:val="0"/>
    <w:pPr>
      <w:pBdr>
        <w:bottom w:val="none" w:color="auto" w:sz="0" w:space="0"/>
      </w:pBdr>
    </w:pPr>
  </w:style>
  <w:style w:type="character" w:customStyle="1" w:styleId="83">
    <w:name w:val="样式5 Char"/>
    <w:basedOn w:val="66"/>
    <w:link w:val="82"/>
    <w:qFormat/>
    <w:uiPriority w:val="0"/>
  </w:style>
  <w:style w:type="paragraph" w:customStyle="1" w:styleId="84">
    <w:name w:val="样式6"/>
    <w:basedOn w:val="31"/>
    <w:link w:val="85"/>
    <w:qFormat/>
    <w:uiPriority w:val="0"/>
    <w:pPr>
      <w:pBdr>
        <w:bottom w:val="none" w:color="auto" w:sz="0" w:space="0"/>
      </w:pBdr>
    </w:pPr>
  </w:style>
  <w:style w:type="character" w:customStyle="1" w:styleId="85">
    <w:name w:val="样式6 Char"/>
    <w:basedOn w:val="66"/>
    <w:link w:val="84"/>
    <w:qFormat/>
    <w:uiPriority w:val="0"/>
  </w:style>
  <w:style w:type="paragraph" w:customStyle="1" w:styleId="86">
    <w:name w:val="样式7"/>
    <w:basedOn w:val="31"/>
    <w:link w:val="87"/>
    <w:qFormat/>
    <w:uiPriority w:val="0"/>
    <w:pPr>
      <w:pBdr>
        <w:bottom w:val="none" w:color="auto" w:sz="0" w:space="0"/>
      </w:pBdr>
    </w:pPr>
  </w:style>
  <w:style w:type="character" w:customStyle="1" w:styleId="87">
    <w:name w:val="样式7 Char"/>
    <w:basedOn w:val="66"/>
    <w:link w:val="86"/>
    <w:qFormat/>
    <w:uiPriority w:val="0"/>
  </w:style>
  <w:style w:type="paragraph" w:customStyle="1" w:styleId="88">
    <w:name w:val="样式8"/>
    <w:basedOn w:val="1"/>
    <w:link w:val="89"/>
    <w:qFormat/>
    <w:uiPriority w:val="0"/>
    <w:rPr>
      <w:rFonts w:ascii="Times New Roman" w:hAnsi="Times New Roman" w:eastAsia="宋体" w:cs="Times New Roman"/>
      <w:szCs w:val="24"/>
    </w:rPr>
  </w:style>
  <w:style w:type="character" w:customStyle="1" w:styleId="89">
    <w:name w:val="样式8 Char"/>
    <w:link w:val="88"/>
    <w:qFormat/>
    <w:uiPriority w:val="0"/>
    <w:rPr>
      <w:rFonts w:ascii="Times New Roman" w:hAnsi="Times New Roman" w:eastAsia="宋体" w:cs="Times New Roman"/>
      <w:szCs w:val="24"/>
    </w:rPr>
  </w:style>
  <w:style w:type="paragraph" w:customStyle="1" w:styleId="90">
    <w:name w:val="TOC 标题1"/>
    <w:basedOn w:val="4"/>
    <w:next w:val="1"/>
    <w:unhideWhenUsed/>
    <w:qFormat/>
    <w:uiPriority w:val="39"/>
    <w:pPr>
      <w:keepLines/>
      <w:overflowPunct/>
      <w:autoSpaceDE/>
      <w:autoSpaceDN/>
      <w:adjustRightInd/>
      <w:spacing w:before="480" w:after="0" w:line="276" w:lineRule="auto"/>
      <w:textAlignment w:val="auto"/>
      <w:outlineLvl w:val="9"/>
    </w:pPr>
    <w:rPr>
      <w:rFonts w:asciiTheme="majorHAnsi" w:hAnsiTheme="majorHAnsi" w:eastAsiaTheme="majorEastAsia" w:cstheme="majorBidi"/>
      <w:bCs/>
      <w:color w:val="376092" w:themeColor="accent1" w:themeShade="BF"/>
      <w:kern w:val="0"/>
      <w:sz w:val="28"/>
      <w:szCs w:val="28"/>
    </w:rPr>
  </w:style>
  <w:style w:type="paragraph" w:customStyle="1" w:styleId="91">
    <w:name w:val="样式 Plain Text + (西文) Times New Roman (中文) 黑体"/>
    <w:basedOn w:val="92"/>
    <w:link w:val="94"/>
    <w:qFormat/>
    <w:uiPriority w:val="0"/>
    <w:rPr>
      <w:b/>
    </w:rPr>
  </w:style>
  <w:style w:type="paragraph" w:customStyle="1" w:styleId="92">
    <w:name w:val="纯文本2"/>
    <w:basedOn w:val="1"/>
    <w:link w:val="93"/>
    <w:qFormat/>
    <w:uiPriority w:val="0"/>
    <w:pPr>
      <w:adjustRightInd w:val="0"/>
      <w:textAlignment w:val="baseline"/>
    </w:pPr>
    <w:rPr>
      <w:rFonts w:ascii="宋体" w:hAnsi="Times New Roman" w:eastAsia="宋体" w:cs="Times New Roman"/>
      <w:kern w:val="0"/>
      <w:sz w:val="24"/>
      <w:szCs w:val="20"/>
    </w:rPr>
  </w:style>
  <w:style w:type="character" w:customStyle="1" w:styleId="93">
    <w:name w:val="Plain Text Char"/>
    <w:basedOn w:val="47"/>
    <w:link w:val="92"/>
    <w:qFormat/>
    <w:uiPriority w:val="0"/>
    <w:rPr>
      <w:rFonts w:ascii="宋体" w:hAnsi="Times New Roman" w:eastAsia="宋体" w:cs="Times New Roman"/>
      <w:kern w:val="0"/>
      <w:sz w:val="24"/>
      <w:szCs w:val="20"/>
    </w:rPr>
  </w:style>
  <w:style w:type="character" w:customStyle="1" w:styleId="94">
    <w:name w:val="样式 Plain Text + (西文) Times New Roman (中文) 黑体 Char"/>
    <w:basedOn w:val="93"/>
    <w:link w:val="91"/>
    <w:qFormat/>
    <w:uiPriority w:val="0"/>
    <w:rPr>
      <w:rFonts w:hAnsi="Times New Roman" w:eastAsia="宋体" w:cs="Times New Roman"/>
      <w:b/>
      <w:kern w:val="0"/>
      <w:szCs w:val="20"/>
    </w:rPr>
  </w:style>
  <w:style w:type="paragraph" w:customStyle="1" w:styleId="95">
    <w:name w:val="表"/>
    <w:basedOn w:val="1"/>
    <w:qFormat/>
    <w:uiPriority w:val="0"/>
    <w:pPr>
      <w:numPr>
        <w:ilvl w:val="0"/>
        <w:numId w:val="1"/>
      </w:numPr>
      <w:autoSpaceDE w:val="0"/>
      <w:autoSpaceDN w:val="0"/>
      <w:adjustRightInd w:val="0"/>
      <w:ind w:left="0" w:firstLine="0"/>
      <w:textAlignment w:val="baseline"/>
    </w:pPr>
    <w:rPr>
      <w:rFonts w:ascii="Times New Roman" w:hAnsi="Times New Roman" w:eastAsia="宋体" w:cs="Times New Roman"/>
      <w:kern w:val="0"/>
      <w:sz w:val="24"/>
      <w:szCs w:val="20"/>
    </w:rPr>
  </w:style>
  <w:style w:type="character" w:customStyle="1" w:styleId="96">
    <w:name w:val="标题 Char"/>
    <w:basedOn w:val="47"/>
    <w:link w:val="3"/>
    <w:qFormat/>
    <w:uiPriority w:val="0"/>
    <w:rPr>
      <w:rFonts w:ascii="Arial" w:hAnsi="Arial" w:eastAsia="宋体" w:cs="Times New Roman"/>
      <w:b/>
      <w:sz w:val="32"/>
      <w:szCs w:val="20"/>
      <w:u w:val="single"/>
    </w:rPr>
  </w:style>
  <w:style w:type="character" w:customStyle="1" w:styleId="97">
    <w:name w:val="注释标题 Char"/>
    <w:basedOn w:val="47"/>
    <w:link w:val="15"/>
    <w:qFormat/>
    <w:uiPriority w:val="0"/>
    <w:rPr>
      <w:rFonts w:ascii="Times New Roman" w:hAnsi="Times New Roman" w:eastAsia="宋体" w:cs="Times New Roman"/>
      <w:szCs w:val="20"/>
    </w:rPr>
  </w:style>
  <w:style w:type="character" w:customStyle="1" w:styleId="98">
    <w:name w:val="正文文本 2 Char"/>
    <w:basedOn w:val="47"/>
    <w:link w:val="40"/>
    <w:qFormat/>
    <w:uiPriority w:val="0"/>
    <w:rPr>
      <w:rFonts w:ascii="Times New Roman" w:hAnsi="Times New Roman" w:eastAsia="宋体" w:cs="Times New Roman"/>
      <w:position w:val="16"/>
      <w:sz w:val="28"/>
      <w:szCs w:val="20"/>
    </w:rPr>
  </w:style>
  <w:style w:type="character" w:customStyle="1" w:styleId="99">
    <w:name w:val="副标题 Char"/>
    <w:basedOn w:val="47"/>
    <w:link w:val="34"/>
    <w:qFormat/>
    <w:uiPriority w:val="0"/>
    <w:rPr>
      <w:rFonts w:ascii="Arial" w:hAnsi="Arial" w:eastAsia="宋体" w:cs="Arial"/>
      <w:b/>
      <w:bCs/>
      <w:kern w:val="28"/>
      <w:position w:val="16"/>
      <w:sz w:val="32"/>
      <w:szCs w:val="32"/>
    </w:rPr>
  </w:style>
  <w:style w:type="paragraph" w:customStyle="1" w:styleId="100">
    <w:name w:val="样式 Plain Text + (西文) Times New Roman (中文) 黑体 加粗 黑色2"/>
    <w:basedOn w:val="92"/>
    <w:link w:val="101"/>
    <w:qFormat/>
    <w:uiPriority w:val="0"/>
    <w:rPr>
      <w:rFonts w:ascii="Times New Roman" w:eastAsia="黑体"/>
      <w:b/>
      <w:bCs/>
      <w:color w:val="000000"/>
    </w:rPr>
  </w:style>
  <w:style w:type="character" w:customStyle="1" w:styleId="101">
    <w:name w:val="样式 Plain Text + (西文) Times New Roman (中文) 黑体 加粗 黑色2 Char"/>
    <w:basedOn w:val="93"/>
    <w:link w:val="100"/>
    <w:qFormat/>
    <w:uiPriority w:val="0"/>
    <w:rPr>
      <w:rFonts w:ascii="Times New Roman" w:eastAsia="黑体"/>
      <w:b/>
      <w:bCs/>
      <w:color w:val="000000"/>
    </w:rPr>
  </w:style>
  <w:style w:type="paragraph" w:customStyle="1" w:styleId="102">
    <w:name w:val="样式 样式 Plain Text + (西文) Times New Roman (中文) 黑体 加粗 黑色2 + 行距: 最小值..."/>
    <w:basedOn w:val="100"/>
    <w:link w:val="103"/>
    <w:qFormat/>
    <w:uiPriority w:val="0"/>
    <w:pPr>
      <w:spacing w:before="120" w:after="120" w:line="240" w:lineRule="atLeast"/>
    </w:pPr>
    <w:rPr>
      <w:rFonts w:eastAsia="宋体" w:cs="宋体"/>
    </w:rPr>
  </w:style>
  <w:style w:type="character" w:customStyle="1" w:styleId="103">
    <w:name w:val="样式 样式 Plain Text + (西文) Times New Roman (中文) 黑体 加粗 黑色2 + 行距: 最小值... Char"/>
    <w:basedOn w:val="101"/>
    <w:link w:val="102"/>
    <w:qFormat/>
    <w:uiPriority w:val="0"/>
    <w:rPr>
      <w:rFonts w:eastAsia="宋体" w:cs="宋体"/>
    </w:rPr>
  </w:style>
  <w:style w:type="paragraph" w:customStyle="1" w:styleId="104">
    <w:name w:val="样式 标题 3 + 小四 黑色"/>
    <w:basedOn w:val="7"/>
    <w:link w:val="105"/>
    <w:qFormat/>
    <w:uiPriority w:val="0"/>
    <w:pPr>
      <w:keepNext w:val="0"/>
      <w:keepLines w:val="0"/>
      <w:tabs>
        <w:tab w:val="left" w:pos="360"/>
      </w:tabs>
      <w:autoSpaceDE w:val="0"/>
      <w:autoSpaceDN w:val="0"/>
      <w:adjustRightInd w:val="0"/>
      <w:spacing w:line="240" w:lineRule="auto"/>
      <w:textAlignment w:val="baseline"/>
    </w:pPr>
    <w:rPr>
      <w:bCs/>
      <w:color w:val="000000"/>
      <w:kern w:val="0"/>
      <w:sz w:val="24"/>
    </w:rPr>
  </w:style>
  <w:style w:type="character" w:customStyle="1" w:styleId="105">
    <w:name w:val="样式 标题 3 + 小四 黑色 Char"/>
    <w:basedOn w:val="55"/>
    <w:link w:val="104"/>
    <w:qFormat/>
    <w:uiPriority w:val="0"/>
    <w:rPr>
      <w:bCs/>
      <w:color w:val="000000"/>
      <w:kern w:val="0"/>
      <w:sz w:val="24"/>
    </w:rPr>
  </w:style>
  <w:style w:type="paragraph" w:customStyle="1" w:styleId="106">
    <w:name w:val="样式 Plain Text + Times New Roman 加粗 黑色"/>
    <w:basedOn w:val="92"/>
    <w:link w:val="107"/>
    <w:qFormat/>
    <w:uiPriority w:val="0"/>
    <w:pPr>
      <w:spacing w:before="360" w:after="360" w:line="520" w:lineRule="exact"/>
    </w:pPr>
    <w:rPr>
      <w:rFonts w:ascii="Times New Roman"/>
      <w:b/>
      <w:bCs/>
      <w:color w:val="000000"/>
    </w:rPr>
  </w:style>
  <w:style w:type="character" w:customStyle="1" w:styleId="107">
    <w:name w:val="样式 Plain Text + Times New Roman 加粗 黑色 Char"/>
    <w:basedOn w:val="93"/>
    <w:link w:val="106"/>
    <w:qFormat/>
    <w:uiPriority w:val="0"/>
    <w:rPr>
      <w:rFonts w:ascii="Times New Roman"/>
      <w:b/>
      <w:bCs/>
      <w:color w:val="000000"/>
    </w:rPr>
  </w:style>
  <w:style w:type="paragraph" w:customStyle="1" w:styleId="108">
    <w:name w:val="样式 标题 3 + 小四"/>
    <w:basedOn w:val="7"/>
    <w:link w:val="109"/>
    <w:qFormat/>
    <w:uiPriority w:val="0"/>
    <w:pPr>
      <w:keepNext w:val="0"/>
      <w:keepLines w:val="0"/>
      <w:tabs>
        <w:tab w:val="left" w:pos="360"/>
      </w:tabs>
      <w:autoSpaceDE w:val="0"/>
      <w:autoSpaceDN w:val="0"/>
      <w:adjustRightInd w:val="0"/>
      <w:spacing w:before="0" w:after="0" w:line="480" w:lineRule="exact"/>
      <w:textAlignment w:val="baseline"/>
    </w:pPr>
    <w:rPr>
      <w:bCs/>
      <w:kern w:val="0"/>
      <w:sz w:val="24"/>
    </w:rPr>
  </w:style>
  <w:style w:type="character" w:customStyle="1" w:styleId="109">
    <w:name w:val="样式 标题 3 + 小四 Char"/>
    <w:basedOn w:val="55"/>
    <w:link w:val="108"/>
    <w:qFormat/>
    <w:uiPriority w:val="0"/>
    <w:rPr>
      <w:bCs/>
      <w:kern w:val="0"/>
      <w:sz w:val="24"/>
    </w:rPr>
  </w:style>
  <w:style w:type="paragraph" w:customStyle="1" w:styleId="110">
    <w:name w:val="使用正文"/>
    <w:basedOn w:val="1"/>
    <w:link w:val="111"/>
    <w:qFormat/>
    <w:uiPriority w:val="0"/>
    <w:pPr>
      <w:spacing w:line="480" w:lineRule="exact"/>
      <w:ind w:firstLine="480" w:firstLineChars="200"/>
    </w:pPr>
    <w:rPr>
      <w:rFonts w:ascii="宋体" w:hAnsi="宋体" w:eastAsia="宋体" w:cs="宋体"/>
      <w:color w:val="000000"/>
      <w:position w:val="16"/>
      <w:sz w:val="24"/>
      <w:szCs w:val="20"/>
    </w:rPr>
  </w:style>
  <w:style w:type="character" w:customStyle="1" w:styleId="111">
    <w:name w:val="使用正文 Char"/>
    <w:basedOn w:val="47"/>
    <w:link w:val="110"/>
    <w:qFormat/>
    <w:uiPriority w:val="0"/>
    <w:rPr>
      <w:rFonts w:ascii="宋体" w:hAnsi="宋体" w:eastAsia="宋体" w:cs="宋体"/>
      <w:color w:val="000000"/>
      <w:position w:val="16"/>
      <w:sz w:val="24"/>
      <w:szCs w:val="20"/>
    </w:rPr>
  </w:style>
  <w:style w:type="paragraph" w:customStyle="1" w:styleId="112">
    <w:name w:val="4级目录"/>
    <w:basedOn w:val="33"/>
    <w:next w:val="33"/>
    <w:qFormat/>
    <w:uiPriority w:val="0"/>
    <w:pPr>
      <w:spacing w:before="120" w:afterLines="100" w:line="480" w:lineRule="exact"/>
      <w:ind w:left="0"/>
      <w:outlineLvl w:val="3"/>
    </w:pPr>
    <w:rPr>
      <w:rFonts w:ascii="黑体" w:hAnsi="宋体" w:eastAsia="黑体" w:cs="宋体"/>
      <w:bCs/>
      <w:sz w:val="24"/>
      <w:szCs w:val="24"/>
    </w:rPr>
  </w:style>
  <w:style w:type="paragraph" w:customStyle="1" w:styleId="113">
    <w:name w:val="2级目录"/>
    <w:basedOn w:val="38"/>
    <w:qFormat/>
    <w:uiPriority w:val="0"/>
    <w:pPr>
      <w:tabs>
        <w:tab w:val="right" w:leader="dot" w:pos="9069"/>
        <w:tab w:val="clear" w:pos="9678"/>
      </w:tabs>
      <w:spacing w:line="480" w:lineRule="exact"/>
      <w:ind w:left="3960" w:hanging="3960"/>
      <w:jc w:val="center"/>
      <w:outlineLvl w:val="1"/>
    </w:pPr>
    <w:rPr>
      <w:rFonts w:ascii="Times New Roman" w:hAnsi="Times New Roman"/>
      <w:smallCaps w:val="0"/>
      <w:sz w:val="36"/>
      <w:szCs w:val="36"/>
    </w:rPr>
  </w:style>
  <w:style w:type="paragraph" w:customStyle="1" w:styleId="114">
    <w:name w:val="样式 4级目录 + 首行缩进:  0.85 厘米 段后: 1 行"/>
    <w:basedOn w:val="112"/>
    <w:qFormat/>
    <w:uiPriority w:val="0"/>
    <w:pPr>
      <w:spacing w:after="100"/>
    </w:pPr>
    <w:rPr>
      <w:szCs w:val="20"/>
    </w:rPr>
  </w:style>
  <w:style w:type="character" w:customStyle="1" w:styleId="115">
    <w:name w:val="正文首行缩进 2 Char"/>
    <w:basedOn w:val="67"/>
    <w:link w:val="44"/>
    <w:qFormat/>
    <w:uiPriority w:val="0"/>
    <w:rPr>
      <w:position w:val="16"/>
      <w:sz w:val="28"/>
    </w:rPr>
  </w:style>
  <w:style w:type="paragraph" w:customStyle="1" w:styleId="116">
    <w:name w:val="章标题"/>
    <w:next w:val="117"/>
    <w:qFormat/>
    <w:uiPriority w:val="0"/>
    <w:pPr>
      <w:numPr>
        <w:ilvl w:val="2"/>
        <w:numId w:val="2"/>
      </w:numPr>
      <w:tabs>
        <w:tab w:val="left" w:pos="420"/>
      </w:tabs>
      <w:spacing w:beforeLines="50" w:afterLines="50"/>
    </w:pPr>
    <w:rPr>
      <w:rFonts w:ascii="黑体" w:hAnsi="Times New Roman" w:eastAsia="黑体" w:cs="Times New Roman"/>
      <w:sz w:val="24"/>
      <w:lang w:val="en-US" w:eastAsia="zh-CN" w:bidi="ar-SA"/>
    </w:rPr>
  </w:style>
  <w:style w:type="paragraph" w:customStyle="1" w:styleId="117">
    <w:name w:val="段"/>
    <w:qFormat/>
    <w:uiPriority w:val="0"/>
    <w:pPr>
      <w:jc w:val="center"/>
    </w:pPr>
    <w:rPr>
      <w:rFonts w:ascii="宋体" w:hAnsi="Times New Roman" w:eastAsia="仿宋_GB2312" w:cs="Times New Roman"/>
      <w:sz w:val="32"/>
      <w:lang w:val="en-US" w:eastAsia="zh-CN" w:bidi="ar-SA"/>
    </w:rPr>
  </w:style>
  <w:style w:type="paragraph" w:customStyle="1" w:styleId="118">
    <w:name w:val="一级条标题"/>
    <w:basedOn w:val="116"/>
    <w:next w:val="117"/>
    <w:qFormat/>
    <w:uiPriority w:val="0"/>
    <w:pPr>
      <w:numPr>
        <w:ilvl w:val="3"/>
      </w:numPr>
      <w:tabs>
        <w:tab w:val="left" w:pos="525"/>
        <w:tab w:val="clear" w:pos="420"/>
      </w:tabs>
      <w:spacing w:beforeLines="0" w:afterLines="0"/>
      <w:outlineLvl w:val="2"/>
    </w:pPr>
    <w:rPr>
      <w:b/>
    </w:rPr>
  </w:style>
  <w:style w:type="paragraph" w:customStyle="1" w:styleId="119">
    <w:name w:val="二级条标题"/>
    <w:basedOn w:val="118"/>
    <w:next w:val="117"/>
    <w:qFormat/>
    <w:uiPriority w:val="0"/>
    <w:pPr>
      <w:numPr>
        <w:ilvl w:val="4"/>
      </w:numPr>
      <w:tabs>
        <w:tab w:val="clear" w:pos="525"/>
      </w:tabs>
      <w:outlineLvl w:val="3"/>
    </w:pPr>
  </w:style>
  <w:style w:type="paragraph" w:customStyle="1" w:styleId="120">
    <w:name w:val="三级条标题"/>
    <w:basedOn w:val="119"/>
    <w:next w:val="117"/>
    <w:qFormat/>
    <w:uiPriority w:val="0"/>
    <w:pPr>
      <w:numPr>
        <w:ilvl w:val="5"/>
      </w:numPr>
      <w:tabs>
        <w:tab w:val="left" w:pos="945"/>
      </w:tabs>
      <w:ind w:left="0" w:firstLine="0"/>
      <w:outlineLvl w:val="4"/>
    </w:pPr>
  </w:style>
  <w:style w:type="paragraph" w:customStyle="1" w:styleId="121">
    <w:name w:val="四级条标题"/>
    <w:basedOn w:val="120"/>
    <w:next w:val="117"/>
    <w:qFormat/>
    <w:uiPriority w:val="0"/>
    <w:pPr>
      <w:numPr>
        <w:ilvl w:val="6"/>
      </w:numPr>
      <w:tabs>
        <w:tab w:val="left" w:pos="1155"/>
        <w:tab w:val="clear" w:pos="945"/>
      </w:tabs>
      <w:ind w:left="1021" w:hanging="1021"/>
      <w:outlineLvl w:val="5"/>
    </w:pPr>
  </w:style>
  <w:style w:type="paragraph" w:customStyle="1" w:styleId="122">
    <w:name w:val="列出段落1"/>
    <w:basedOn w:val="1"/>
    <w:qFormat/>
    <w:uiPriority w:val="0"/>
    <w:pPr>
      <w:ind w:firstLine="420" w:firstLineChars="200"/>
    </w:pPr>
    <w:rPr>
      <w:rFonts w:ascii="Calibri" w:hAnsi="Calibri" w:eastAsia="宋体" w:cs="Times New Roman"/>
    </w:rPr>
  </w:style>
  <w:style w:type="paragraph" w:customStyle="1" w:styleId="123">
    <w:name w:val="样式 正文文本"/>
    <w:basedOn w:val="1"/>
    <w:link w:val="124"/>
    <w:qFormat/>
    <w:uiPriority w:val="0"/>
    <w:pPr>
      <w:spacing w:line="360" w:lineRule="auto"/>
    </w:pPr>
    <w:rPr>
      <w:rFonts w:ascii="Times New Roman" w:hAnsi="Times New Roman" w:eastAsia="宋体" w:cs="Times New Roman"/>
      <w:bCs/>
      <w:sz w:val="24"/>
      <w:szCs w:val="24"/>
    </w:rPr>
  </w:style>
  <w:style w:type="character" w:customStyle="1" w:styleId="124">
    <w:name w:val="样式 正文文本 Char1"/>
    <w:basedOn w:val="47"/>
    <w:link w:val="123"/>
    <w:qFormat/>
    <w:uiPriority w:val="0"/>
    <w:rPr>
      <w:rFonts w:ascii="Times New Roman" w:hAnsi="Times New Roman" w:eastAsia="宋体" w:cs="Times New Roman"/>
      <w:bCs/>
      <w:sz w:val="24"/>
      <w:szCs w:val="24"/>
    </w:rPr>
  </w:style>
  <w:style w:type="paragraph" w:customStyle="1" w:styleId="125">
    <w:name w:val="纯文本11"/>
    <w:basedOn w:val="1"/>
    <w:qFormat/>
    <w:uiPriority w:val="0"/>
    <w:pPr>
      <w:adjustRightInd w:val="0"/>
      <w:textAlignment w:val="baseline"/>
    </w:pPr>
    <w:rPr>
      <w:rFonts w:ascii="宋体" w:hAnsi="Times New Roman" w:eastAsia="宋体" w:cs="Times New Roman"/>
      <w:kern w:val="0"/>
      <w:szCs w:val="20"/>
    </w:rPr>
  </w:style>
  <w:style w:type="paragraph" w:customStyle="1" w:styleId="126">
    <w:name w:val="Char Char1 Char"/>
    <w:basedOn w:val="1"/>
    <w:qFormat/>
    <w:uiPriority w:val="0"/>
    <w:pPr>
      <w:widowControl/>
      <w:spacing w:before="100" w:beforeAutospacing="1" w:after="100" w:afterAutospacing="1" w:line="330" w:lineRule="atLeast"/>
      <w:ind w:left="360"/>
      <w:jc w:val="left"/>
    </w:pPr>
    <w:rPr>
      <w:rFonts w:ascii="ˎ̥" w:hAnsi="ˎ̥" w:eastAsia="宋体" w:cs="宋体"/>
      <w:color w:val="51585D"/>
      <w:kern w:val="0"/>
      <w:sz w:val="24"/>
      <w:szCs w:val="18"/>
    </w:rPr>
  </w:style>
  <w:style w:type="paragraph" w:customStyle="1" w:styleId="127">
    <w:name w:val="项目名称"/>
    <w:basedOn w:val="1"/>
    <w:qFormat/>
    <w:uiPriority w:val="0"/>
    <w:pPr>
      <w:spacing w:before="78" w:after="78" w:line="360" w:lineRule="auto"/>
      <w:jc w:val="center"/>
    </w:pPr>
    <w:rPr>
      <w:rFonts w:ascii="Times New Roman" w:hAnsi="Times New Roman" w:eastAsia="宋体" w:cs="宋体"/>
      <w:b/>
      <w:sz w:val="32"/>
      <w:szCs w:val="20"/>
    </w:rPr>
  </w:style>
  <w:style w:type="paragraph" w:customStyle="1" w:styleId="128">
    <w:name w:val="Char"/>
    <w:basedOn w:val="1"/>
    <w:qFormat/>
    <w:uiPriority w:val="0"/>
    <w:rPr>
      <w:rFonts w:ascii="Times New Roman" w:hAnsi="Times New Roman" w:eastAsia="宋体" w:cs="Times New Roman"/>
      <w:szCs w:val="24"/>
    </w:rPr>
  </w:style>
  <w:style w:type="paragraph" w:customStyle="1" w:styleId="129">
    <w:name w:val="样式1"/>
    <w:basedOn w:val="1"/>
    <w:qFormat/>
    <w:uiPriority w:val="0"/>
    <w:rPr>
      <w:rFonts w:ascii="Times New Roman" w:hAnsi="Times New Roman" w:eastAsia="宋体" w:cs="Times New Roman"/>
      <w:sz w:val="28"/>
      <w:szCs w:val="24"/>
    </w:rPr>
  </w:style>
  <w:style w:type="paragraph" w:customStyle="1" w:styleId="130">
    <w:name w:val="xl50"/>
    <w:basedOn w:val="1"/>
    <w:qFormat/>
    <w:uiPriority w:val="0"/>
    <w:pPr>
      <w:widowControl/>
      <w:spacing w:before="100" w:beforeAutospacing="1" w:after="100" w:afterAutospacing="1"/>
      <w:jc w:val="center"/>
    </w:pPr>
    <w:rPr>
      <w:rFonts w:ascii="宋体" w:hAnsi="宋体" w:eastAsia="宋体" w:cs="Times New Roman"/>
      <w:kern w:val="0"/>
      <w:sz w:val="24"/>
      <w:szCs w:val="24"/>
    </w:rPr>
  </w:style>
  <w:style w:type="paragraph" w:customStyle="1" w:styleId="131">
    <w:name w:val="节小标题"/>
    <w:basedOn w:val="12"/>
    <w:qFormat/>
    <w:uiPriority w:val="0"/>
    <w:pPr>
      <w:keepLines/>
      <w:widowControl w:val="0"/>
      <w:overflowPunct/>
      <w:autoSpaceDE/>
      <w:autoSpaceDN/>
      <w:snapToGrid w:val="0"/>
      <w:spacing w:before="100" w:line="300" w:lineRule="auto"/>
      <w:ind w:left="0" w:right="0" w:firstLine="359"/>
      <w:jc w:val="both"/>
      <w:textAlignment w:val="auto"/>
      <w:outlineLvl w:val="9"/>
    </w:pPr>
    <w:rPr>
      <w:rFonts w:ascii="Times New Roman" w:eastAsia="仿宋_GB2312"/>
      <w:b w:val="0"/>
      <w:kern w:val="2"/>
      <w:sz w:val="30"/>
    </w:rPr>
  </w:style>
  <w:style w:type="paragraph" w:customStyle="1" w:styleId="132">
    <w:name w:val="样式4"/>
    <w:basedOn w:val="133"/>
    <w:qFormat/>
    <w:uiPriority w:val="0"/>
  </w:style>
  <w:style w:type="paragraph" w:customStyle="1" w:styleId="133">
    <w:name w:val="样式3"/>
    <w:basedOn w:val="129"/>
    <w:qFormat/>
    <w:uiPriority w:val="0"/>
  </w:style>
  <w:style w:type="paragraph" w:customStyle="1" w:styleId="134">
    <w:name w:val="样式2"/>
    <w:basedOn w:val="129"/>
    <w:qFormat/>
    <w:uiPriority w:val="0"/>
  </w:style>
  <w:style w:type="paragraph" w:customStyle="1" w:styleId="135">
    <w:name w:val="正文1"/>
    <w:basedOn w:val="129"/>
    <w:qFormat/>
    <w:uiPriority w:val="0"/>
  </w:style>
  <w:style w:type="paragraph" w:customStyle="1" w:styleId="136">
    <w:name w:val="font5"/>
    <w:basedOn w:val="1"/>
    <w:qFormat/>
    <w:uiPriority w:val="0"/>
    <w:pPr>
      <w:widowControl/>
      <w:spacing w:before="100" w:beforeAutospacing="1" w:after="100" w:afterAutospacing="1"/>
      <w:jc w:val="left"/>
    </w:pPr>
    <w:rPr>
      <w:rFonts w:hint="eastAsia" w:ascii="宋体" w:hAnsi="宋体" w:eastAsia="宋体" w:cs="Times New Roman"/>
      <w:kern w:val="0"/>
      <w:sz w:val="18"/>
      <w:szCs w:val="18"/>
    </w:rPr>
  </w:style>
  <w:style w:type="paragraph" w:customStyle="1" w:styleId="137">
    <w:name w:val="font6"/>
    <w:basedOn w:val="1"/>
    <w:qFormat/>
    <w:uiPriority w:val="0"/>
    <w:pPr>
      <w:widowControl/>
      <w:spacing w:before="100" w:beforeAutospacing="1" w:after="100" w:afterAutospacing="1"/>
      <w:jc w:val="left"/>
    </w:pPr>
    <w:rPr>
      <w:rFonts w:hint="eastAsia" w:ascii="宋体" w:hAnsi="宋体" w:eastAsia="宋体" w:cs="Times New Roman"/>
      <w:color w:val="000000"/>
      <w:kern w:val="0"/>
      <w:sz w:val="20"/>
      <w:szCs w:val="20"/>
    </w:rPr>
  </w:style>
  <w:style w:type="paragraph" w:customStyle="1" w:styleId="138">
    <w:name w:val="font7"/>
    <w:basedOn w:val="1"/>
    <w:qFormat/>
    <w:uiPriority w:val="0"/>
    <w:pPr>
      <w:widowControl/>
      <w:spacing w:before="100" w:beforeAutospacing="1" w:after="100" w:afterAutospacing="1"/>
      <w:jc w:val="left"/>
    </w:pPr>
    <w:rPr>
      <w:rFonts w:ascii="Times New Roman" w:hAnsi="Times New Roman" w:eastAsia="宋体" w:cs="Times New Roman"/>
      <w:color w:val="000000"/>
      <w:kern w:val="0"/>
      <w:sz w:val="20"/>
      <w:szCs w:val="20"/>
    </w:rPr>
  </w:style>
  <w:style w:type="paragraph" w:customStyle="1" w:styleId="13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Times New Roman" w:hAnsi="Times New Roman" w:eastAsia="宋体" w:cs="Times New Roman"/>
      <w:kern w:val="0"/>
      <w:sz w:val="16"/>
      <w:szCs w:val="16"/>
    </w:rPr>
  </w:style>
  <w:style w:type="paragraph" w:customStyle="1" w:styleId="14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kern w:val="0"/>
      <w:sz w:val="16"/>
      <w:szCs w:val="16"/>
    </w:rPr>
  </w:style>
  <w:style w:type="paragraph" w:customStyle="1" w:styleId="141">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4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kern w:val="0"/>
      <w:sz w:val="16"/>
      <w:szCs w:val="16"/>
    </w:rPr>
  </w:style>
  <w:style w:type="paragraph" w:customStyle="1" w:styleId="14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color w:val="000000"/>
      <w:kern w:val="0"/>
      <w:sz w:val="16"/>
      <w:szCs w:val="16"/>
    </w:rPr>
  </w:style>
  <w:style w:type="paragraph" w:customStyle="1" w:styleId="14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4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4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Times New Roman" w:hAnsi="Times New Roman" w:eastAsia="宋体" w:cs="Times New Roman"/>
      <w:kern w:val="0"/>
      <w:sz w:val="16"/>
      <w:szCs w:val="16"/>
    </w:rPr>
  </w:style>
  <w:style w:type="paragraph" w:customStyle="1" w:styleId="14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宋体" w:cs="Times New Roman"/>
      <w:kern w:val="0"/>
      <w:sz w:val="16"/>
      <w:szCs w:val="16"/>
    </w:rPr>
  </w:style>
  <w:style w:type="paragraph" w:customStyle="1" w:styleId="14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color w:val="000000"/>
      <w:kern w:val="0"/>
      <w:sz w:val="16"/>
      <w:szCs w:val="16"/>
    </w:rPr>
  </w:style>
  <w:style w:type="paragraph" w:customStyle="1" w:styleId="14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Times New Roman"/>
      <w:color w:val="000000"/>
      <w:kern w:val="0"/>
      <w:sz w:val="20"/>
      <w:szCs w:val="20"/>
    </w:rPr>
  </w:style>
  <w:style w:type="paragraph" w:customStyle="1" w:styleId="15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Times New Roman"/>
      <w:kern w:val="0"/>
      <w:sz w:val="20"/>
      <w:szCs w:val="20"/>
    </w:rPr>
  </w:style>
  <w:style w:type="paragraph" w:customStyle="1" w:styleId="15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color w:val="000000"/>
      <w:kern w:val="0"/>
      <w:sz w:val="20"/>
      <w:szCs w:val="20"/>
    </w:rPr>
  </w:style>
  <w:style w:type="paragraph" w:customStyle="1" w:styleId="15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Times New Roman"/>
      <w:kern w:val="0"/>
      <w:sz w:val="20"/>
      <w:szCs w:val="20"/>
    </w:rPr>
  </w:style>
  <w:style w:type="paragraph" w:customStyle="1" w:styleId="15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Times New Roman" w:hAnsi="Times New Roman" w:eastAsia="宋体" w:cs="Times New Roman"/>
      <w:kern w:val="0"/>
      <w:sz w:val="16"/>
      <w:szCs w:val="16"/>
    </w:rPr>
  </w:style>
  <w:style w:type="paragraph" w:customStyle="1" w:styleId="154">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5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56">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color w:val="000000"/>
      <w:kern w:val="0"/>
      <w:sz w:val="16"/>
      <w:szCs w:val="16"/>
    </w:rPr>
  </w:style>
  <w:style w:type="paragraph" w:customStyle="1" w:styleId="157">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color w:val="000000"/>
      <w:kern w:val="0"/>
      <w:sz w:val="16"/>
      <w:szCs w:val="16"/>
    </w:rPr>
  </w:style>
  <w:style w:type="paragraph" w:customStyle="1" w:styleId="15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color w:val="000000"/>
      <w:kern w:val="0"/>
      <w:sz w:val="16"/>
      <w:szCs w:val="16"/>
    </w:rPr>
  </w:style>
  <w:style w:type="paragraph" w:customStyle="1" w:styleId="159">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color w:val="000000"/>
      <w:kern w:val="0"/>
      <w:sz w:val="16"/>
      <w:szCs w:val="16"/>
    </w:rPr>
  </w:style>
  <w:style w:type="paragraph" w:customStyle="1" w:styleId="160">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color w:val="000000"/>
      <w:kern w:val="0"/>
      <w:sz w:val="16"/>
      <w:szCs w:val="16"/>
    </w:rPr>
  </w:style>
  <w:style w:type="paragraph" w:customStyle="1" w:styleId="16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color w:val="000000"/>
      <w:kern w:val="0"/>
      <w:sz w:val="16"/>
      <w:szCs w:val="16"/>
    </w:rPr>
  </w:style>
  <w:style w:type="paragraph" w:customStyle="1" w:styleId="162">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Times New Roman"/>
      <w:kern w:val="0"/>
      <w:sz w:val="20"/>
      <w:szCs w:val="20"/>
    </w:rPr>
  </w:style>
  <w:style w:type="paragraph" w:customStyle="1" w:styleId="16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16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65">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66">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67">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68">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16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eastAsia="宋体" w:cs="Times New Roman"/>
      <w:kern w:val="0"/>
      <w:sz w:val="16"/>
      <w:szCs w:val="16"/>
    </w:rPr>
  </w:style>
  <w:style w:type="paragraph" w:customStyle="1" w:styleId="17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kern w:val="0"/>
      <w:sz w:val="20"/>
      <w:szCs w:val="20"/>
    </w:rPr>
  </w:style>
  <w:style w:type="paragraph" w:customStyle="1" w:styleId="171">
    <w:name w:val="图形标题"/>
    <w:basedOn w:val="16"/>
    <w:qFormat/>
    <w:uiPriority w:val="0"/>
  </w:style>
  <w:style w:type="paragraph" w:customStyle="1" w:styleId="172">
    <w:name w:val="font0"/>
    <w:basedOn w:val="1"/>
    <w:qFormat/>
    <w:uiPriority w:val="0"/>
    <w:pPr>
      <w:widowControl/>
      <w:spacing w:before="100" w:beforeAutospacing="1" w:after="100" w:afterAutospacing="1"/>
      <w:jc w:val="left"/>
    </w:pPr>
    <w:rPr>
      <w:rFonts w:hint="eastAsia" w:ascii="宋体" w:hAnsi="Times New Roman" w:eastAsia="宋体" w:cs="Times New Roman"/>
      <w:kern w:val="0"/>
      <w:sz w:val="24"/>
      <w:szCs w:val="24"/>
    </w:rPr>
  </w:style>
  <w:style w:type="paragraph" w:customStyle="1" w:styleId="173">
    <w:name w:val="p82"/>
    <w:basedOn w:val="1"/>
    <w:qFormat/>
    <w:uiPriority w:val="0"/>
    <w:pPr>
      <w:widowControl/>
      <w:tabs>
        <w:tab w:val="left" w:pos="460"/>
      </w:tabs>
      <w:overflowPunct w:val="0"/>
      <w:autoSpaceDE w:val="0"/>
      <w:autoSpaceDN w:val="0"/>
      <w:adjustRightInd w:val="0"/>
      <w:spacing w:line="320" w:lineRule="atLeast"/>
      <w:textAlignment w:val="baseline"/>
    </w:pPr>
    <w:rPr>
      <w:rFonts w:ascii="Times New Roman" w:hAnsi="Times New Roman" w:eastAsia="宋体" w:cs="Times New Roman"/>
      <w:kern w:val="0"/>
      <w:sz w:val="24"/>
      <w:szCs w:val="20"/>
      <w:lang w:val="en-GB"/>
    </w:rPr>
  </w:style>
  <w:style w:type="paragraph" w:customStyle="1" w:styleId="174">
    <w:name w:val="Char2"/>
    <w:basedOn w:val="1"/>
    <w:qFormat/>
    <w:uiPriority w:val="0"/>
    <w:rPr>
      <w:rFonts w:ascii="Times New Roman" w:hAnsi="Times New Roman" w:eastAsia="宋体" w:cs="Times New Roman"/>
      <w:szCs w:val="20"/>
    </w:rPr>
  </w:style>
  <w:style w:type="paragraph" w:customStyle="1" w:styleId="175">
    <w:name w:val="Char Char"/>
    <w:basedOn w:val="1"/>
    <w:qFormat/>
    <w:uiPriority w:val="0"/>
    <w:rPr>
      <w:rFonts w:ascii="Times New Roman" w:hAnsi="Times New Roman" w:eastAsia="宋体" w:cs="Times New Roman"/>
      <w:szCs w:val="20"/>
    </w:rPr>
  </w:style>
  <w:style w:type="paragraph" w:customStyle="1" w:styleId="176">
    <w:name w:val="Char Char Char Char"/>
    <w:basedOn w:val="1"/>
    <w:qFormat/>
    <w:uiPriority w:val="0"/>
    <w:rPr>
      <w:rFonts w:ascii="Times New Roman" w:hAnsi="Times New Roman" w:eastAsia="宋体" w:cs="Times New Roman"/>
      <w:szCs w:val="20"/>
    </w:rPr>
  </w:style>
  <w:style w:type="paragraph" w:customStyle="1" w:styleId="177">
    <w:name w:val="叙述"/>
    <w:basedOn w:val="1"/>
    <w:qFormat/>
    <w:uiPriority w:val="0"/>
    <w:pPr>
      <w:tabs>
        <w:tab w:val="left" w:pos="720"/>
        <w:tab w:val="left" w:pos="4800"/>
        <w:tab w:val="left" w:pos="6240"/>
      </w:tabs>
      <w:adjustRightInd w:val="0"/>
      <w:spacing w:line="360" w:lineRule="auto"/>
      <w:ind w:left="737" w:hanging="737"/>
    </w:pPr>
    <w:rPr>
      <w:rFonts w:ascii="Arial" w:hAnsi="Arial" w:eastAsia="宋体" w:cs="Times New Roman"/>
      <w:kern w:val="0"/>
      <w:sz w:val="24"/>
      <w:szCs w:val="20"/>
    </w:rPr>
  </w:style>
  <w:style w:type="paragraph" w:customStyle="1" w:styleId="178">
    <w:name w:val="样式 首行缩进:  0 厘米 行距: 单倍行距 Char"/>
    <w:basedOn w:val="1"/>
    <w:qFormat/>
    <w:uiPriority w:val="0"/>
    <w:pPr>
      <w:adjustRightInd w:val="0"/>
    </w:pPr>
    <w:rPr>
      <w:rFonts w:ascii="Times New Roman" w:hAnsi="Times New Roman" w:eastAsia="宋体" w:cs="Times New Roman"/>
      <w:kern w:val="0"/>
      <w:szCs w:val="21"/>
    </w:rPr>
  </w:style>
  <w:style w:type="paragraph" w:customStyle="1" w:styleId="179">
    <w:name w:val="1"/>
    <w:basedOn w:val="1"/>
    <w:next w:val="25"/>
    <w:qFormat/>
    <w:uiPriority w:val="0"/>
    <w:pPr>
      <w:autoSpaceDE w:val="0"/>
      <w:autoSpaceDN w:val="0"/>
      <w:adjustRightInd w:val="0"/>
    </w:pPr>
    <w:rPr>
      <w:rFonts w:ascii="宋体" w:hAnsi="Times New Roman" w:eastAsia="宋体" w:cs="Times New Roman"/>
      <w:kern w:val="0"/>
      <w:szCs w:val="20"/>
    </w:rPr>
  </w:style>
  <w:style w:type="paragraph" w:customStyle="1" w:styleId="180">
    <w:name w:val="表格"/>
    <w:basedOn w:val="1"/>
    <w:qFormat/>
    <w:uiPriority w:val="0"/>
    <w:pPr>
      <w:adjustRightInd w:val="0"/>
      <w:snapToGrid w:val="0"/>
      <w:spacing w:line="240" w:lineRule="atLeast"/>
    </w:pPr>
    <w:rPr>
      <w:rFonts w:ascii="宋体" w:hAnsi="Times New Roman" w:eastAsia="宋体" w:cs="Times New Roman"/>
      <w:kern w:val="0"/>
      <w:sz w:val="24"/>
      <w:szCs w:val="20"/>
    </w:rPr>
  </w:style>
  <w:style w:type="paragraph" w:customStyle="1" w:styleId="181">
    <w:name w:val="样式 Arial 首行缩进:  2 字符"/>
    <w:basedOn w:val="1"/>
    <w:qFormat/>
    <w:uiPriority w:val="0"/>
    <w:pPr>
      <w:ind w:firstLine="403" w:firstLineChars="200"/>
    </w:pPr>
    <w:rPr>
      <w:rFonts w:ascii="Times New Roman" w:hAnsi="Times New Roman" w:eastAsia="宋体" w:cs="华文新魏"/>
      <w:szCs w:val="21"/>
    </w:rPr>
  </w:style>
  <w:style w:type="paragraph" w:customStyle="1" w:styleId="182">
    <w:name w:val="样式 首行缩进:  0 厘米 行距: 单倍行距"/>
    <w:basedOn w:val="1"/>
    <w:qFormat/>
    <w:uiPriority w:val="0"/>
    <w:pPr>
      <w:adjustRightInd w:val="0"/>
      <w:spacing w:line="312" w:lineRule="atLeast"/>
    </w:pPr>
    <w:rPr>
      <w:rFonts w:ascii="Times New Roman" w:hAnsi="Times New Roman" w:eastAsia="宋体" w:cs="Times New Roman"/>
      <w:kern w:val="0"/>
      <w:szCs w:val="20"/>
    </w:rPr>
  </w:style>
  <w:style w:type="paragraph" w:customStyle="1" w:styleId="183">
    <w:name w:val="Char Char1 Char1"/>
    <w:basedOn w:val="1"/>
    <w:qFormat/>
    <w:uiPriority w:val="0"/>
    <w:rPr>
      <w:rFonts w:ascii="Times New Roman" w:hAnsi="Times New Roman" w:eastAsia="宋体" w:cs="Times New Roman"/>
      <w:szCs w:val="24"/>
    </w:rPr>
  </w:style>
  <w:style w:type="paragraph" w:customStyle="1" w:styleId="184">
    <w:name w:val="样式 样式 标题 2 + 段前: 0.5 行 段后: 0.5 行 + 首行缩进:  2 字符 段前: 0.5 行 段后: 0..."/>
    <w:basedOn w:val="1"/>
    <w:qFormat/>
    <w:uiPriority w:val="0"/>
    <w:pPr>
      <w:keepNext/>
      <w:keepLines/>
      <w:adjustRightInd w:val="0"/>
      <w:spacing w:beforeLines="50" w:afterLines="50"/>
      <w:jc w:val="left"/>
      <w:outlineLvl w:val="1"/>
    </w:pPr>
    <w:rPr>
      <w:rFonts w:ascii="Times New Roman" w:hAnsi="Times New Roman" w:eastAsia="黑体" w:cs="宋体"/>
      <w:kern w:val="0"/>
      <w:szCs w:val="20"/>
    </w:rPr>
  </w:style>
  <w:style w:type="paragraph" w:customStyle="1" w:styleId="185">
    <w:name w:val="ST20_17"/>
    <w:basedOn w:val="8"/>
    <w:qFormat/>
    <w:uiPriority w:val="0"/>
    <w:pPr>
      <w:keepLines/>
      <w:widowControl w:val="0"/>
      <w:overflowPunct/>
      <w:spacing w:line="240" w:lineRule="atLeast"/>
      <w:ind w:left="0" w:right="0"/>
      <w:jc w:val="both"/>
      <w:textAlignment w:val="auto"/>
      <w:outlineLvl w:val="9"/>
    </w:pPr>
    <w:rPr>
      <w:rFonts w:hAnsi="Tms Rmn"/>
      <w:b w:val="0"/>
      <w:sz w:val="24"/>
    </w:rPr>
  </w:style>
  <w:style w:type="paragraph" w:customStyle="1" w:styleId="186">
    <w:name w:val="表格文字"/>
    <w:basedOn w:val="1"/>
    <w:qFormat/>
    <w:uiPriority w:val="0"/>
    <w:pPr>
      <w:spacing w:before="30" w:after="30"/>
      <w:ind w:left="-109" w:leftChars="-52" w:right="-107" w:rightChars="-51" w:firstLine="1"/>
      <w:jc w:val="center"/>
    </w:pPr>
    <w:rPr>
      <w:rFonts w:ascii="Times New Roman" w:hAnsi="宋体" w:eastAsia="宋体" w:cs="Times New Roman"/>
      <w:color w:val="000000"/>
      <w:spacing w:val="40"/>
      <w:kern w:val="0"/>
      <w:sz w:val="24"/>
      <w:szCs w:val="24"/>
    </w:rPr>
  </w:style>
  <w:style w:type="paragraph" w:customStyle="1" w:styleId="187">
    <w:name w:val="Char1"/>
    <w:basedOn w:val="1"/>
    <w:qFormat/>
    <w:uiPriority w:val="0"/>
    <w:rPr>
      <w:rFonts w:ascii="Times New Roman" w:hAnsi="Times New Roman" w:eastAsia="宋体" w:cs="Times New Roman"/>
      <w:szCs w:val="24"/>
    </w:rPr>
  </w:style>
  <w:style w:type="paragraph" w:customStyle="1" w:styleId="188">
    <w:name w:val="默认段落字体 Para Char Char Char Char"/>
    <w:basedOn w:val="1"/>
    <w:qFormat/>
    <w:uiPriority w:val="0"/>
    <w:rPr>
      <w:rFonts w:ascii="宋体" w:hAnsi="宋体" w:eastAsia="宋体" w:cs="Times New Roman"/>
      <w:b/>
      <w:color w:val="000000"/>
      <w:sz w:val="24"/>
      <w:szCs w:val="24"/>
    </w:rPr>
  </w:style>
  <w:style w:type="paragraph" w:customStyle="1" w:styleId="189">
    <w:name w:val="Char Char Char Char1"/>
    <w:basedOn w:val="1"/>
    <w:qFormat/>
    <w:uiPriority w:val="0"/>
    <w:rPr>
      <w:rFonts w:ascii="Times New Roman" w:hAnsi="Times New Roman" w:eastAsia="宋体" w:cs="Times New Roman"/>
      <w:szCs w:val="24"/>
    </w:rPr>
  </w:style>
  <w:style w:type="paragraph" w:customStyle="1" w:styleId="190">
    <w:name w:val="Char Char Char Char Char Char Char"/>
    <w:basedOn w:val="1"/>
    <w:qFormat/>
    <w:uiPriority w:val="0"/>
    <w:rPr>
      <w:rFonts w:ascii="Times New Roman" w:hAnsi="Times New Roman" w:eastAsia="宋体" w:cs="Times New Roman"/>
      <w:szCs w:val="24"/>
    </w:rPr>
  </w:style>
  <w:style w:type="paragraph" w:customStyle="1" w:styleId="191">
    <w:name w:val="Char Char Char"/>
    <w:basedOn w:val="1"/>
    <w:qFormat/>
    <w:uiPriority w:val="0"/>
    <w:rPr>
      <w:rFonts w:ascii="Times New Roman" w:hAnsi="Times New Roman" w:eastAsia="宋体" w:cs="Times New Roman"/>
      <w:szCs w:val="24"/>
    </w:rPr>
  </w:style>
  <w:style w:type="paragraph" w:customStyle="1" w:styleId="192">
    <w:name w:val="Char Char Char Char Char Char Char Char Char Char"/>
    <w:basedOn w:val="1"/>
    <w:qFormat/>
    <w:uiPriority w:val="0"/>
    <w:rPr>
      <w:rFonts w:ascii="Times New Roman" w:hAnsi="Times New Roman" w:eastAsia="宋体" w:cs="Times New Roman"/>
      <w:szCs w:val="24"/>
    </w:rPr>
  </w:style>
  <w:style w:type="paragraph" w:customStyle="1" w:styleId="193">
    <w:name w:val="表头"/>
    <w:basedOn w:val="1"/>
    <w:qFormat/>
    <w:uiPriority w:val="0"/>
    <w:pPr>
      <w:topLinePunct/>
      <w:spacing w:before="160" w:after="60"/>
      <w:jc w:val="center"/>
    </w:pPr>
    <w:rPr>
      <w:rFonts w:ascii="Times New Roman" w:hAnsi="Times New Roman" w:eastAsia="黑体" w:cs="Times New Roman"/>
      <w:szCs w:val="21"/>
    </w:rPr>
  </w:style>
  <w:style w:type="character" w:customStyle="1" w:styleId="194">
    <w:name w:val="样式 Arial"/>
    <w:qFormat/>
    <w:uiPriority w:val="0"/>
    <w:rPr>
      <w:rFonts w:hint="default" w:ascii="Times New Roman" w:hAnsi="Times New Roman" w:eastAsia="宋体" w:cs="Times New Roman"/>
      <w:sz w:val="21"/>
      <w:szCs w:val="21"/>
    </w:rPr>
  </w:style>
  <w:style w:type="paragraph" w:customStyle="1" w:styleId="195">
    <w:name w:val="默认段落字体 Para Char Char Char Char Char"/>
    <w:basedOn w:val="1"/>
    <w:qFormat/>
    <w:uiPriority w:val="0"/>
    <w:rPr>
      <w:rFonts w:ascii="宋体" w:hAnsi="宋体" w:eastAsia="宋体" w:cs="Times New Roman"/>
      <w:b/>
      <w:color w:val="000000"/>
      <w:sz w:val="24"/>
      <w:szCs w:val="24"/>
    </w:rPr>
  </w:style>
  <w:style w:type="character" w:customStyle="1" w:styleId="196">
    <w:name w:val="页码1"/>
    <w:basedOn w:val="47"/>
    <w:qFormat/>
    <w:uiPriority w:val="0"/>
  </w:style>
  <w:style w:type="paragraph" w:customStyle="1" w:styleId="197">
    <w:name w:val="p0"/>
    <w:basedOn w:val="1"/>
    <w:qFormat/>
    <w:uiPriority w:val="0"/>
    <w:pPr>
      <w:widowControl/>
    </w:pPr>
    <w:rPr>
      <w:rFonts w:ascii="Times New Roman" w:hAnsi="Times New Roman" w:eastAsia="宋体" w:cs="Times New Roman"/>
      <w:kern w:val="0"/>
      <w:szCs w:val="21"/>
    </w:rPr>
  </w:style>
  <w:style w:type="paragraph" w:customStyle="1" w:styleId="198">
    <w:name w:val="页脚1"/>
    <w:basedOn w:val="1"/>
    <w:qFormat/>
    <w:uiPriority w:val="99"/>
    <w:pPr>
      <w:tabs>
        <w:tab w:val="center" w:pos="4153"/>
        <w:tab w:val="right" w:pos="8306"/>
      </w:tabs>
      <w:snapToGrid w:val="0"/>
      <w:jc w:val="left"/>
    </w:pPr>
    <w:rPr>
      <w:rFonts w:ascii="Times New Roman" w:hAnsi="Times New Roman" w:eastAsia="宋体" w:cs="Times New Roman"/>
      <w:kern w:val="0"/>
      <w:sz w:val="18"/>
      <w:szCs w:val="20"/>
    </w:rPr>
  </w:style>
  <w:style w:type="paragraph" w:customStyle="1" w:styleId="19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00">
    <w:name w:val="纯文本6"/>
    <w:basedOn w:val="1"/>
    <w:qFormat/>
    <w:uiPriority w:val="0"/>
    <w:pPr>
      <w:adjustRightInd w:val="0"/>
      <w:textAlignment w:val="baseline"/>
    </w:pPr>
    <w:rPr>
      <w:rFonts w:ascii="宋体" w:hAnsi="Times New Roman" w:eastAsia="宋体" w:cs="Times New Roman"/>
      <w:kern w:val="0"/>
      <w:sz w:val="24"/>
      <w:szCs w:val="20"/>
    </w:rPr>
  </w:style>
  <w:style w:type="paragraph" w:customStyle="1" w:styleId="201">
    <w:name w:val="样式 Plain Text + Times New Roman 黑色 首行缩进:  0.85 厘米 行距: 最小值 23 磅"/>
    <w:basedOn w:val="92"/>
    <w:qFormat/>
    <w:uiPriority w:val="0"/>
    <w:pPr>
      <w:spacing w:line="460" w:lineRule="atLeast"/>
      <w:ind w:firstLine="482"/>
    </w:pPr>
    <w:rPr>
      <w:rFonts w:ascii="Times New Roman" w:cs="宋体"/>
      <w:color w:val="000000"/>
    </w:rPr>
  </w:style>
  <w:style w:type="paragraph" w:customStyle="1" w:styleId="202">
    <w:name w:val="圆型"/>
    <w:basedOn w:val="1"/>
    <w:qFormat/>
    <w:uiPriority w:val="0"/>
    <w:pPr>
      <w:tabs>
        <w:tab w:val="left" w:pos="360"/>
      </w:tabs>
      <w:ind w:left="360" w:hanging="360"/>
      <w:jc w:val="left"/>
    </w:pPr>
    <w:rPr>
      <w:rFonts w:ascii="Arial" w:hAnsi="Arial" w:eastAsia="宋体" w:cs="Times New Roman"/>
      <w:szCs w:val="20"/>
    </w:rPr>
  </w:style>
  <w:style w:type="paragraph" w:customStyle="1" w:styleId="203">
    <w:name w:val="样式 左  9.5 字符"/>
    <w:basedOn w:val="1"/>
    <w:qFormat/>
    <w:uiPriority w:val="0"/>
    <w:pPr>
      <w:pBdr>
        <w:top w:val="single" w:color="auto" w:sz="6" w:space="1"/>
      </w:pBdr>
      <w:ind w:left="1995"/>
    </w:pPr>
    <w:rPr>
      <w:rFonts w:ascii="Times New Roman" w:hAnsi="Times New Roman" w:eastAsia="宋体" w:cs="Times New Roman"/>
      <w:szCs w:val="20"/>
    </w:rPr>
  </w:style>
  <w:style w:type="paragraph" w:customStyle="1" w:styleId="204">
    <w:name w:val="Quick A."/>
    <w:basedOn w:val="1"/>
    <w:qFormat/>
    <w:uiPriority w:val="0"/>
    <w:pPr>
      <w:tabs>
        <w:tab w:val="left" w:pos="1620"/>
      </w:tabs>
      <w:autoSpaceDE w:val="0"/>
      <w:autoSpaceDN w:val="0"/>
      <w:adjustRightInd w:val="0"/>
      <w:ind w:left="720" w:hanging="720"/>
      <w:jc w:val="left"/>
    </w:pPr>
    <w:rPr>
      <w:rFonts w:ascii="Times New Roman" w:hAnsi="Times New Roman" w:eastAsia="宋体" w:cs="Times New Roman"/>
      <w:kern w:val="0"/>
      <w:sz w:val="24"/>
      <w:szCs w:val="20"/>
    </w:rPr>
  </w:style>
  <w:style w:type="paragraph" w:customStyle="1" w:styleId="205">
    <w:name w:val="font1"/>
    <w:basedOn w:val="1"/>
    <w:qFormat/>
    <w:uiPriority w:val="0"/>
    <w:pPr>
      <w:widowControl/>
      <w:spacing w:before="100" w:beforeAutospacing="1" w:after="100" w:afterAutospacing="1"/>
      <w:jc w:val="left"/>
    </w:pPr>
    <w:rPr>
      <w:rFonts w:ascii="宋体" w:hAnsi="宋体" w:eastAsia="宋体" w:cs="Times New Roman"/>
      <w:kern w:val="0"/>
      <w:sz w:val="24"/>
      <w:szCs w:val="20"/>
    </w:rPr>
  </w:style>
  <w:style w:type="paragraph" w:customStyle="1" w:styleId="206">
    <w:name w:val="font8"/>
    <w:basedOn w:val="1"/>
    <w:qFormat/>
    <w:uiPriority w:val="0"/>
    <w:pPr>
      <w:widowControl/>
      <w:spacing w:before="100" w:beforeAutospacing="1" w:after="100" w:afterAutospacing="1"/>
      <w:jc w:val="left"/>
    </w:pPr>
    <w:rPr>
      <w:rFonts w:ascii="宋体" w:hAnsi="宋体" w:eastAsia="宋体" w:cs="Times New Roman"/>
      <w:kern w:val="0"/>
      <w:sz w:val="18"/>
      <w:szCs w:val="18"/>
    </w:rPr>
  </w:style>
  <w:style w:type="paragraph" w:customStyle="1" w:styleId="207">
    <w:name w:val="font9"/>
    <w:basedOn w:val="1"/>
    <w:qFormat/>
    <w:uiPriority w:val="0"/>
    <w:pPr>
      <w:widowControl/>
      <w:spacing w:before="100" w:beforeAutospacing="1" w:after="100" w:afterAutospacing="1"/>
      <w:jc w:val="left"/>
    </w:pPr>
    <w:rPr>
      <w:rFonts w:ascii="Times New Roman" w:hAnsi="Times New Roman" w:eastAsia="宋体" w:cs="Times New Roman"/>
      <w:color w:val="FF0000"/>
      <w:kern w:val="0"/>
      <w:sz w:val="20"/>
      <w:szCs w:val="20"/>
    </w:rPr>
  </w:style>
  <w:style w:type="paragraph" w:customStyle="1" w:styleId="208">
    <w:name w:val="font10"/>
    <w:basedOn w:val="1"/>
    <w:qFormat/>
    <w:uiPriority w:val="0"/>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209">
    <w:name w:val="font11"/>
    <w:basedOn w:val="1"/>
    <w:qFormat/>
    <w:uiPriority w:val="0"/>
    <w:pPr>
      <w:widowControl/>
      <w:spacing w:before="100" w:beforeAutospacing="1" w:after="100" w:afterAutospacing="1"/>
      <w:jc w:val="left"/>
    </w:pPr>
    <w:rPr>
      <w:rFonts w:ascii="宋体" w:hAnsi="宋体" w:eastAsia="宋体" w:cs="Times New Roman"/>
      <w:color w:val="FF0000"/>
      <w:kern w:val="0"/>
      <w:sz w:val="20"/>
      <w:szCs w:val="20"/>
    </w:rPr>
  </w:style>
  <w:style w:type="paragraph" w:customStyle="1" w:styleId="210">
    <w:name w:val="font12"/>
    <w:basedOn w:val="1"/>
    <w:qFormat/>
    <w:uiPriority w:val="0"/>
    <w:pPr>
      <w:widowControl/>
      <w:spacing w:before="100" w:beforeAutospacing="1" w:after="100" w:afterAutospacing="1"/>
      <w:jc w:val="left"/>
    </w:pPr>
    <w:rPr>
      <w:rFonts w:ascii="Times New Roman" w:hAnsi="Times New Roman" w:eastAsia="宋体" w:cs="Times New Roman"/>
      <w:color w:val="0000FF"/>
      <w:kern w:val="0"/>
      <w:sz w:val="20"/>
      <w:szCs w:val="20"/>
    </w:rPr>
  </w:style>
  <w:style w:type="paragraph" w:customStyle="1" w:styleId="211">
    <w:name w:val="font13"/>
    <w:basedOn w:val="1"/>
    <w:qFormat/>
    <w:uiPriority w:val="0"/>
    <w:pPr>
      <w:widowControl/>
      <w:spacing w:before="100" w:beforeAutospacing="1" w:after="100" w:afterAutospacing="1"/>
      <w:jc w:val="left"/>
    </w:pPr>
    <w:rPr>
      <w:rFonts w:ascii="Italic" w:hAnsi="Italic" w:eastAsia="宋体" w:cs="Times New Roman"/>
      <w:kern w:val="0"/>
      <w:sz w:val="20"/>
      <w:szCs w:val="20"/>
    </w:rPr>
  </w:style>
  <w:style w:type="paragraph" w:customStyle="1" w:styleId="212">
    <w:name w:val="font14"/>
    <w:basedOn w:val="1"/>
    <w:qFormat/>
    <w:uiPriority w:val="0"/>
    <w:pPr>
      <w:widowControl/>
      <w:spacing w:before="100" w:beforeAutospacing="1" w:after="100" w:afterAutospacing="1"/>
      <w:jc w:val="left"/>
    </w:pPr>
    <w:rPr>
      <w:rFonts w:ascii="宋体" w:hAnsi="宋体" w:eastAsia="宋体" w:cs="Times New Roman"/>
      <w:color w:val="FF0000"/>
      <w:kern w:val="0"/>
      <w:sz w:val="20"/>
      <w:szCs w:val="20"/>
    </w:rPr>
  </w:style>
  <w:style w:type="paragraph" w:customStyle="1" w:styleId="213">
    <w:name w:val="3级目录"/>
    <w:basedOn w:val="24"/>
    <w:qFormat/>
    <w:uiPriority w:val="0"/>
  </w:style>
  <w:style w:type="paragraph" w:customStyle="1" w:styleId="214">
    <w:name w:val="xl57"/>
    <w:basedOn w:val="1"/>
    <w:qFormat/>
    <w:uiPriority w:val="0"/>
    <w:pPr>
      <w:widowControl/>
      <w:pBdr>
        <w:left w:val="single" w:color="auto" w:sz="8" w:space="0"/>
        <w:bottom w:val="single" w:color="auto" w:sz="8" w:space="0"/>
      </w:pBdr>
      <w:shd w:val="clear" w:color="auto" w:fill="C0C0C0"/>
      <w:spacing w:before="100" w:beforeAutospacing="1" w:after="100" w:afterAutospacing="1"/>
      <w:jc w:val="right"/>
      <w:textAlignment w:val="center"/>
    </w:pPr>
    <w:rPr>
      <w:rFonts w:ascii="Arial Unicode MS" w:hAnsi="Arial Unicode MS" w:eastAsia="Arial Unicode MS" w:cs="Italic"/>
      <w:kern w:val="0"/>
      <w:sz w:val="20"/>
      <w:szCs w:val="20"/>
    </w:rPr>
  </w:style>
  <w:style w:type="paragraph" w:customStyle="1" w:styleId="215">
    <w:name w:val="xl58"/>
    <w:basedOn w:val="1"/>
    <w:qFormat/>
    <w:uiPriority w:val="0"/>
    <w:pPr>
      <w:widowControl/>
      <w:pBdr>
        <w:bottom w:val="single" w:color="auto" w:sz="8" w:space="0"/>
      </w:pBdr>
      <w:shd w:val="clear" w:color="auto" w:fill="C0C0C0"/>
      <w:spacing w:before="100" w:beforeAutospacing="1" w:after="100" w:afterAutospacing="1"/>
      <w:jc w:val="right"/>
      <w:textAlignment w:val="center"/>
    </w:pPr>
    <w:rPr>
      <w:rFonts w:ascii="Arial Unicode MS" w:hAnsi="Arial Unicode MS" w:eastAsia="Arial Unicode MS" w:cs="Italic"/>
      <w:kern w:val="0"/>
      <w:sz w:val="20"/>
      <w:szCs w:val="20"/>
    </w:rPr>
  </w:style>
  <w:style w:type="paragraph" w:customStyle="1" w:styleId="216">
    <w:name w:val="xl59"/>
    <w:basedOn w:val="1"/>
    <w:qFormat/>
    <w:uiPriority w:val="0"/>
    <w:pPr>
      <w:widowControl/>
      <w:pBdr>
        <w:bottom w:val="single" w:color="auto" w:sz="8" w:space="0"/>
        <w:right w:val="single" w:color="auto" w:sz="8" w:space="0"/>
      </w:pBdr>
      <w:shd w:val="clear" w:color="auto" w:fill="C0C0C0"/>
      <w:spacing w:before="100" w:beforeAutospacing="1" w:after="100" w:afterAutospacing="1"/>
      <w:jc w:val="right"/>
      <w:textAlignment w:val="center"/>
    </w:pPr>
    <w:rPr>
      <w:rFonts w:ascii="Arial Unicode MS" w:hAnsi="Arial Unicode MS" w:eastAsia="Arial Unicode MS" w:cs="Italic"/>
      <w:kern w:val="0"/>
      <w:sz w:val="20"/>
      <w:szCs w:val="20"/>
    </w:rPr>
  </w:style>
  <w:style w:type="paragraph" w:customStyle="1" w:styleId="217">
    <w:name w:val="xl60"/>
    <w:basedOn w:val="1"/>
    <w:qFormat/>
    <w:uiPriority w:val="0"/>
    <w:pPr>
      <w:widowControl/>
      <w:pBdr>
        <w:top w:val="single" w:color="auto" w:sz="8" w:space="0"/>
        <w:left w:val="single" w:color="auto" w:sz="4" w:space="0"/>
        <w:right w:val="single" w:color="auto" w:sz="4" w:space="0"/>
      </w:pBdr>
      <w:shd w:val="clear" w:color="auto" w:fill="FFFF00"/>
      <w:spacing w:before="100" w:beforeAutospacing="1" w:after="100" w:afterAutospacing="1"/>
      <w:jc w:val="center"/>
    </w:pPr>
    <w:rPr>
      <w:rFonts w:ascii="Arial Unicode MS" w:hAnsi="Arial Unicode MS" w:eastAsia="Arial Unicode MS" w:cs="Italic"/>
      <w:kern w:val="0"/>
      <w:sz w:val="20"/>
      <w:szCs w:val="20"/>
    </w:rPr>
  </w:style>
  <w:style w:type="paragraph" w:customStyle="1" w:styleId="218">
    <w:name w:val="xl61"/>
    <w:basedOn w:val="1"/>
    <w:qFormat/>
    <w:uiPriority w:val="0"/>
    <w:pPr>
      <w:widowControl/>
      <w:pBdr>
        <w:left w:val="single" w:color="auto" w:sz="4" w:space="0"/>
        <w:right w:val="single" w:color="auto" w:sz="4" w:space="0"/>
      </w:pBdr>
      <w:shd w:val="clear" w:color="auto" w:fill="FFFF00"/>
      <w:spacing w:before="100" w:beforeAutospacing="1" w:after="100" w:afterAutospacing="1"/>
      <w:jc w:val="center"/>
    </w:pPr>
    <w:rPr>
      <w:rFonts w:ascii="Arial Unicode MS" w:hAnsi="Arial Unicode MS" w:eastAsia="Arial Unicode MS" w:cs="Italic"/>
      <w:kern w:val="0"/>
      <w:sz w:val="20"/>
      <w:szCs w:val="20"/>
    </w:rPr>
  </w:style>
  <w:style w:type="paragraph" w:customStyle="1" w:styleId="219">
    <w:name w:val="xl62"/>
    <w:basedOn w:val="1"/>
    <w:qFormat/>
    <w:uiPriority w:val="0"/>
    <w:pPr>
      <w:widowControl/>
      <w:pBdr>
        <w:top w:val="single" w:color="auto" w:sz="8" w:space="0"/>
        <w:left w:val="single" w:color="auto" w:sz="4" w:space="0"/>
        <w:right w:val="single" w:color="auto" w:sz="8" w:space="0"/>
      </w:pBdr>
      <w:shd w:val="clear" w:color="auto" w:fill="FFFF00"/>
      <w:spacing w:before="100" w:beforeAutospacing="1" w:after="100" w:afterAutospacing="1"/>
      <w:jc w:val="center"/>
    </w:pPr>
    <w:rPr>
      <w:rFonts w:ascii="Arial Unicode MS" w:hAnsi="Arial Unicode MS" w:eastAsia="Arial Unicode MS" w:cs="Italic"/>
      <w:kern w:val="0"/>
      <w:sz w:val="20"/>
      <w:szCs w:val="20"/>
    </w:rPr>
  </w:style>
  <w:style w:type="paragraph" w:customStyle="1" w:styleId="220">
    <w:name w:val="xl63"/>
    <w:basedOn w:val="1"/>
    <w:qFormat/>
    <w:uiPriority w:val="0"/>
    <w:pPr>
      <w:widowControl/>
      <w:pBdr>
        <w:left w:val="single" w:color="auto" w:sz="4" w:space="0"/>
        <w:right w:val="single" w:color="auto" w:sz="8" w:space="0"/>
      </w:pBdr>
      <w:shd w:val="clear" w:color="auto" w:fill="FFFF00"/>
      <w:spacing w:before="100" w:beforeAutospacing="1" w:after="100" w:afterAutospacing="1"/>
      <w:jc w:val="center"/>
    </w:pPr>
    <w:rPr>
      <w:rFonts w:ascii="Arial Unicode MS" w:hAnsi="Arial Unicode MS" w:eastAsia="Arial Unicode MS" w:cs="Italic"/>
      <w:kern w:val="0"/>
      <w:sz w:val="20"/>
      <w:szCs w:val="20"/>
    </w:rPr>
  </w:style>
  <w:style w:type="paragraph" w:customStyle="1" w:styleId="221">
    <w:name w:val="xl64"/>
    <w:basedOn w:val="1"/>
    <w:qFormat/>
    <w:uiPriority w:val="0"/>
    <w:pPr>
      <w:widowControl/>
      <w:pBdr>
        <w:left w:val="single" w:color="auto" w:sz="8" w:space="0"/>
      </w:pBdr>
      <w:shd w:val="clear" w:color="auto" w:fill="C0C0C0"/>
      <w:spacing w:before="100" w:beforeAutospacing="1" w:after="100" w:afterAutospacing="1"/>
      <w:jc w:val="right"/>
      <w:textAlignment w:val="center"/>
    </w:pPr>
    <w:rPr>
      <w:rFonts w:ascii="Arial Unicode MS" w:hAnsi="Arial Unicode MS" w:eastAsia="Arial Unicode MS" w:cs="Italic"/>
      <w:kern w:val="0"/>
      <w:sz w:val="20"/>
      <w:szCs w:val="20"/>
    </w:rPr>
  </w:style>
  <w:style w:type="paragraph" w:customStyle="1" w:styleId="222">
    <w:name w:val="xl65"/>
    <w:basedOn w:val="1"/>
    <w:qFormat/>
    <w:uiPriority w:val="0"/>
    <w:pPr>
      <w:widowControl/>
      <w:shd w:val="clear" w:color="auto" w:fill="C0C0C0"/>
      <w:spacing w:before="100" w:beforeAutospacing="1" w:after="100" w:afterAutospacing="1"/>
      <w:jc w:val="right"/>
      <w:textAlignment w:val="center"/>
    </w:pPr>
    <w:rPr>
      <w:rFonts w:ascii="Arial Unicode MS" w:hAnsi="Arial Unicode MS" w:eastAsia="Arial Unicode MS" w:cs="Italic"/>
      <w:kern w:val="0"/>
      <w:sz w:val="20"/>
      <w:szCs w:val="20"/>
    </w:rPr>
  </w:style>
  <w:style w:type="paragraph" w:customStyle="1" w:styleId="223">
    <w:name w:val="xl66"/>
    <w:basedOn w:val="1"/>
    <w:qFormat/>
    <w:uiPriority w:val="0"/>
    <w:pPr>
      <w:widowControl/>
      <w:pBdr>
        <w:right w:val="single" w:color="auto" w:sz="8" w:space="0"/>
      </w:pBdr>
      <w:shd w:val="clear" w:color="auto" w:fill="C0C0C0"/>
      <w:spacing w:before="100" w:beforeAutospacing="1" w:after="100" w:afterAutospacing="1"/>
      <w:jc w:val="right"/>
      <w:textAlignment w:val="center"/>
    </w:pPr>
    <w:rPr>
      <w:rFonts w:ascii="Arial Unicode MS" w:hAnsi="Arial Unicode MS" w:eastAsia="Arial Unicode MS" w:cs="Italic"/>
      <w:kern w:val="0"/>
      <w:sz w:val="20"/>
      <w:szCs w:val="20"/>
    </w:rPr>
  </w:style>
  <w:style w:type="paragraph" w:customStyle="1" w:styleId="224">
    <w:name w:val="xl67"/>
    <w:basedOn w:val="1"/>
    <w:qFormat/>
    <w:uiPriority w:val="0"/>
    <w:pPr>
      <w:widowControl/>
      <w:pBdr>
        <w:left w:val="single" w:color="auto" w:sz="8" w:space="0"/>
      </w:pBdr>
      <w:shd w:val="clear" w:color="auto" w:fill="C0C0C0"/>
      <w:spacing w:before="100" w:beforeAutospacing="1" w:after="100" w:afterAutospacing="1"/>
      <w:jc w:val="left"/>
      <w:textAlignment w:val="center"/>
    </w:pPr>
    <w:rPr>
      <w:rFonts w:ascii="Arial Unicode MS" w:hAnsi="Arial Unicode MS" w:eastAsia="Arial Unicode MS" w:cs="Italic"/>
      <w:kern w:val="0"/>
      <w:sz w:val="20"/>
      <w:szCs w:val="20"/>
    </w:rPr>
  </w:style>
  <w:style w:type="paragraph" w:customStyle="1" w:styleId="225">
    <w:name w:val="xl68"/>
    <w:basedOn w:val="1"/>
    <w:qFormat/>
    <w:uiPriority w:val="0"/>
    <w:pPr>
      <w:widowControl/>
      <w:pBdr>
        <w:bottom w:val="single" w:color="auto" w:sz="8" w:space="0"/>
      </w:pBdr>
      <w:spacing w:before="100" w:beforeAutospacing="1" w:after="100" w:afterAutospacing="1"/>
      <w:jc w:val="left"/>
      <w:textAlignment w:val="center"/>
    </w:pPr>
    <w:rPr>
      <w:rFonts w:ascii="Arial Unicode MS" w:hAnsi="Arial Unicode MS" w:eastAsia="Arial Unicode MS" w:cs="Italic"/>
      <w:kern w:val="0"/>
      <w:sz w:val="20"/>
      <w:szCs w:val="20"/>
    </w:rPr>
  </w:style>
  <w:style w:type="paragraph" w:customStyle="1" w:styleId="226">
    <w:name w:val="xl69"/>
    <w:basedOn w:val="1"/>
    <w:qFormat/>
    <w:uiPriority w:val="0"/>
    <w:pPr>
      <w:widowControl/>
      <w:pBdr>
        <w:bottom w:val="single" w:color="auto" w:sz="8" w:space="0"/>
      </w:pBdr>
      <w:spacing w:before="100" w:beforeAutospacing="1" w:after="100" w:afterAutospacing="1"/>
      <w:jc w:val="right"/>
      <w:textAlignment w:val="center"/>
    </w:pPr>
    <w:rPr>
      <w:rFonts w:ascii="Arial Unicode MS" w:hAnsi="Arial Unicode MS" w:eastAsia="Arial Unicode MS" w:cs="Italic"/>
      <w:kern w:val="0"/>
      <w:sz w:val="20"/>
      <w:szCs w:val="20"/>
    </w:rPr>
  </w:style>
  <w:style w:type="paragraph" w:customStyle="1" w:styleId="227">
    <w:name w:val="xl70"/>
    <w:basedOn w:val="1"/>
    <w:qFormat/>
    <w:uiPriority w:val="0"/>
    <w:pPr>
      <w:widowControl/>
      <w:pBdr>
        <w:top w:val="single" w:color="auto" w:sz="8" w:space="0"/>
        <w:left w:val="single" w:color="auto" w:sz="8" w:space="0"/>
        <w:right w:val="single" w:color="auto" w:sz="4" w:space="0"/>
      </w:pBdr>
      <w:shd w:val="clear" w:color="auto" w:fill="FFFF00"/>
      <w:spacing w:before="100" w:beforeAutospacing="1" w:after="100" w:afterAutospacing="1"/>
      <w:jc w:val="center"/>
    </w:pPr>
    <w:rPr>
      <w:rFonts w:ascii="Arial Unicode MS" w:hAnsi="Arial Unicode MS" w:eastAsia="Arial Unicode MS" w:cs="Italic"/>
      <w:kern w:val="0"/>
      <w:sz w:val="20"/>
      <w:szCs w:val="20"/>
    </w:rPr>
  </w:style>
  <w:style w:type="paragraph" w:customStyle="1" w:styleId="228">
    <w:name w:val="xl71"/>
    <w:basedOn w:val="1"/>
    <w:qFormat/>
    <w:uiPriority w:val="0"/>
    <w:pPr>
      <w:widowControl/>
      <w:pBdr>
        <w:left w:val="single" w:color="auto" w:sz="8" w:space="0"/>
        <w:right w:val="single" w:color="auto" w:sz="4" w:space="0"/>
      </w:pBdr>
      <w:shd w:val="clear" w:color="auto" w:fill="FFFF00"/>
      <w:spacing w:before="100" w:beforeAutospacing="1" w:after="100" w:afterAutospacing="1"/>
      <w:jc w:val="center"/>
    </w:pPr>
    <w:rPr>
      <w:rFonts w:ascii="Arial Unicode MS" w:hAnsi="Arial Unicode MS" w:eastAsia="Arial Unicode MS" w:cs="Italic"/>
      <w:kern w:val="0"/>
      <w:sz w:val="20"/>
      <w:szCs w:val="20"/>
    </w:rPr>
  </w:style>
  <w:style w:type="paragraph" w:customStyle="1" w:styleId="229">
    <w:name w:val="xl72"/>
    <w:basedOn w:val="1"/>
    <w:qFormat/>
    <w:uiPriority w:val="0"/>
    <w:pPr>
      <w:widowControl/>
      <w:pBdr>
        <w:top w:val="single" w:color="auto" w:sz="8" w:space="0"/>
        <w:left w:val="single" w:color="auto" w:sz="4" w:space="0"/>
        <w:right w:val="single" w:color="auto" w:sz="4" w:space="0"/>
      </w:pBdr>
      <w:shd w:val="clear" w:color="auto" w:fill="FFFF00"/>
      <w:spacing w:before="100" w:beforeAutospacing="1" w:after="100" w:afterAutospacing="1"/>
      <w:jc w:val="left"/>
    </w:pPr>
    <w:rPr>
      <w:rFonts w:ascii="Arial Unicode MS" w:hAnsi="Arial Unicode MS" w:eastAsia="Arial Unicode MS" w:cs="Italic"/>
      <w:kern w:val="0"/>
      <w:sz w:val="20"/>
      <w:szCs w:val="20"/>
    </w:rPr>
  </w:style>
  <w:style w:type="paragraph" w:customStyle="1" w:styleId="230">
    <w:name w:val="xl73"/>
    <w:basedOn w:val="1"/>
    <w:qFormat/>
    <w:uiPriority w:val="0"/>
    <w:pPr>
      <w:widowControl/>
      <w:pBdr>
        <w:top w:val="single" w:color="auto" w:sz="8" w:space="0"/>
        <w:left w:val="single" w:color="auto" w:sz="8" w:space="0"/>
        <w:bottom w:val="single" w:color="auto" w:sz="4" w:space="0"/>
        <w:right w:val="single" w:color="auto" w:sz="4" w:space="0"/>
      </w:pBdr>
      <w:shd w:val="clear" w:color="auto" w:fill="FFFF00"/>
      <w:spacing w:before="100" w:beforeAutospacing="1" w:after="100" w:afterAutospacing="1"/>
      <w:jc w:val="center"/>
    </w:pPr>
    <w:rPr>
      <w:rFonts w:ascii="宋体" w:hAnsi="宋体" w:eastAsia="宋体" w:cs="Times New Roman"/>
      <w:kern w:val="0"/>
      <w:sz w:val="20"/>
      <w:szCs w:val="20"/>
    </w:rPr>
  </w:style>
  <w:style w:type="paragraph" w:customStyle="1" w:styleId="231">
    <w:name w:val="xl74"/>
    <w:basedOn w:val="1"/>
    <w:qFormat/>
    <w:uiPriority w:val="0"/>
    <w:pPr>
      <w:widowControl/>
      <w:pBdr>
        <w:top w:val="single" w:color="auto" w:sz="4" w:space="0"/>
        <w:left w:val="single" w:color="auto" w:sz="8" w:space="0"/>
        <w:right w:val="single" w:color="auto" w:sz="4" w:space="0"/>
      </w:pBdr>
      <w:shd w:val="clear" w:color="auto" w:fill="FFFF00"/>
      <w:spacing w:before="100" w:beforeAutospacing="1" w:after="100" w:afterAutospacing="1"/>
      <w:jc w:val="center"/>
    </w:pPr>
    <w:rPr>
      <w:rFonts w:ascii="宋体" w:hAnsi="宋体" w:eastAsia="宋体" w:cs="Times New Roman"/>
      <w:kern w:val="0"/>
      <w:sz w:val="20"/>
      <w:szCs w:val="20"/>
    </w:rPr>
  </w:style>
  <w:style w:type="paragraph" w:customStyle="1" w:styleId="232">
    <w:name w:val="xl75"/>
    <w:basedOn w:val="1"/>
    <w:qFormat/>
    <w:uiPriority w:val="0"/>
    <w:pPr>
      <w:widowControl/>
      <w:pBdr>
        <w:top w:val="single" w:color="auto" w:sz="8" w:space="0"/>
        <w:left w:val="single" w:color="auto" w:sz="4" w:space="0"/>
        <w:bottom w:val="single" w:color="auto" w:sz="4" w:space="0"/>
        <w:right w:val="single" w:color="auto" w:sz="4" w:space="0"/>
      </w:pBdr>
      <w:shd w:val="clear" w:color="auto" w:fill="FFFF00"/>
      <w:spacing w:before="100" w:beforeAutospacing="1" w:after="100" w:afterAutospacing="1"/>
      <w:jc w:val="left"/>
    </w:pPr>
    <w:rPr>
      <w:rFonts w:ascii="宋体" w:hAnsi="宋体" w:eastAsia="宋体" w:cs="Times New Roman"/>
      <w:kern w:val="0"/>
      <w:sz w:val="20"/>
      <w:szCs w:val="20"/>
    </w:rPr>
  </w:style>
  <w:style w:type="paragraph" w:customStyle="1" w:styleId="233">
    <w:name w:val="xl76"/>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234">
    <w:name w:val="xl77"/>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235">
    <w:name w:val="xl78"/>
    <w:basedOn w:val="1"/>
    <w:qFormat/>
    <w:uiPriority w:val="0"/>
    <w:pPr>
      <w:widowControl/>
      <w:pBdr>
        <w:top w:val="single" w:color="auto" w:sz="4" w:space="0"/>
        <w:left w:val="single" w:color="auto" w:sz="8" w:space="0"/>
        <w:bottom w:val="single" w:color="auto" w:sz="8"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236">
    <w:name w:val="xl79"/>
    <w:basedOn w:val="1"/>
    <w:qFormat/>
    <w:uiPriority w:val="0"/>
    <w:pPr>
      <w:widowControl/>
      <w:pBdr>
        <w:top w:val="single" w:color="auto" w:sz="4" w:space="0"/>
        <w:bottom w:val="single" w:color="auto" w:sz="8"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237">
    <w:name w:val="xl80"/>
    <w:basedOn w:val="1"/>
    <w:qFormat/>
    <w:uiPriority w:val="0"/>
    <w:pPr>
      <w:widowControl/>
      <w:pBdr>
        <w:top w:val="single" w:color="auto" w:sz="4" w:space="0"/>
        <w:bottom w:val="single" w:color="auto" w:sz="8" w:space="0"/>
        <w:right w:val="single" w:color="auto" w:sz="8" w:space="0"/>
      </w:pBdr>
      <w:spacing w:before="100" w:beforeAutospacing="1" w:after="100" w:afterAutospacing="1"/>
      <w:jc w:val="left"/>
      <w:textAlignment w:val="center"/>
    </w:pPr>
    <w:rPr>
      <w:rFonts w:ascii="Arial Unicode MS" w:hAnsi="Arial Unicode MS" w:eastAsia="宋体" w:cs="Times New Roman"/>
      <w:kern w:val="0"/>
      <w:sz w:val="20"/>
      <w:szCs w:val="20"/>
    </w:rPr>
  </w:style>
  <w:style w:type="paragraph" w:customStyle="1" w:styleId="238">
    <w:name w:val="xl8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宋体" w:cs="Times New Roman"/>
      <w:kern w:val="0"/>
      <w:sz w:val="20"/>
      <w:szCs w:val="20"/>
    </w:rPr>
  </w:style>
  <w:style w:type="paragraph" w:customStyle="1" w:styleId="239">
    <w:name w:val="xl82"/>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宋体" w:cs="Times New Roman"/>
      <w:kern w:val="0"/>
      <w:sz w:val="20"/>
      <w:szCs w:val="20"/>
    </w:rPr>
  </w:style>
  <w:style w:type="paragraph" w:customStyle="1" w:styleId="240">
    <w:name w:val="xl83"/>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宋体" w:cs="Times New Roman"/>
      <w:kern w:val="0"/>
      <w:sz w:val="20"/>
      <w:szCs w:val="20"/>
    </w:rPr>
  </w:style>
  <w:style w:type="paragraph" w:customStyle="1" w:styleId="241">
    <w:name w:val="样式 Plain Text + Times New Roman 加粗 黑色 行距: 固定值 23 磅"/>
    <w:basedOn w:val="92"/>
    <w:qFormat/>
    <w:uiPriority w:val="0"/>
    <w:pPr>
      <w:spacing w:before="120" w:after="120" w:line="460" w:lineRule="exact"/>
    </w:pPr>
    <w:rPr>
      <w:rFonts w:ascii="Times New Roman" w:cs="宋体"/>
      <w:b/>
      <w:bCs/>
      <w:color w:val="000000"/>
    </w:rPr>
  </w:style>
  <w:style w:type="paragraph" w:customStyle="1" w:styleId="242">
    <w:name w:val="样式 样式 Plain Text + Times New Roman 加粗 黑色 行距: 固定值 23 磅 + 行距: 1.5 ..."/>
    <w:basedOn w:val="241"/>
    <w:qFormat/>
    <w:uiPriority w:val="0"/>
    <w:pPr>
      <w:spacing w:before="0" w:after="0" w:line="360" w:lineRule="auto"/>
    </w:pPr>
  </w:style>
  <w:style w:type="paragraph" w:customStyle="1" w:styleId="243">
    <w:name w:val="样式 Plain Text + (西文) Times New Roman (中文) 黑体 加粗 黑色"/>
    <w:basedOn w:val="92"/>
    <w:qFormat/>
    <w:uiPriority w:val="0"/>
    <w:pPr>
      <w:spacing w:before="480" w:after="480"/>
    </w:pPr>
    <w:rPr>
      <w:rFonts w:ascii="Times New Roman" w:eastAsia="黑体"/>
      <w:b/>
      <w:bCs/>
      <w:color w:val="000000"/>
    </w:rPr>
  </w:style>
  <w:style w:type="paragraph" w:customStyle="1" w:styleId="244">
    <w:name w:val="样式 Plain Text + (西文) Times New Roman (中文) 黑体 加粗 黑色1"/>
    <w:basedOn w:val="92"/>
    <w:qFormat/>
    <w:uiPriority w:val="0"/>
    <w:pPr>
      <w:spacing w:before="240" w:after="240"/>
    </w:pPr>
    <w:rPr>
      <w:rFonts w:ascii="Times New Roman" w:eastAsia="黑体"/>
      <w:b/>
      <w:bCs/>
      <w:color w:val="000000"/>
    </w:rPr>
  </w:style>
  <w:style w:type="paragraph" w:customStyle="1" w:styleId="245">
    <w:name w:val="样式 样式 Plain Text + Times New Roman 加粗 黑色 行距: 固定值 23 磅 + 行距: 最小值 ..."/>
    <w:basedOn w:val="241"/>
    <w:next w:val="106"/>
    <w:qFormat/>
    <w:uiPriority w:val="0"/>
    <w:pPr>
      <w:spacing w:line="0" w:lineRule="atLeast"/>
    </w:pPr>
  </w:style>
  <w:style w:type="character" w:customStyle="1" w:styleId="246">
    <w:name w:val="样式 宋体 小四 加粗"/>
    <w:basedOn w:val="101"/>
    <w:qFormat/>
    <w:uiPriority w:val="0"/>
    <w:rPr>
      <w:rFonts w:ascii="宋体" w:hAnsi="宋体" w:eastAsia="宋体"/>
    </w:rPr>
  </w:style>
  <w:style w:type="paragraph" w:customStyle="1" w:styleId="247">
    <w:name w:val="样式 小四 加粗"/>
    <w:basedOn w:val="243"/>
    <w:next w:val="106"/>
    <w:qFormat/>
    <w:uiPriority w:val="0"/>
    <w:rPr>
      <w:szCs w:val="24"/>
    </w:rPr>
  </w:style>
  <w:style w:type="paragraph" w:customStyle="1" w:styleId="248">
    <w:name w:val="样式 Plain Text + Times New Roman 小一 加粗 黑色 居中 行距: 1.5 倍行距"/>
    <w:basedOn w:val="4"/>
    <w:qFormat/>
    <w:uiPriority w:val="0"/>
    <w:pPr>
      <w:keepNext w:val="0"/>
      <w:widowControl w:val="0"/>
      <w:overflowPunct/>
      <w:autoSpaceDE/>
      <w:autoSpaceDN/>
      <w:spacing w:before="0" w:after="0"/>
      <w:jc w:val="center"/>
    </w:pPr>
    <w:rPr>
      <w:rFonts w:ascii="Times New Roman" w:eastAsia="宋体" w:cs="宋体"/>
      <w:bCs/>
      <w:color w:val="000000"/>
      <w:kern w:val="44"/>
      <w:sz w:val="48"/>
    </w:rPr>
  </w:style>
  <w:style w:type="paragraph" w:customStyle="1" w:styleId="249">
    <w:name w:val="Char Char Char Char Char Char Char Char Char Char Char Char Char Char Char Char Char Char Char Char Char Char Char Char1 Char"/>
    <w:basedOn w:val="1"/>
    <w:qFormat/>
    <w:uiPriority w:val="0"/>
    <w:rPr>
      <w:rFonts w:ascii="Tahoma" w:hAnsi="Tahoma" w:eastAsia="宋体" w:cs="Times New Roman"/>
      <w:sz w:val="24"/>
      <w:szCs w:val="20"/>
    </w:rPr>
  </w:style>
  <w:style w:type="paragraph" w:customStyle="1" w:styleId="250">
    <w:name w:val="目录文字"/>
    <w:basedOn w:val="1"/>
    <w:qFormat/>
    <w:uiPriority w:val="0"/>
    <w:pPr>
      <w:widowControl/>
      <w:spacing w:line="480" w:lineRule="auto"/>
      <w:jc w:val="left"/>
    </w:pPr>
    <w:rPr>
      <w:rFonts w:ascii="宋体" w:hAnsi="宋体" w:eastAsia="宋体" w:cs="Times New Roman"/>
      <w:kern w:val="0"/>
      <w:sz w:val="24"/>
      <w:szCs w:val="20"/>
    </w:rPr>
  </w:style>
  <w:style w:type="paragraph" w:customStyle="1" w:styleId="251">
    <w:name w:val="正文样式 宋体 小四 行距: 固定值 24 磅"/>
    <w:basedOn w:val="1"/>
    <w:qFormat/>
    <w:uiPriority w:val="0"/>
    <w:pPr>
      <w:spacing w:line="520" w:lineRule="exact"/>
      <w:ind w:firstLine="200" w:firstLineChars="200"/>
      <w:jc w:val="left"/>
    </w:pPr>
    <w:rPr>
      <w:rFonts w:ascii="宋体" w:hAnsi="宋体" w:eastAsia="宋体" w:cs="宋体"/>
      <w:sz w:val="24"/>
      <w:szCs w:val="20"/>
    </w:rPr>
  </w:style>
  <w:style w:type="paragraph" w:customStyle="1" w:styleId="252">
    <w:name w:val="样式 小四 黑色 行距: 固定值 24 磅"/>
    <w:basedOn w:val="1"/>
    <w:qFormat/>
    <w:uiPriority w:val="0"/>
    <w:pPr>
      <w:spacing w:before="120" w:after="120" w:line="480" w:lineRule="exact"/>
      <w:ind w:firstLine="200" w:firstLineChars="200"/>
    </w:pPr>
    <w:rPr>
      <w:rFonts w:ascii="Times New Roman" w:hAnsi="Times New Roman" w:eastAsia="宋体" w:cs="宋体"/>
      <w:color w:val="000000"/>
      <w:position w:val="16"/>
      <w:sz w:val="24"/>
      <w:szCs w:val="20"/>
    </w:rPr>
  </w:style>
  <w:style w:type="paragraph" w:customStyle="1" w:styleId="253">
    <w:name w:val="样式 样式 小四 黑色 行距: 固定值 24 磅 + 首行缩进:  2 字符"/>
    <w:basedOn w:val="252"/>
    <w:qFormat/>
    <w:uiPriority w:val="0"/>
    <w:pPr>
      <w:spacing w:before="0" w:after="0"/>
    </w:pPr>
  </w:style>
  <w:style w:type="paragraph" w:customStyle="1" w:styleId="254">
    <w:name w:val="样式 3级目录 + 左侧:  1 字符"/>
    <w:basedOn w:val="213"/>
    <w:qFormat/>
    <w:uiPriority w:val="0"/>
  </w:style>
  <w:style w:type="paragraph" w:customStyle="1" w:styleId="255">
    <w:name w:val="1级目录"/>
    <w:basedOn w:val="32"/>
    <w:qFormat/>
    <w:uiPriority w:val="0"/>
    <w:pPr>
      <w:tabs>
        <w:tab w:val="left" w:pos="0"/>
        <w:tab w:val="right" w:leader="dot" w:pos="9100"/>
        <w:tab w:val="clear" w:pos="9450"/>
        <w:tab w:val="clear" w:pos="9540"/>
      </w:tabs>
      <w:jc w:val="center"/>
    </w:pPr>
    <w:rPr>
      <w:rFonts w:ascii="Times New Roman" w:cs="宋体"/>
      <w:bCs w:val="0"/>
      <w:caps w:val="0"/>
      <w:sz w:val="36"/>
    </w:rPr>
  </w:style>
  <w:style w:type="paragraph" w:customStyle="1" w:styleId="256">
    <w:name w:val="2"/>
    <w:basedOn w:val="1"/>
    <w:next w:val="21"/>
    <w:qFormat/>
    <w:uiPriority w:val="0"/>
    <w:pPr>
      <w:ind w:firstLine="560" w:firstLineChars="200"/>
    </w:pPr>
    <w:rPr>
      <w:rFonts w:ascii="Times New Roman" w:hAnsi="Times New Roman" w:eastAsia="宋体" w:cs="Times New Roman"/>
      <w:sz w:val="28"/>
      <w:szCs w:val="24"/>
    </w:rPr>
  </w:style>
  <w:style w:type="paragraph" w:customStyle="1" w:styleId="257">
    <w:name w:val="表内文字"/>
    <w:basedOn w:val="1"/>
    <w:qFormat/>
    <w:uiPriority w:val="0"/>
    <w:pPr>
      <w:adjustRightInd w:val="0"/>
      <w:snapToGrid w:val="0"/>
      <w:spacing w:beforeLines="30" w:afterLines="30"/>
      <w:jc w:val="center"/>
    </w:pPr>
    <w:rPr>
      <w:rFonts w:ascii="Times New Roman" w:hAnsi="Times New Roman" w:eastAsia="宋体" w:cs="Times New Roman"/>
      <w:szCs w:val="24"/>
    </w:rPr>
  </w:style>
  <w:style w:type="paragraph" w:customStyle="1" w:styleId="258">
    <w:name w:val="样式 段 + 首行缩进:  2 字符"/>
    <w:basedOn w:val="1"/>
    <w:qFormat/>
    <w:uiPriority w:val="0"/>
    <w:pPr>
      <w:widowControl/>
      <w:tabs>
        <w:tab w:val="left" w:pos="315"/>
      </w:tabs>
      <w:jc w:val="center"/>
    </w:pPr>
    <w:rPr>
      <w:rFonts w:ascii="宋体" w:hAnsi="宋体" w:eastAsia="宋体" w:cs="宋体"/>
      <w:b/>
      <w:kern w:val="0"/>
      <w:sz w:val="32"/>
      <w:szCs w:val="20"/>
    </w:rPr>
  </w:style>
  <w:style w:type="paragraph" w:customStyle="1" w:styleId="259">
    <w:name w:val="样式 正文首行缩进 2 + 首行缩进:  2 字符1"/>
    <w:basedOn w:val="44"/>
    <w:qFormat/>
    <w:uiPriority w:val="0"/>
    <w:pPr>
      <w:spacing w:after="0" w:line="360" w:lineRule="auto"/>
      <w:ind w:left="0" w:leftChars="0" w:firstLine="200"/>
    </w:pPr>
    <w:rPr>
      <w:rFonts w:cs="宋体"/>
      <w:position w:val="0"/>
      <w:sz w:val="24"/>
    </w:rPr>
  </w:style>
  <w:style w:type="paragraph" w:customStyle="1" w:styleId="260">
    <w:name w:val="五级条标题"/>
    <w:basedOn w:val="121"/>
    <w:next w:val="117"/>
    <w:qFormat/>
    <w:uiPriority w:val="0"/>
    <w:pPr>
      <w:numPr>
        <w:ilvl w:val="0"/>
        <w:numId w:val="0"/>
      </w:numPr>
      <w:tabs>
        <w:tab w:val="left" w:pos="1407"/>
        <w:tab w:val="clear" w:pos="1155"/>
      </w:tabs>
      <w:ind w:left="2940" w:hanging="420"/>
      <w:outlineLvl w:val="6"/>
    </w:pPr>
  </w:style>
  <w:style w:type="paragraph" w:customStyle="1" w:styleId="261">
    <w:name w:val="日期1"/>
    <w:basedOn w:val="1"/>
    <w:next w:val="1"/>
    <w:qFormat/>
    <w:uiPriority w:val="0"/>
    <w:pPr>
      <w:adjustRightInd w:val="0"/>
      <w:textAlignment w:val="baseline"/>
    </w:pPr>
    <w:rPr>
      <w:rFonts w:ascii="宋体" w:hAnsi="Times New Roman" w:eastAsia="宋体" w:cs="Times New Roman"/>
      <w:kern w:val="0"/>
      <w:sz w:val="30"/>
      <w:szCs w:val="20"/>
    </w:rPr>
  </w:style>
  <w:style w:type="paragraph" w:customStyle="1" w:styleId="262">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6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6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6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66">
    <w:name w:val="标准书眉_偶数页"/>
    <w:basedOn w:val="265"/>
    <w:next w:val="1"/>
    <w:qFormat/>
    <w:uiPriority w:val="0"/>
    <w:pPr>
      <w:jc w:val="left"/>
    </w:pPr>
  </w:style>
  <w:style w:type="paragraph" w:customStyle="1" w:styleId="267">
    <w:name w:val="标准书眉一"/>
    <w:qFormat/>
    <w:uiPriority w:val="0"/>
    <w:pPr>
      <w:jc w:val="both"/>
    </w:pPr>
    <w:rPr>
      <w:rFonts w:ascii="Times New Roman" w:hAnsi="Times New Roman" w:eastAsia="宋体" w:cs="Times New Roman"/>
      <w:lang w:val="en-US" w:eastAsia="zh-CN" w:bidi="ar-SA"/>
    </w:rPr>
  </w:style>
  <w:style w:type="paragraph" w:customStyle="1" w:styleId="268">
    <w:name w:val="名称"/>
    <w:basedOn w:val="1"/>
    <w:next w:val="117"/>
    <w:qFormat/>
    <w:uiPriority w:val="0"/>
    <w:pPr>
      <w:widowControl/>
      <w:shd w:val="clear" w:color="FFFFFF" w:fill="FFFFFF"/>
      <w:spacing w:line="460" w:lineRule="exact"/>
      <w:jc w:val="center"/>
      <w:outlineLvl w:val="0"/>
    </w:pPr>
    <w:rPr>
      <w:rFonts w:ascii="黑体" w:hAnsi="宋体" w:eastAsia="黑体" w:cs="Times New Roman"/>
      <w:kern w:val="0"/>
      <w:sz w:val="32"/>
      <w:szCs w:val="20"/>
    </w:rPr>
  </w:style>
  <w:style w:type="paragraph" w:customStyle="1" w:styleId="269">
    <w:name w:val="xl1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宋体" w:cs="Times New Roman"/>
      <w:kern w:val="0"/>
      <w:sz w:val="24"/>
      <w:szCs w:val="24"/>
    </w:rPr>
  </w:style>
  <w:style w:type="paragraph" w:customStyle="1" w:styleId="270">
    <w:name w:val="样式 标题 3 + (中文) 黑体 小四 非加粗 段前: 7.8 磅 段后: 0 磅 行距: 固定值 20 磅"/>
    <w:basedOn w:val="7"/>
    <w:qFormat/>
    <w:uiPriority w:val="0"/>
    <w:pPr>
      <w:spacing w:before="0" w:after="0" w:line="400" w:lineRule="exact"/>
    </w:pPr>
    <w:rPr>
      <w:rFonts w:eastAsia="黑体" w:cs="宋体"/>
      <w:b w:val="0"/>
      <w:sz w:val="24"/>
    </w:rPr>
  </w:style>
  <w:style w:type="paragraph" w:customStyle="1" w:styleId="271">
    <w:name w:val="纯文本3"/>
    <w:basedOn w:val="1"/>
    <w:qFormat/>
    <w:uiPriority w:val="0"/>
    <w:pPr>
      <w:adjustRightInd w:val="0"/>
      <w:textAlignment w:val="baseline"/>
    </w:pPr>
    <w:rPr>
      <w:rFonts w:ascii="宋体" w:hAnsi="Times New Roman" w:eastAsia="宋体" w:cs="Times New Roman"/>
      <w:kern w:val="0"/>
      <w:sz w:val="24"/>
      <w:szCs w:val="20"/>
    </w:rPr>
  </w:style>
  <w:style w:type="paragraph" w:customStyle="1" w:styleId="272">
    <w:name w:val="纯文本4"/>
    <w:basedOn w:val="1"/>
    <w:qFormat/>
    <w:uiPriority w:val="0"/>
    <w:pPr>
      <w:autoSpaceDE w:val="0"/>
      <w:autoSpaceDN w:val="0"/>
      <w:adjustRightInd w:val="0"/>
      <w:spacing w:line="360" w:lineRule="auto"/>
      <w:ind w:firstLine="200" w:firstLineChars="200"/>
    </w:pPr>
    <w:rPr>
      <w:rFonts w:ascii="宋体" w:hAnsi="Times New Roman" w:eastAsia="宋体" w:cs="Times New Roman"/>
      <w:kern w:val="0"/>
      <w:szCs w:val="20"/>
    </w:rPr>
  </w:style>
  <w:style w:type="paragraph" w:customStyle="1" w:styleId="273">
    <w:name w:val="Char3"/>
    <w:basedOn w:val="1"/>
    <w:qFormat/>
    <w:uiPriority w:val="0"/>
    <w:rPr>
      <w:rFonts w:ascii="Times New Roman" w:hAnsi="Times New Roman" w:eastAsia="宋体" w:cs="Times New Roman"/>
      <w:szCs w:val="24"/>
    </w:rPr>
  </w:style>
  <w:style w:type="character" w:customStyle="1" w:styleId="274">
    <w:name w:val="im-content1"/>
    <w:basedOn w:val="47"/>
    <w:qFormat/>
    <w:uiPriority w:val="0"/>
    <w:rPr>
      <w:color w:val="333333"/>
    </w:rPr>
  </w:style>
  <w:style w:type="paragraph" w:customStyle="1" w:styleId="275">
    <w:name w:val="xl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Times New Roman" w:hAnsi="Times New Roman" w:eastAsia="宋体" w:cs="Times New Roman"/>
      <w:color w:val="000000"/>
      <w:kern w:val="0"/>
      <w:sz w:val="24"/>
      <w:szCs w:val="24"/>
    </w:rPr>
  </w:style>
  <w:style w:type="paragraph" w:customStyle="1" w:styleId="276">
    <w:name w:val="xl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宋体" w:hAnsi="宋体" w:eastAsia="宋体" w:cs="宋体"/>
      <w:kern w:val="0"/>
      <w:sz w:val="24"/>
      <w:szCs w:val="24"/>
    </w:rPr>
  </w:style>
  <w:style w:type="paragraph" w:customStyle="1" w:styleId="277">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textAlignment w:val="center"/>
    </w:pPr>
    <w:rPr>
      <w:rFonts w:ascii="Times New Roman" w:hAnsi="Times New Roman" w:eastAsia="宋体" w:cs="Times New Roman"/>
      <w:kern w:val="0"/>
      <w:sz w:val="24"/>
      <w:szCs w:val="24"/>
    </w:rPr>
  </w:style>
  <w:style w:type="paragraph" w:customStyle="1" w:styleId="278">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Times New Roman" w:hAnsi="Times New Roman" w:eastAsia="宋体" w:cs="Times New Roman"/>
      <w:color w:val="000000"/>
      <w:kern w:val="0"/>
      <w:sz w:val="24"/>
      <w:szCs w:val="24"/>
    </w:rPr>
  </w:style>
  <w:style w:type="paragraph" w:customStyle="1" w:styleId="279">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eastAsia="宋体" w:cs="Times New Roman"/>
      <w:b/>
      <w:bCs/>
      <w:color w:val="000000"/>
      <w:kern w:val="0"/>
      <w:sz w:val="24"/>
      <w:szCs w:val="24"/>
    </w:rPr>
  </w:style>
  <w:style w:type="paragraph" w:customStyle="1" w:styleId="280">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Times New Roman" w:hAnsi="Times New Roman" w:eastAsia="宋体" w:cs="Times New Roman"/>
      <w:color w:val="000000"/>
      <w:kern w:val="0"/>
      <w:sz w:val="24"/>
      <w:szCs w:val="24"/>
    </w:rPr>
  </w:style>
  <w:style w:type="paragraph" w:customStyle="1" w:styleId="281">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textAlignment w:val="center"/>
    </w:pPr>
    <w:rPr>
      <w:rFonts w:ascii="Times New Roman" w:hAnsi="Times New Roman" w:eastAsia="宋体" w:cs="Times New Roman"/>
      <w:color w:val="000000"/>
      <w:kern w:val="0"/>
      <w:sz w:val="24"/>
      <w:szCs w:val="24"/>
    </w:rPr>
  </w:style>
  <w:style w:type="paragraph" w:customStyle="1" w:styleId="282">
    <w:name w:val="xl91"/>
    <w:basedOn w:val="1"/>
    <w:qFormat/>
    <w:uiPriority w:val="0"/>
    <w:pPr>
      <w:widowControl/>
      <w:spacing w:before="100" w:beforeAutospacing="1" w:after="100" w:afterAutospacing="1"/>
      <w:jc w:val="center"/>
      <w:textAlignment w:val="center"/>
    </w:pPr>
    <w:rPr>
      <w:rFonts w:ascii="Times New Roman" w:hAnsi="Times New Roman" w:eastAsia="宋体" w:cs="Times New Roman"/>
      <w:b/>
      <w:bCs/>
      <w:color w:val="000000"/>
      <w:kern w:val="0"/>
      <w:sz w:val="28"/>
      <w:szCs w:val="28"/>
    </w:rPr>
  </w:style>
  <w:style w:type="paragraph" w:customStyle="1" w:styleId="283">
    <w:name w:val="xl92"/>
    <w:basedOn w:val="1"/>
    <w:qFormat/>
    <w:uiPriority w:val="0"/>
    <w:pPr>
      <w:widowControl/>
      <w:spacing w:before="100" w:beforeAutospacing="1" w:after="100" w:afterAutospacing="1"/>
      <w:jc w:val="left"/>
      <w:textAlignment w:val="center"/>
    </w:pPr>
    <w:rPr>
      <w:rFonts w:ascii="Times New Roman" w:hAnsi="Times New Roman" w:eastAsia="宋体" w:cs="Times New Roman"/>
      <w:color w:val="000000"/>
      <w:kern w:val="0"/>
      <w:sz w:val="22"/>
    </w:rPr>
  </w:style>
  <w:style w:type="paragraph" w:customStyle="1" w:styleId="284">
    <w:name w:val="xl93"/>
    <w:basedOn w:val="1"/>
    <w:qFormat/>
    <w:uiPriority w:val="0"/>
    <w:pPr>
      <w:widowControl/>
      <w:pBdr>
        <w:bottom w:val="single" w:color="auto" w:sz="4" w:space="0"/>
      </w:pBdr>
      <w:spacing w:before="100" w:beforeAutospacing="1" w:after="100" w:afterAutospacing="1"/>
      <w:jc w:val="left"/>
      <w:textAlignment w:val="center"/>
    </w:pPr>
    <w:rPr>
      <w:rFonts w:ascii="Times New Roman" w:hAnsi="Times New Roman" w:eastAsia="宋体" w:cs="Times New Roman"/>
      <w:color w:val="000000"/>
      <w:kern w:val="0"/>
      <w:sz w:val="22"/>
    </w:rPr>
  </w:style>
  <w:style w:type="paragraph" w:customStyle="1" w:styleId="285">
    <w:name w:val="xl94"/>
    <w:basedOn w:val="1"/>
    <w:qFormat/>
    <w:uiPriority w:val="0"/>
    <w:pPr>
      <w:widowControl/>
      <w:pBdr>
        <w:top w:val="single" w:color="000000" w:sz="4" w:space="0"/>
        <w:left w:val="single" w:color="000000" w:sz="4" w:space="0"/>
        <w:right w:val="single" w:color="000000" w:sz="4" w:space="0"/>
      </w:pBdr>
      <w:shd w:val="clear" w:color="000000" w:fill="FFFFFF"/>
      <w:spacing w:before="100" w:beforeAutospacing="1" w:after="100" w:afterAutospacing="1"/>
      <w:jc w:val="left"/>
      <w:textAlignment w:val="center"/>
    </w:pPr>
    <w:rPr>
      <w:rFonts w:ascii="Times New Roman" w:hAnsi="Times New Roman" w:eastAsia="宋体" w:cs="Times New Roman"/>
      <w:color w:val="000000"/>
      <w:kern w:val="0"/>
      <w:sz w:val="24"/>
      <w:szCs w:val="24"/>
    </w:rPr>
  </w:style>
  <w:style w:type="paragraph" w:customStyle="1" w:styleId="286">
    <w:name w:val="xl95"/>
    <w:basedOn w:val="1"/>
    <w:qFormat/>
    <w:uiPriority w:val="0"/>
    <w:pPr>
      <w:widowControl/>
      <w:pBdr>
        <w:left w:val="single" w:color="000000" w:sz="4" w:space="0"/>
        <w:right w:val="single" w:color="000000" w:sz="4" w:space="0"/>
      </w:pBdr>
      <w:shd w:val="clear" w:color="000000" w:fill="FFFFFF"/>
      <w:spacing w:before="100" w:beforeAutospacing="1" w:after="100" w:afterAutospacing="1"/>
      <w:jc w:val="left"/>
      <w:textAlignment w:val="center"/>
    </w:pPr>
    <w:rPr>
      <w:rFonts w:ascii="Times New Roman" w:hAnsi="Times New Roman" w:eastAsia="宋体" w:cs="Times New Roman"/>
      <w:color w:val="000000"/>
      <w:kern w:val="0"/>
      <w:sz w:val="24"/>
      <w:szCs w:val="24"/>
    </w:rPr>
  </w:style>
  <w:style w:type="paragraph" w:customStyle="1" w:styleId="287">
    <w:name w:val="xl96"/>
    <w:basedOn w:val="1"/>
    <w:qFormat/>
    <w:uiPriority w:val="0"/>
    <w:pPr>
      <w:widowControl/>
      <w:pBdr>
        <w:left w:val="single" w:color="000000" w:sz="4" w:space="0"/>
        <w:bottom w:val="single" w:color="000000" w:sz="4" w:space="0"/>
        <w:right w:val="single" w:color="000000" w:sz="4" w:space="0"/>
      </w:pBdr>
      <w:shd w:val="clear" w:color="000000" w:fill="FFFFFF"/>
      <w:spacing w:before="100" w:beforeAutospacing="1" w:after="100" w:afterAutospacing="1"/>
      <w:jc w:val="left"/>
      <w:textAlignment w:val="center"/>
    </w:pPr>
    <w:rPr>
      <w:rFonts w:ascii="Times New Roman" w:hAnsi="Times New Roman" w:eastAsia="宋体" w:cs="Times New Roman"/>
      <w:color w:val="000000"/>
      <w:kern w:val="0"/>
      <w:sz w:val="24"/>
      <w:szCs w:val="24"/>
    </w:rPr>
  </w:style>
  <w:style w:type="paragraph" w:customStyle="1" w:styleId="288">
    <w:name w:val="xl97"/>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289">
    <w:name w:val="xl98"/>
    <w:basedOn w:val="1"/>
    <w:qFormat/>
    <w:uiPriority w:val="0"/>
    <w:pPr>
      <w:widowControl/>
      <w:spacing w:before="100" w:beforeAutospacing="1" w:after="100" w:afterAutospacing="1"/>
      <w:jc w:val="left"/>
    </w:pPr>
    <w:rPr>
      <w:rFonts w:ascii="Times New Roman" w:hAnsi="Times New Roman" w:eastAsia="宋体" w:cs="Times New Roman"/>
      <w:kern w:val="0"/>
      <w:sz w:val="20"/>
      <w:szCs w:val="20"/>
    </w:rPr>
  </w:style>
  <w:style w:type="paragraph" w:customStyle="1" w:styleId="290">
    <w:name w:val="Plain Text1"/>
    <w:basedOn w:val="1"/>
    <w:qFormat/>
    <w:uiPriority w:val="0"/>
    <w:pPr>
      <w:adjustRightInd w:val="0"/>
      <w:textAlignment w:val="baseline"/>
    </w:pPr>
    <w:rPr>
      <w:rFonts w:ascii="宋体"/>
      <w:kern w:val="0"/>
      <w:sz w:val="24"/>
      <w:szCs w:val="20"/>
    </w:rPr>
  </w:style>
  <w:style w:type="paragraph" w:customStyle="1" w:styleId="291">
    <w:name w:val="WPSOffice手动目录 1"/>
    <w:qFormat/>
    <w:uiPriority w:val="0"/>
    <w:pPr>
      <w:ind w:leftChars="0"/>
    </w:pPr>
    <w:rPr>
      <w:rFonts w:ascii="Times New Roman" w:hAnsi="Times New Roman" w:eastAsia="宋体" w:cs="Times New Roman"/>
      <w:sz w:val="20"/>
      <w:szCs w:val="20"/>
    </w:rPr>
  </w:style>
  <w:style w:type="character" w:customStyle="1" w:styleId="292">
    <w:name w:val="10"/>
    <w:basedOn w:val="47"/>
    <w:qFormat/>
    <w:uiPriority w:val="0"/>
    <w:rPr>
      <w:rFonts w:hint="default" w:ascii="Times New Roman" w:hAnsi="Times New Roman" w:cs="Times New Roman"/>
    </w:rPr>
  </w:style>
  <w:style w:type="character" w:customStyle="1" w:styleId="293">
    <w:name w:val="15"/>
    <w:basedOn w:val="47"/>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glossaryDocument" Target="glossary/document.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wmf"/><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feb1e9c-935d-4bde-87ef-3aef11f799f9}"/>
        <w:style w:val=""/>
        <w:category>
          <w:name w:val="常规"/>
          <w:gallery w:val="placeholder"/>
        </w:category>
        <w:types>
          <w:type w:val="bbPlcHdr"/>
        </w:types>
        <w:behaviors>
          <w:behavior w:val="content"/>
        </w:behaviors>
        <w:description w:val=""/>
        <w:guid w:val="{7feb1e9c-935d-4bde-87ef-3aef11f799f9}"/>
      </w:docPartPr>
      <w:docPartBody>
        <w:p w14:paraId="10E67721">
          <w:r>
            <w:rPr>
              <w:color w:val="808080"/>
            </w:rPr>
            <w:t>单击此处输入文字。</w:t>
          </w:r>
        </w:p>
      </w:docPartBody>
    </w:docPart>
    <w:docPart>
      <w:docPartPr>
        <w:name w:val="{54f09f6e-b9ff-473c-8877-d165d9475012}"/>
        <w:style w:val=""/>
        <w:category>
          <w:name w:val="常规"/>
          <w:gallery w:val="placeholder"/>
        </w:category>
        <w:types>
          <w:type w:val="bbPlcHdr"/>
        </w:types>
        <w:behaviors>
          <w:behavior w:val="content"/>
        </w:behaviors>
        <w:description w:val=""/>
        <w:guid w:val="{54f09f6e-b9ff-473c-8877-d165d9475012}"/>
      </w:docPartPr>
      <w:docPartBody>
        <w:p w14:paraId="5C66190D">
          <w:r>
            <w:rPr>
              <w:color w:val="808080"/>
            </w:rPr>
            <w:t>单击此处输入文字。</w:t>
          </w:r>
        </w:p>
      </w:docPartBody>
    </w:docPart>
    <w:docPart>
      <w:docPartPr>
        <w:name w:val="{c885c832-cf96-450e-84f5-fccaf5b7ccef}"/>
        <w:style w:val=""/>
        <w:category>
          <w:name w:val="常规"/>
          <w:gallery w:val="placeholder"/>
        </w:category>
        <w:types>
          <w:type w:val="bbPlcHdr"/>
        </w:types>
        <w:behaviors>
          <w:behavior w:val="content"/>
        </w:behaviors>
        <w:description w:val=""/>
        <w:guid w:val="{c885c832-cf96-450e-84f5-fccaf5b7ccef}"/>
      </w:docPartPr>
      <w:docPartBody>
        <w:p w14:paraId="4E938484">
          <w:r>
            <w:rPr>
              <w:color w:val="808080"/>
            </w:rPr>
            <w:t>单击此处输入文字。</w:t>
          </w:r>
        </w:p>
      </w:docPartBody>
    </w:docPart>
    <w:docPart>
      <w:docPartPr>
        <w:name w:val="{0c6eb977-1938-4362-b5ef-9caefc680d9e}"/>
        <w:style w:val=""/>
        <w:category>
          <w:name w:val="常规"/>
          <w:gallery w:val="placeholder"/>
        </w:category>
        <w:types>
          <w:type w:val="bbPlcHdr"/>
        </w:types>
        <w:behaviors>
          <w:behavior w:val="content"/>
        </w:behaviors>
        <w:description w:val=""/>
        <w:guid w:val="{0c6eb977-1938-4362-b5ef-9caefc680d9e}"/>
      </w:docPartPr>
      <w:docPartBody>
        <w:p w14:paraId="698998EE">
          <w:r>
            <w:rPr>
              <w:color w:val="808080"/>
            </w:rPr>
            <w:t>单击此处输入文字。</w:t>
          </w:r>
        </w:p>
      </w:docPartBody>
    </w:docPart>
    <w:docPart>
      <w:docPartPr>
        <w:name w:val="{c2d62c70-515b-495c-8e27-953ec9027e23}"/>
        <w:style w:val=""/>
        <w:category>
          <w:name w:val="常规"/>
          <w:gallery w:val="placeholder"/>
        </w:category>
        <w:types>
          <w:type w:val="bbPlcHdr"/>
        </w:types>
        <w:behaviors>
          <w:behavior w:val="content"/>
        </w:behaviors>
        <w:description w:val=""/>
        <w:guid w:val="{c2d62c70-515b-495c-8e27-953ec9027e23}"/>
      </w:docPartPr>
      <w:docPartBody>
        <w:p w14:paraId="79E46906">
          <w:r>
            <w:rPr>
              <w:color w:val="808080"/>
            </w:rPr>
            <w:t>单击此处输入文字。</w:t>
          </w:r>
        </w:p>
      </w:docPartBody>
    </w:docPart>
    <w:docPart>
      <w:docPartPr>
        <w:name w:val="{10f86cf3-9f34-465d-8149-77bb1a0d12e9}"/>
        <w:style w:val=""/>
        <w:category>
          <w:name w:val="常规"/>
          <w:gallery w:val="placeholder"/>
        </w:category>
        <w:types>
          <w:type w:val="bbPlcHdr"/>
        </w:types>
        <w:behaviors>
          <w:behavior w:val="content"/>
        </w:behaviors>
        <w:description w:val=""/>
        <w:guid w:val="{10f86cf3-9f34-465d-8149-77bb1a0d12e9}"/>
      </w:docPartPr>
      <w:docPartBody>
        <w:p w14:paraId="26F503BF">
          <w:r>
            <w:rPr>
              <w:color w:val="808080"/>
            </w:rPr>
            <w:t>单击此处输入文字。</w:t>
          </w:r>
        </w:p>
      </w:docPartBody>
    </w:docPart>
    <w:docPart>
      <w:docPartPr>
        <w:name w:val="{92a1ee99-a2ca-49ff-8114-bf3b6493c499}"/>
        <w:style w:val=""/>
        <w:category>
          <w:name w:val="常规"/>
          <w:gallery w:val="placeholder"/>
        </w:category>
        <w:types>
          <w:type w:val="bbPlcHdr"/>
        </w:types>
        <w:behaviors>
          <w:behavior w:val="content"/>
        </w:behaviors>
        <w:description w:val=""/>
        <w:guid w:val="{92a1ee99-a2ca-49ff-8114-bf3b6493c499}"/>
      </w:docPartPr>
      <w:docPartBody>
        <w:p w14:paraId="06FA96C2">
          <w:r>
            <w:rPr>
              <w:color w:val="808080"/>
            </w:rPr>
            <w:t>单击此处输入文字。</w:t>
          </w:r>
        </w:p>
      </w:docPartBody>
    </w:docPart>
    <w:docPart>
      <w:docPartPr>
        <w:name w:val="{798d85fd-c93f-4ba5-8897-d567854302d0}"/>
        <w:style w:val=""/>
        <w:category>
          <w:name w:val="常规"/>
          <w:gallery w:val="placeholder"/>
        </w:category>
        <w:types>
          <w:type w:val="bbPlcHdr"/>
        </w:types>
        <w:behaviors>
          <w:behavior w:val="content"/>
        </w:behaviors>
        <w:description w:val=""/>
        <w:guid w:val="{798d85fd-c93f-4ba5-8897-d567854302d0}"/>
      </w:docPartPr>
      <w:docPartBody>
        <w:p w14:paraId="27A6F2B3">
          <w:r>
            <w:rPr>
              <w:color w:val="808080"/>
            </w:rPr>
            <w:t>单击此处输入文字。</w:t>
          </w:r>
        </w:p>
      </w:docPartBody>
    </w:docPart>
    <w:docPart>
      <w:docPartPr>
        <w:name w:val="{be16f986-a021-4f0a-91f7-a0867c2a3bea}"/>
        <w:style w:val=""/>
        <w:category>
          <w:name w:val="常规"/>
          <w:gallery w:val="placeholder"/>
        </w:category>
        <w:types>
          <w:type w:val="bbPlcHdr"/>
        </w:types>
        <w:behaviors>
          <w:behavior w:val="content"/>
        </w:behaviors>
        <w:description w:val=""/>
        <w:guid w:val="{be16f986-a021-4f0a-91f7-a0867c2a3bea}"/>
      </w:docPartPr>
      <w:docPartBody>
        <w:p w14:paraId="2A6BB6FE">
          <w:r>
            <w:rPr>
              <w:color w:val="808080"/>
            </w:rPr>
            <w:t>单击此处输入文字。</w:t>
          </w:r>
        </w:p>
      </w:docPartBody>
    </w:docPart>
    <w:docPart>
      <w:docPartPr>
        <w:name w:val="{cc389df1-5234-4af4-868b-a03089f421cd}"/>
        <w:style w:val=""/>
        <w:category>
          <w:name w:val="常规"/>
          <w:gallery w:val="placeholder"/>
        </w:category>
        <w:types>
          <w:type w:val="bbPlcHdr"/>
        </w:types>
        <w:behaviors>
          <w:behavior w:val="content"/>
        </w:behaviors>
        <w:description w:val=""/>
        <w:guid w:val="{cc389df1-5234-4af4-868b-a03089f421cd}"/>
      </w:docPartPr>
      <w:docPartBody>
        <w:p w14:paraId="5A2D7CCC">
          <w:r>
            <w:rPr>
              <w:color w:val="808080"/>
            </w:rPr>
            <w:t>单击此处输入文字。</w:t>
          </w:r>
        </w:p>
      </w:docPartBody>
    </w:docPart>
    <w:docPart>
      <w:docPartPr>
        <w:name w:val="{91f198a3-7b6d-4c2c-9d7e-fbfb3b906bac}"/>
        <w:style w:val=""/>
        <w:category>
          <w:name w:val="常规"/>
          <w:gallery w:val="placeholder"/>
        </w:category>
        <w:types>
          <w:type w:val="bbPlcHdr"/>
        </w:types>
        <w:behaviors>
          <w:behavior w:val="content"/>
        </w:behaviors>
        <w:description w:val=""/>
        <w:guid w:val="{91f198a3-7b6d-4c2c-9d7e-fbfb3b906bac}"/>
      </w:docPartPr>
      <w:docPartBody>
        <w:p w14:paraId="70CC9A63">
          <w:r>
            <w:rPr>
              <w:color w:val="808080"/>
            </w:rPr>
            <w:t>单击此处输入文字。</w:t>
          </w:r>
        </w:p>
      </w:docPartBody>
    </w:docPart>
    <w:docPart>
      <w:docPartPr>
        <w:name w:val="{39f07ea4-c86f-4728-96de-8317e53ba39f}"/>
        <w:style w:val=""/>
        <w:category>
          <w:name w:val="常规"/>
          <w:gallery w:val="placeholder"/>
        </w:category>
        <w:types>
          <w:type w:val="bbPlcHdr"/>
        </w:types>
        <w:behaviors>
          <w:behavior w:val="content"/>
        </w:behaviors>
        <w:description w:val=""/>
        <w:guid w:val="{39f07ea4-c86f-4728-96de-8317e53ba39f}"/>
      </w:docPartPr>
      <w:docPartBody>
        <w:p w14:paraId="0F14769C">
          <w:r>
            <w:rPr>
              <w:color w:val="808080"/>
            </w:rPr>
            <w:t>单击此处输入文字。</w:t>
          </w:r>
        </w:p>
      </w:docPartBody>
    </w:docPart>
    <w:docPart>
      <w:docPartPr>
        <w:name w:val="{fc25be13-d0b3-4800-bdf3-73d93eba2589}"/>
        <w:style w:val=""/>
        <w:category>
          <w:name w:val="常规"/>
          <w:gallery w:val="placeholder"/>
        </w:category>
        <w:types>
          <w:type w:val="bbPlcHdr"/>
        </w:types>
        <w:behaviors>
          <w:behavior w:val="content"/>
        </w:behaviors>
        <w:description w:val=""/>
        <w:guid w:val="{fc25be13-d0b3-4800-bdf3-73d93eba2589}"/>
      </w:docPartPr>
      <w:docPartBody>
        <w:p w14:paraId="656991D5">
          <w:r>
            <w:rPr>
              <w:color w:val="808080"/>
            </w:rPr>
            <w:t>单击此处输入文字。</w:t>
          </w:r>
        </w:p>
      </w:docPartBody>
    </w:docPart>
    <w:docPart>
      <w:docPartPr>
        <w:name w:val="{c02ebb3b-355d-4e85-87e8-33e9d3ed525a}"/>
        <w:style w:val=""/>
        <w:category>
          <w:name w:val="常规"/>
          <w:gallery w:val="placeholder"/>
        </w:category>
        <w:types>
          <w:type w:val="bbPlcHdr"/>
        </w:types>
        <w:behaviors>
          <w:behavior w:val="content"/>
        </w:behaviors>
        <w:description w:val=""/>
        <w:guid w:val="{c02ebb3b-355d-4e85-87e8-33e9d3ed525a}"/>
      </w:docPartPr>
      <w:docPartBody>
        <w:p w14:paraId="18E03507">
          <w:r>
            <w:rPr>
              <w:color w:val="808080"/>
            </w:rPr>
            <w:t>单击此处输入文字。</w:t>
          </w:r>
        </w:p>
      </w:docPartBody>
    </w:docPart>
    <w:docPart>
      <w:docPartPr>
        <w:name w:val="{9e7e33dc-ff9d-404c-b316-6ad34c6b94b8}"/>
        <w:style w:val=""/>
        <w:category>
          <w:name w:val="常规"/>
          <w:gallery w:val="placeholder"/>
        </w:category>
        <w:types>
          <w:type w:val="bbPlcHdr"/>
        </w:types>
        <w:behaviors>
          <w:behavior w:val="content"/>
        </w:behaviors>
        <w:description w:val=""/>
        <w:guid w:val="{9e7e33dc-ff9d-404c-b316-6ad34c6b94b8}"/>
      </w:docPartPr>
      <w:docPartBody>
        <w:p w14:paraId="7802C1A9">
          <w:r>
            <w:rPr>
              <w:color w:val="808080"/>
            </w:rPr>
            <w:t>单击此处输入文字。</w:t>
          </w:r>
        </w:p>
      </w:docPartBody>
    </w:docPart>
    <w:docPart>
      <w:docPartPr>
        <w:name w:val="{a4626844-a2e6-4172-81e4-070c6dd18149}"/>
        <w:style w:val=""/>
        <w:category>
          <w:name w:val="常规"/>
          <w:gallery w:val="placeholder"/>
        </w:category>
        <w:types>
          <w:type w:val="bbPlcHdr"/>
        </w:types>
        <w:behaviors>
          <w:behavior w:val="content"/>
        </w:behaviors>
        <w:description w:val=""/>
        <w:guid w:val="{a4626844-a2e6-4172-81e4-070c6dd18149}"/>
      </w:docPartPr>
      <w:docPartBody>
        <w:p w14:paraId="23BE4F0A">
          <w:r>
            <w:rPr>
              <w:color w:val="808080"/>
            </w:rPr>
            <w:t>单击此处输入文字。</w:t>
          </w:r>
        </w:p>
      </w:docPartBody>
    </w:docPart>
    <w:docPart>
      <w:docPartPr>
        <w:name w:val="{0ceace3a-f0c6-4e8c-9752-9bf5ed11d794}"/>
        <w:style w:val=""/>
        <w:category>
          <w:name w:val="常规"/>
          <w:gallery w:val="placeholder"/>
        </w:category>
        <w:types>
          <w:type w:val="bbPlcHdr"/>
        </w:types>
        <w:behaviors>
          <w:behavior w:val="content"/>
        </w:behaviors>
        <w:description w:val=""/>
        <w:guid w:val="{0ceace3a-f0c6-4e8c-9752-9bf5ed11d794}"/>
      </w:docPartPr>
      <w:docPartBody>
        <w:p w14:paraId="26E14F8B">
          <w:r>
            <w:rPr>
              <w:color w:val="808080"/>
            </w:rPr>
            <w:t>单击此处输入文字。</w:t>
          </w:r>
        </w:p>
      </w:docPartBody>
    </w:docPart>
    <w:docPart>
      <w:docPartPr>
        <w:name w:val="{630476fd-b1d6-4103-8da9-fd2e311dd6ac}"/>
        <w:style w:val=""/>
        <w:category>
          <w:name w:val="常规"/>
          <w:gallery w:val="placeholder"/>
        </w:category>
        <w:types>
          <w:type w:val="bbPlcHdr"/>
        </w:types>
        <w:behaviors>
          <w:behavior w:val="content"/>
        </w:behaviors>
        <w:description w:val=""/>
        <w:guid w:val="{630476fd-b1d6-4103-8da9-fd2e311dd6ac}"/>
      </w:docPartPr>
      <w:docPartBody>
        <w:p w14:paraId="1528DFDD">
          <w:r>
            <w:rPr>
              <w:color w:val="808080"/>
            </w:rPr>
            <w:t>单击此处输入文字。</w:t>
          </w:r>
        </w:p>
      </w:docPartBody>
    </w:docPart>
    <w:docPart>
      <w:docPartPr>
        <w:name w:val="{d9a6611c-9c7d-4e97-bb27-01c8bee74238}"/>
        <w:style w:val=""/>
        <w:category>
          <w:name w:val="常规"/>
          <w:gallery w:val="placeholder"/>
        </w:category>
        <w:types>
          <w:type w:val="bbPlcHdr"/>
        </w:types>
        <w:behaviors>
          <w:behavior w:val="content"/>
        </w:behaviors>
        <w:description w:val=""/>
        <w:guid w:val="{d9a6611c-9c7d-4e97-bb27-01c8bee74238}"/>
      </w:docPartPr>
      <w:docPartBody>
        <w:p w14:paraId="07AABECB">
          <w:r>
            <w:rPr>
              <w:color w:val="808080"/>
            </w:rPr>
            <w:t>单击此处输入文字。</w:t>
          </w:r>
        </w:p>
      </w:docPartBody>
    </w:docPart>
    <w:docPart>
      <w:docPartPr>
        <w:name w:val="{794e84b7-2f49-4585-8ed8-50cc35c32da0}"/>
        <w:style w:val=""/>
        <w:category>
          <w:name w:val="常规"/>
          <w:gallery w:val="placeholder"/>
        </w:category>
        <w:types>
          <w:type w:val="bbPlcHdr"/>
        </w:types>
        <w:behaviors>
          <w:behavior w:val="content"/>
        </w:behaviors>
        <w:description w:val=""/>
        <w:guid w:val="{794e84b7-2f49-4585-8ed8-50cc35c32da0}"/>
      </w:docPartPr>
      <w:docPartBody>
        <w:p w14:paraId="21A8AFAC">
          <w:r>
            <w:rPr>
              <w:color w:val="808080"/>
            </w:rPr>
            <w:t>单击此处输入文字。</w:t>
          </w:r>
        </w:p>
      </w:docPartBody>
    </w:docPart>
    <w:docPart>
      <w:docPartPr>
        <w:name w:val="{6e42aee7-d373-465b-bda7-06412b74b418}"/>
        <w:style w:val=""/>
        <w:category>
          <w:name w:val="常规"/>
          <w:gallery w:val="placeholder"/>
        </w:category>
        <w:types>
          <w:type w:val="bbPlcHdr"/>
        </w:types>
        <w:behaviors>
          <w:behavior w:val="content"/>
        </w:behaviors>
        <w:description w:val=""/>
        <w:guid w:val="{6e42aee7-d373-465b-bda7-06412b74b418}"/>
      </w:docPartPr>
      <w:docPartBody>
        <w:p w14:paraId="4D4F6EAC">
          <w:r>
            <w:rPr>
              <w:color w:val="808080"/>
            </w:rPr>
            <w:t>单击此处输入文字。</w:t>
          </w:r>
        </w:p>
      </w:docPartBody>
    </w:docPart>
    <w:docPart>
      <w:docPartPr>
        <w:name w:val="{3386d70c-c9a3-46cb-9f46-bb28942b8397}"/>
        <w:style w:val=""/>
        <w:category>
          <w:name w:val="常规"/>
          <w:gallery w:val="placeholder"/>
        </w:category>
        <w:types>
          <w:type w:val="bbPlcHdr"/>
        </w:types>
        <w:behaviors>
          <w:behavior w:val="content"/>
        </w:behaviors>
        <w:description w:val=""/>
        <w:guid w:val="{3386d70c-c9a3-46cb-9f46-bb28942b8397}"/>
      </w:docPartPr>
      <w:docPartBody>
        <w:p w14:paraId="4886286A">
          <w:r>
            <w:rPr>
              <w:color w:val="808080"/>
            </w:rPr>
            <w:t>单击此处输入文字。</w:t>
          </w:r>
        </w:p>
      </w:docPartBody>
    </w:docPart>
    <w:docPart>
      <w:docPartPr>
        <w:name w:val="{3b93413d-22b9-4bc7-9a69-b0370f1bd0ef}"/>
        <w:style w:val=""/>
        <w:category>
          <w:name w:val="常规"/>
          <w:gallery w:val="placeholder"/>
        </w:category>
        <w:types>
          <w:type w:val="bbPlcHdr"/>
        </w:types>
        <w:behaviors>
          <w:behavior w:val="content"/>
        </w:behaviors>
        <w:description w:val=""/>
        <w:guid w:val="{3b93413d-22b9-4bc7-9a69-b0370f1bd0ef}"/>
      </w:docPartPr>
      <w:docPartBody>
        <w:p w14:paraId="68A883A4">
          <w:r>
            <w:rPr>
              <w:color w:val="808080"/>
            </w:rPr>
            <w:t>单击此处输入文字。</w:t>
          </w:r>
        </w:p>
      </w:docPartBody>
    </w:docPart>
    <w:docPart>
      <w:docPartPr>
        <w:name w:val="{4609f88d-975c-4c04-9f57-aff16c2af1b1}"/>
        <w:style w:val=""/>
        <w:category>
          <w:name w:val="常规"/>
          <w:gallery w:val="placeholder"/>
        </w:category>
        <w:types>
          <w:type w:val="bbPlcHdr"/>
        </w:types>
        <w:behaviors>
          <w:behavior w:val="content"/>
        </w:behaviors>
        <w:description w:val=""/>
        <w:guid w:val="{4609f88d-975c-4c04-9f57-aff16c2af1b1}"/>
      </w:docPartPr>
      <w:docPartBody>
        <w:p w14:paraId="7AB15C57">
          <w:r>
            <w:rPr>
              <w:color w:val="808080"/>
            </w:rPr>
            <w:t>单击此处输入文字。</w:t>
          </w:r>
        </w:p>
      </w:docPartBody>
    </w:docPart>
    <w:docPart>
      <w:docPartPr>
        <w:name w:val="{0b16ac69-e459-4760-8b1c-531b70ca9395}"/>
        <w:style w:val=""/>
        <w:category>
          <w:name w:val="常规"/>
          <w:gallery w:val="placeholder"/>
        </w:category>
        <w:types>
          <w:type w:val="bbPlcHdr"/>
        </w:types>
        <w:behaviors>
          <w:behavior w:val="content"/>
        </w:behaviors>
        <w:description w:val=""/>
        <w:guid w:val="{0b16ac69-e459-4760-8b1c-531b70ca9395}"/>
      </w:docPartPr>
      <w:docPartBody>
        <w:p w14:paraId="664DF59C">
          <w:r>
            <w:rPr>
              <w:color w:val="808080"/>
            </w:rPr>
            <w:t>单击此处输入文字。</w:t>
          </w:r>
        </w:p>
      </w:docPartBody>
    </w:docPart>
    <w:docPart>
      <w:docPartPr>
        <w:name w:val="{5b08aed9-f743-4a52-a759-a8dcf2369e25}"/>
        <w:style w:val=""/>
        <w:category>
          <w:name w:val="常规"/>
          <w:gallery w:val="placeholder"/>
        </w:category>
        <w:types>
          <w:type w:val="bbPlcHdr"/>
        </w:types>
        <w:behaviors>
          <w:behavior w:val="content"/>
        </w:behaviors>
        <w:description w:val=""/>
        <w:guid w:val="{5b08aed9-f743-4a52-a759-a8dcf2369e25}"/>
      </w:docPartPr>
      <w:docPartBody>
        <w:p w14:paraId="6C6E63CC">
          <w:r>
            <w:rPr>
              <w:color w:val="808080"/>
            </w:rPr>
            <w:t>单击此处输入文字。</w:t>
          </w:r>
        </w:p>
      </w:docPartBody>
    </w:docPart>
    <w:docPart>
      <w:docPartPr>
        <w:name w:val="{132ba49d-efeb-4b2e-a105-3211656cb038}"/>
        <w:style w:val=""/>
        <w:category>
          <w:name w:val="常规"/>
          <w:gallery w:val="placeholder"/>
        </w:category>
        <w:types>
          <w:type w:val="bbPlcHdr"/>
        </w:types>
        <w:behaviors>
          <w:behavior w:val="content"/>
        </w:behaviors>
        <w:description w:val=""/>
        <w:guid w:val="{132ba49d-efeb-4b2e-a105-3211656cb038}"/>
      </w:docPartPr>
      <w:docPartBody>
        <w:p w14:paraId="1CDE9A63">
          <w:r>
            <w:rPr>
              <w:color w:val="808080"/>
            </w:rPr>
            <w:t>单击此处输入文字。</w:t>
          </w:r>
        </w:p>
      </w:docPartBody>
    </w:docPart>
    <w:docPart>
      <w:docPartPr>
        <w:name w:val="{fe407bf9-85f9-4d14-9915-6937193b8605}"/>
        <w:style w:val=""/>
        <w:category>
          <w:name w:val="常规"/>
          <w:gallery w:val="placeholder"/>
        </w:category>
        <w:types>
          <w:type w:val="bbPlcHdr"/>
        </w:types>
        <w:behaviors>
          <w:behavior w:val="content"/>
        </w:behaviors>
        <w:description w:val=""/>
        <w:guid w:val="{fe407bf9-85f9-4d14-9915-6937193b8605}"/>
      </w:docPartPr>
      <w:docPartBody>
        <w:p w14:paraId="6EF6C2B2">
          <w:r>
            <w:rPr>
              <w:color w:val="808080"/>
            </w:rPr>
            <w:t>单击此处输入文字。</w:t>
          </w:r>
        </w:p>
      </w:docPartBody>
    </w:docPart>
    <w:docPart>
      <w:docPartPr>
        <w:name w:val="{0bf27a89-6a69-46dd-8700-a91961b577bf}"/>
        <w:style w:val=""/>
        <w:category>
          <w:name w:val="常规"/>
          <w:gallery w:val="placeholder"/>
        </w:category>
        <w:types>
          <w:type w:val="bbPlcHdr"/>
        </w:types>
        <w:behaviors>
          <w:behavior w:val="content"/>
        </w:behaviors>
        <w:description w:val=""/>
        <w:guid w:val="{0bf27a89-6a69-46dd-8700-a91961b577bf}"/>
      </w:docPartPr>
      <w:docPartBody>
        <w:p w14:paraId="5483A771">
          <w:r>
            <w:rPr>
              <w:color w:val="808080"/>
            </w:rPr>
            <w:t>单击此处输入文字。</w:t>
          </w:r>
        </w:p>
      </w:docPartBody>
    </w:docPart>
    <w:docPart>
      <w:docPartPr>
        <w:name w:val="{d317c24e-af92-4770-8b88-e23435f703e2}"/>
        <w:style w:val=""/>
        <w:category>
          <w:name w:val="常规"/>
          <w:gallery w:val="placeholder"/>
        </w:category>
        <w:types>
          <w:type w:val="bbPlcHdr"/>
        </w:types>
        <w:behaviors>
          <w:behavior w:val="content"/>
        </w:behaviors>
        <w:description w:val=""/>
        <w:guid w:val="{d317c24e-af92-4770-8b88-e23435f703e2}"/>
      </w:docPartPr>
      <w:docPartBody>
        <w:p w14:paraId="411677B8">
          <w:r>
            <w:rPr>
              <w:color w:val="808080"/>
            </w:rPr>
            <w:t>单击此处输入文字。</w:t>
          </w:r>
        </w:p>
      </w:docPartBody>
    </w:docPart>
    <w:docPart>
      <w:docPartPr>
        <w:name w:val="{9fed2a63-f67a-4179-882e-333c37d8b10d}"/>
        <w:style w:val=""/>
        <w:category>
          <w:name w:val="常规"/>
          <w:gallery w:val="placeholder"/>
        </w:category>
        <w:types>
          <w:type w:val="bbPlcHdr"/>
        </w:types>
        <w:behaviors>
          <w:behavior w:val="content"/>
        </w:behaviors>
        <w:description w:val=""/>
        <w:guid w:val="{9fed2a63-f67a-4179-882e-333c37d8b10d}"/>
      </w:docPartPr>
      <w:docPartBody>
        <w:p w14:paraId="46499910">
          <w:r>
            <w:rPr>
              <w:color w:val="808080"/>
            </w:rPr>
            <w:t>单击此处输入文字。</w:t>
          </w:r>
        </w:p>
      </w:docPartBody>
    </w:docPart>
    <w:docPart>
      <w:docPartPr>
        <w:name w:val="{173bced5-490f-4a1a-9a51-1d394a4ffb9b}"/>
        <w:style w:val=""/>
        <w:category>
          <w:name w:val="常规"/>
          <w:gallery w:val="placeholder"/>
        </w:category>
        <w:types>
          <w:type w:val="bbPlcHdr"/>
        </w:types>
        <w:behaviors>
          <w:behavior w:val="content"/>
        </w:behaviors>
        <w:description w:val=""/>
        <w:guid w:val="{173bced5-490f-4a1a-9a51-1d394a4ffb9b}"/>
      </w:docPartPr>
      <w:docPartBody>
        <w:p w14:paraId="59B12D78">
          <w:r>
            <w:rPr>
              <w:color w:val="808080"/>
            </w:rPr>
            <w:t>单击此处输入文字。</w:t>
          </w:r>
        </w:p>
      </w:docPartBody>
    </w:docPart>
    <w:docPart>
      <w:docPartPr>
        <w:name w:val="{4130b8d8-52f0-42b8-aa2d-2029c217e523}"/>
        <w:style w:val=""/>
        <w:category>
          <w:name w:val="常规"/>
          <w:gallery w:val="placeholder"/>
        </w:category>
        <w:types>
          <w:type w:val="bbPlcHdr"/>
        </w:types>
        <w:behaviors>
          <w:behavior w:val="content"/>
        </w:behaviors>
        <w:description w:val=""/>
        <w:guid w:val="{4130b8d8-52f0-42b8-aa2d-2029c217e523}"/>
      </w:docPartPr>
      <w:docPartBody>
        <w:p w14:paraId="4D95CEFE">
          <w:r>
            <w:rPr>
              <w:color w:val="808080"/>
            </w:rPr>
            <w:t>单击此处输入文字。</w:t>
          </w:r>
        </w:p>
      </w:docPartBody>
    </w:docPart>
    <w:docPart>
      <w:docPartPr>
        <w:name w:val="{30411628-fc3f-44a2-b70b-23428de59ae6}"/>
        <w:style w:val=""/>
        <w:category>
          <w:name w:val="常规"/>
          <w:gallery w:val="placeholder"/>
        </w:category>
        <w:types>
          <w:type w:val="bbPlcHdr"/>
        </w:types>
        <w:behaviors>
          <w:behavior w:val="content"/>
        </w:behaviors>
        <w:description w:val=""/>
        <w:guid w:val="{30411628-fc3f-44a2-b70b-23428de59ae6}"/>
      </w:docPartPr>
      <w:docPartBody>
        <w:p w14:paraId="10814A7A">
          <w:r>
            <w:rPr>
              <w:color w:val="808080"/>
            </w:rPr>
            <w:t>单击此处输入文字。</w:t>
          </w:r>
        </w:p>
      </w:docPartBody>
    </w:docPart>
    <w:docPart>
      <w:docPartPr>
        <w:name w:val="{87c9797c-d344-463c-a1e9-8a6ee142f584}"/>
        <w:style w:val=""/>
        <w:category>
          <w:name w:val="常规"/>
          <w:gallery w:val="placeholder"/>
        </w:category>
        <w:types>
          <w:type w:val="bbPlcHdr"/>
        </w:types>
        <w:behaviors>
          <w:behavior w:val="content"/>
        </w:behaviors>
        <w:description w:val=""/>
        <w:guid w:val="{87c9797c-d344-463c-a1e9-8a6ee142f584}"/>
      </w:docPartPr>
      <w:docPartBody>
        <w:p w14:paraId="16F931D5">
          <w:r>
            <w:rPr>
              <w:color w:val="808080"/>
            </w:rPr>
            <w:t>单击此处输入文字。</w:t>
          </w:r>
        </w:p>
      </w:docPartBody>
    </w:docPart>
    <w:docPart>
      <w:docPartPr>
        <w:name w:val="{683fd770-20a0-4414-a723-d02b3fcd2612}"/>
        <w:style w:val=""/>
        <w:category>
          <w:name w:val="常规"/>
          <w:gallery w:val="placeholder"/>
        </w:category>
        <w:types>
          <w:type w:val="bbPlcHdr"/>
        </w:types>
        <w:behaviors>
          <w:behavior w:val="content"/>
        </w:behaviors>
        <w:description w:val=""/>
        <w:guid w:val="{683fd770-20a0-4414-a723-d02b3fcd2612}"/>
      </w:docPartPr>
      <w:docPartBody>
        <w:p w14:paraId="3EA97862">
          <w:r>
            <w:rPr>
              <w:color w:val="808080"/>
            </w:rPr>
            <w:t>单击此处输入日期。</w:t>
          </w:r>
        </w:p>
      </w:docPartBody>
    </w:docPart>
    <w:docPart>
      <w:docPartPr>
        <w:name w:val="{f1a213d1-8268-4df6-9d17-60e60ea46b1a}"/>
        <w:style w:val=""/>
        <w:category>
          <w:name w:val="常规"/>
          <w:gallery w:val="placeholder"/>
        </w:category>
        <w:types>
          <w:type w:val="bbPlcHdr"/>
        </w:types>
        <w:behaviors>
          <w:behavior w:val="content"/>
        </w:behaviors>
        <w:description w:val=""/>
        <w:guid w:val="{f1a213d1-8268-4df6-9d17-60e60ea46b1a}"/>
      </w:docPartPr>
      <w:docPartBody>
        <w:p w14:paraId="7F0488D8">
          <w:r>
            <w:rPr>
              <w:color w:val="808080"/>
            </w:rPr>
            <w:t>单击此处输入日期。</w:t>
          </w:r>
        </w:p>
      </w:docPartBody>
    </w:docPart>
    <w:docPart>
      <w:docPartPr>
        <w:name w:val="{d97cce9b-cc78-4de4-a625-84fd2428968e}"/>
        <w:style w:val=""/>
        <w:category>
          <w:name w:val="常规"/>
          <w:gallery w:val="placeholder"/>
        </w:category>
        <w:types>
          <w:type w:val="bbPlcHdr"/>
        </w:types>
        <w:behaviors>
          <w:behavior w:val="content"/>
        </w:behaviors>
        <w:description w:val=""/>
        <w:guid w:val="{d97cce9b-cc78-4de4-a625-84fd2428968e}"/>
      </w:docPartPr>
      <w:docPartBody>
        <w:p w14:paraId="260DA784">
          <w:r>
            <w:rPr>
              <w:color w:val="808080"/>
            </w:rPr>
            <w:t>单击此处输入文字。</w:t>
          </w:r>
        </w:p>
      </w:docPartBody>
    </w:docPart>
    <w:docPart>
      <w:docPartPr>
        <w:name w:val="{bc7a20a3-a84b-4910-bd45-6d0f50ec208d}"/>
        <w:style w:val=""/>
        <w:category>
          <w:name w:val="常规"/>
          <w:gallery w:val="placeholder"/>
        </w:category>
        <w:types>
          <w:type w:val="bbPlcHdr"/>
        </w:types>
        <w:behaviors>
          <w:behavior w:val="content"/>
        </w:behaviors>
        <w:description w:val=""/>
        <w:guid w:val="{bc7a20a3-a84b-4910-bd45-6d0f50ec208d}"/>
      </w:docPartPr>
      <w:docPartBody>
        <w:p w14:paraId="7580F2F7">
          <w:r>
            <w:rPr>
              <w:color w:val="808080"/>
            </w:rPr>
            <w:t>单击此处输入文字。</w:t>
          </w:r>
        </w:p>
      </w:docPartBody>
    </w:docPart>
    <w:docPart>
      <w:docPartPr>
        <w:name w:val="{7f6bcf78-b2e5-4763-a9ba-5f8e6035550c}"/>
        <w:style w:val=""/>
        <w:category>
          <w:name w:val="常规"/>
          <w:gallery w:val="placeholder"/>
        </w:category>
        <w:types>
          <w:type w:val="bbPlcHdr"/>
        </w:types>
        <w:behaviors>
          <w:behavior w:val="content"/>
        </w:behaviors>
        <w:description w:val=""/>
        <w:guid w:val="{7f6bcf78-b2e5-4763-a9ba-5f8e6035550c}"/>
      </w:docPartPr>
      <w:docPartBody>
        <w:p w14:paraId="074AD2CE">
          <w:r>
            <w:rPr>
              <w:color w:val="808080"/>
            </w:rPr>
            <w:t>单击此处输入文字。</w:t>
          </w:r>
        </w:p>
      </w:docPartBody>
    </w:docPart>
    <w:docPart>
      <w:docPartPr>
        <w:name w:val="{47d3cda4-32f7-43a8-93c3-e49d059e9e4d}"/>
        <w:style w:val=""/>
        <w:category>
          <w:name w:val="常规"/>
          <w:gallery w:val="placeholder"/>
        </w:category>
        <w:types>
          <w:type w:val="bbPlcHdr"/>
        </w:types>
        <w:behaviors>
          <w:behavior w:val="content"/>
        </w:behaviors>
        <w:description w:val=""/>
        <w:guid w:val="{47d3cda4-32f7-43a8-93c3-e49d059e9e4d}"/>
      </w:docPartPr>
      <w:docPartBody>
        <w:p w14:paraId="6DE3BDA1">
          <w:r>
            <w:rPr>
              <w:color w:val="808080"/>
            </w:rPr>
            <w:t>单击此处输入文字。</w:t>
          </w:r>
        </w:p>
      </w:docPartBody>
    </w:docPart>
    <w:docPart>
      <w:docPartPr>
        <w:name w:val="{5b37c329-a692-4a48-b20e-d2371b8d9c46}"/>
        <w:style w:val=""/>
        <w:category>
          <w:name w:val="常规"/>
          <w:gallery w:val="placeholder"/>
        </w:category>
        <w:types>
          <w:type w:val="bbPlcHdr"/>
        </w:types>
        <w:behaviors>
          <w:behavior w:val="content"/>
        </w:behaviors>
        <w:description w:val=""/>
        <w:guid w:val="{5b37c329-a692-4a48-b20e-d2371b8d9c46}"/>
      </w:docPartPr>
      <w:docPartBody>
        <w:p w14:paraId="5BC9E753">
          <w:r>
            <w:rPr>
              <w:color w:val="808080"/>
            </w:rPr>
            <w:t>单击此处输入文字。</w:t>
          </w:r>
        </w:p>
      </w:docPartBody>
    </w:docPart>
    <w:docPart>
      <w:docPartPr>
        <w:name w:val="{3ca72793-7bf1-449f-a97b-3455d0d54c64}"/>
        <w:style w:val=""/>
        <w:category>
          <w:name w:val="常规"/>
          <w:gallery w:val="placeholder"/>
        </w:category>
        <w:types>
          <w:type w:val="bbPlcHdr"/>
        </w:types>
        <w:behaviors>
          <w:behavior w:val="content"/>
        </w:behaviors>
        <w:description w:val=""/>
        <w:guid w:val="{3ca72793-7bf1-449f-a97b-3455d0d54c64}"/>
      </w:docPartPr>
      <w:docPartBody>
        <w:p w14:paraId="1F8C66CF">
          <w:r>
            <w:rPr>
              <w:color w:val="808080"/>
            </w:rPr>
            <w:t>单击此处输入文字。</w:t>
          </w:r>
        </w:p>
      </w:docPartBody>
    </w:docPart>
    <w:docPart>
      <w:docPartPr>
        <w:name w:val="{fe0c1b5a-9d1f-44ea-89e7-5a0f72747d71}"/>
        <w:style w:val=""/>
        <w:category>
          <w:name w:val="常规"/>
          <w:gallery w:val="placeholder"/>
        </w:category>
        <w:types>
          <w:type w:val="bbPlcHdr"/>
        </w:types>
        <w:behaviors>
          <w:behavior w:val="content"/>
        </w:behaviors>
        <w:description w:val=""/>
        <w:guid w:val="{fe0c1b5a-9d1f-44ea-89e7-5a0f72747d71}"/>
      </w:docPartPr>
      <w:docPartBody>
        <w:p w14:paraId="1694144D">
          <w:r>
            <w:rPr>
              <w:color w:val="808080"/>
            </w:rPr>
            <w:t>单击此处输入文字。</w:t>
          </w:r>
        </w:p>
      </w:docPartBody>
    </w:docPart>
    <w:docPart>
      <w:docPartPr>
        <w:name w:val="{e8af163e-67f1-4647-9ed0-2499ebd6aa96}"/>
        <w:style w:val=""/>
        <w:category>
          <w:name w:val="常规"/>
          <w:gallery w:val="placeholder"/>
        </w:category>
        <w:types>
          <w:type w:val="bbPlcHdr"/>
        </w:types>
        <w:behaviors>
          <w:behavior w:val="content"/>
        </w:behaviors>
        <w:description w:val=""/>
        <w:guid w:val="{e8af163e-67f1-4647-9ed0-2499ebd6aa96}"/>
      </w:docPartPr>
      <w:docPartBody>
        <w:p w14:paraId="316B194C">
          <w:r>
            <w:rPr>
              <w:color w:val="808080"/>
            </w:rPr>
            <w:t>单击此处输入文字。</w:t>
          </w:r>
        </w:p>
      </w:docPartBody>
    </w:docPart>
    <w:docPart>
      <w:docPartPr>
        <w:name w:val="{a987837c-448c-4c6f-9ff8-bbbeb92746d4}"/>
        <w:style w:val=""/>
        <w:category>
          <w:name w:val="常规"/>
          <w:gallery w:val="placeholder"/>
        </w:category>
        <w:types>
          <w:type w:val="bbPlcHdr"/>
        </w:types>
        <w:behaviors>
          <w:behavior w:val="content"/>
        </w:behaviors>
        <w:description w:val=""/>
        <w:guid w:val="{a987837c-448c-4c6f-9ff8-bbbeb92746d4}"/>
      </w:docPartPr>
      <w:docPartBody>
        <w:p w14:paraId="1CFD8856">
          <w:r>
            <w:rPr>
              <w:color w:val="808080"/>
            </w:rPr>
            <w:t>单击此处输入文字。</w:t>
          </w:r>
        </w:p>
      </w:docPartBody>
    </w:docPart>
    <w:docPart>
      <w:docPartPr>
        <w:name w:val="{6d79c109-06ba-46e7-8d32-91f8980e0cc6}"/>
        <w:style w:val=""/>
        <w:category>
          <w:name w:val="常规"/>
          <w:gallery w:val="placeholder"/>
        </w:category>
        <w:types>
          <w:type w:val="bbPlcHdr"/>
        </w:types>
        <w:behaviors>
          <w:behavior w:val="content"/>
        </w:behaviors>
        <w:description w:val=""/>
        <w:guid w:val="{6d79c109-06ba-46e7-8d32-91f8980e0cc6}"/>
      </w:docPartPr>
      <w:docPartBody>
        <w:p w14:paraId="3971C988">
          <w:r>
            <w:rPr>
              <w:color w:val="808080"/>
            </w:rPr>
            <w:t>单击此处输入文字。</w:t>
          </w:r>
        </w:p>
      </w:docPartBody>
    </w:docPart>
    <w:docPart>
      <w:docPartPr>
        <w:name w:val="{1dda36c5-db30-494f-95d6-15e8a9726d6c}"/>
        <w:style w:val=""/>
        <w:category>
          <w:name w:val="常规"/>
          <w:gallery w:val="placeholder"/>
        </w:category>
        <w:types>
          <w:type w:val="bbPlcHdr"/>
        </w:types>
        <w:behaviors>
          <w:behavior w:val="content"/>
        </w:behaviors>
        <w:description w:val=""/>
        <w:guid w:val="{1dda36c5-db30-494f-95d6-15e8a9726d6c}"/>
      </w:docPartPr>
      <w:docPartBody>
        <w:p w14:paraId="418B47EB">
          <w:r>
            <w:rPr>
              <w:color w:val="808080"/>
            </w:rPr>
            <w:t>单击此处输入文字。</w:t>
          </w:r>
        </w:p>
      </w:docPartBody>
    </w:docPart>
    <w:docPart>
      <w:docPartPr>
        <w:name w:val="{d5ff15cb-09b0-4890-b52d-01e9c5bb7154}"/>
        <w:style w:val=""/>
        <w:category>
          <w:name w:val="常规"/>
          <w:gallery w:val="placeholder"/>
        </w:category>
        <w:types>
          <w:type w:val="bbPlcHdr"/>
        </w:types>
        <w:behaviors>
          <w:behavior w:val="content"/>
        </w:behaviors>
        <w:description w:val=""/>
        <w:guid w:val="{d5ff15cb-09b0-4890-b52d-01e9c5bb7154}"/>
      </w:docPartPr>
      <w:docPartBody>
        <w:p w14:paraId="659A0095">
          <w:r>
            <w:rPr>
              <w:color w:val="808080"/>
            </w:rPr>
            <w:t>单击此处输入文字。</w:t>
          </w:r>
        </w:p>
      </w:docPartBody>
    </w:docPart>
    <w:docPart>
      <w:docPartPr>
        <w:name w:val="{9b0db63d-2499-430d-88db-12e20165257b}"/>
        <w:style w:val=""/>
        <w:category>
          <w:name w:val="常规"/>
          <w:gallery w:val="placeholder"/>
        </w:category>
        <w:types>
          <w:type w:val="bbPlcHdr"/>
        </w:types>
        <w:behaviors>
          <w:behavior w:val="content"/>
        </w:behaviors>
        <w:description w:val=""/>
        <w:guid w:val="{9b0db63d-2499-430d-88db-12e20165257b}"/>
      </w:docPartPr>
      <w:docPartBody>
        <w:p w14:paraId="72AF4CFC">
          <w:r>
            <w:rPr>
              <w:color w:val="808080"/>
            </w:rPr>
            <w:t>单击此处输入文字。</w:t>
          </w:r>
        </w:p>
      </w:docPartBody>
    </w:docPart>
    <w:docPart>
      <w:docPartPr>
        <w:name w:val="{18068909-3e56-4597-9300-dc3793fddeea}"/>
        <w:style w:val=""/>
        <w:category>
          <w:name w:val="常规"/>
          <w:gallery w:val="placeholder"/>
        </w:category>
        <w:types>
          <w:type w:val="bbPlcHdr"/>
        </w:types>
        <w:behaviors>
          <w:behavior w:val="content"/>
        </w:behaviors>
        <w:description w:val=""/>
        <w:guid w:val="{18068909-3e56-4597-9300-dc3793fddeea}"/>
      </w:docPartPr>
      <w:docPartBody>
        <w:p w14:paraId="30312477">
          <w:r>
            <w:rPr>
              <w:color w:val="808080"/>
            </w:rPr>
            <w:t>单击此处输入文字。</w:t>
          </w:r>
        </w:p>
      </w:docPartBody>
    </w:docPart>
    <w:docPart>
      <w:docPartPr>
        <w:name w:val="{f61eedaa-5e29-403e-9f59-13156f3c25a8}"/>
        <w:style w:val=""/>
        <w:category>
          <w:name w:val="常规"/>
          <w:gallery w:val="placeholder"/>
        </w:category>
        <w:types>
          <w:type w:val="bbPlcHdr"/>
        </w:types>
        <w:behaviors>
          <w:behavior w:val="content"/>
        </w:behaviors>
        <w:description w:val=""/>
        <w:guid w:val="{f61eedaa-5e29-403e-9f59-13156f3c25a8}"/>
      </w:docPartPr>
      <w:docPartBody>
        <w:p w14:paraId="36264132">
          <w:r>
            <w:rPr>
              <w:color w:val="808080"/>
            </w:rPr>
            <w:t>单击此处输入文字。</w:t>
          </w:r>
        </w:p>
      </w:docPartBody>
    </w:docPart>
    <w:docPart>
      <w:docPartPr>
        <w:name w:val="{1cd18887-69fb-4e63-bfe1-f35a67d319c0}"/>
        <w:style w:val=""/>
        <w:category>
          <w:name w:val="常规"/>
          <w:gallery w:val="placeholder"/>
        </w:category>
        <w:types>
          <w:type w:val="bbPlcHdr"/>
        </w:types>
        <w:behaviors>
          <w:behavior w:val="content"/>
        </w:behaviors>
        <w:description w:val=""/>
        <w:guid w:val="{1cd18887-69fb-4e63-bfe1-f35a67d319c0}"/>
      </w:docPartPr>
      <w:docPartBody>
        <w:p w14:paraId="1124F45E">
          <w:r>
            <w:rPr>
              <w:color w:val="808080"/>
            </w:rPr>
            <w:t>单击此处输入文字。</w:t>
          </w:r>
        </w:p>
      </w:docPartBody>
    </w:docPart>
    <w:docPart>
      <w:docPartPr>
        <w:name w:val="{08aa8089-d1f9-43e8-bb3a-85fbed0db478}"/>
        <w:style w:val=""/>
        <w:category>
          <w:name w:val="常规"/>
          <w:gallery w:val="placeholder"/>
        </w:category>
        <w:types>
          <w:type w:val="bbPlcHdr"/>
        </w:types>
        <w:behaviors>
          <w:behavior w:val="content"/>
        </w:behaviors>
        <w:description w:val=""/>
        <w:guid w:val="{08aa8089-d1f9-43e8-bb3a-85fbed0db478}"/>
      </w:docPartPr>
      <w:docPartBody>
        <w:p w14:paraId="35530FE7">
          <w:r>
            <w:rPr>
              <w:color w:val="808080"/>
            </w:rPr>
            <w:t>单击此处输入文字。</w:t>
          </w:r>
        </w:p>
      </w:docPartBody>
    </w:docPart>
    <w:docPart>
      <w:docPartPr>
        <w:name w:val="{5be42726-2c76-454c-9593-992d6ebcbd40}"/>
        <w:style w:val=""/>
        <w:category>
          <w:name w:val="常规"/>
          <w:gallery w:val="placeholder"/>
        </w:category>
        <w:types>
          <w:type w:val="bbPlcHdr"/>
        </w:types>
        <w:behaviors>
          <w:behavior w:val="content"/>
        </w:behaviors>
        <w:description w:val=""/>
        <w:guid w:val="{5be42726-2c76-454c-9593-992d6ebcbd40}"/>
      </w:docPartPr>
      <w:docPartBody>
        <w:p w14:paraId="40EDC686">
          <w:r>
            <w:rPr>
              <w:color w:val="808080"/>
            </w:rPr>
            <w:t>单击此处输入文字。</w:t>
          </w:r>
        </w:p>
      </w:docPartBody>
    </w:docPart>
    <w:docPart>
      <w:docPartPr>
        <w:name w:val="{4aa05e04-1a1e-4e80-93bb-cc741e133d75}"/>
        <w:style w:val=""/>
        <w:category>
          <w:name w:val="常规"/>
          <w:gallery w:val="placeholder"/>
        </w:category>
        <w:types>
          <w:type w:val="bbPlcHdr"/>
        </w:types>
        <w:behaviors>
          <w:behavior w:val="content"/>
        </w:behaviors>
        <w:description w:val=""/>
        <w:guid w:val="{4aa05e04-1a1e-4e80-93bb-cc741e133d75}"/>
      </w:docPartPr>
      <w:docPartBody>
        <w:p w14:paraId="3B5E04C9">
          <w:r>
            <w:rPr>
              <w:color w:val="808080"/>
            </w:rPr>
            <w:t>单击此处输入文字。</w:t>
          </w:r>
        </w:p>
      </w:docPartBody>
    </w:docPart>
    <w:docPart>
      <w:docPartPr>
        <w:name w:val="{6995ab72-840d-4ead-ae9c-ebaca2f6e291}"/>
        <w:style w:val=""/>
        <w:category>
          <w:name w:val="常规"/>
          <w:gallery w:val="placeholder"/>
        </w:category>
        <w:types>
          <w:type w:val="bbPlcHdr"/>
        </w:types>
        <w:behaviors>
          <w:behavior w:val="content"/>
        </w:behaviors>
        <w:description w:val=""/>
        <w:guid w:val="{6995ab72-840d-4ead-ae9c-ebaca2f6e291}"/>
      </w:docPartPr>
      <w:docPartBody>
        <w:p w14:paraId="1E3057F9">
          <w:r>
            <w:rPr>
              <w:color w:val="808080"/>
            </w:rPr>
            <w:t>单击此处输入文字。</w:t>
          </w:r>
        </w:p>
      </w:docPartBody>
    </w:docPart>
    <w:docPart>
      <w:docPartPr>
        <w:name w:val="{6705f5eb-2bc0-4e94-98ad-e208a1832c45}"/>
        <w:style w:val=""/>
        <w:category>
          <w:name w:val="常规"/>
          <w:gallery w:val="placeholder"/>
        </w:category>
        <w:types>
          <w:type w:val="bbPlcHdr"/>
        </w:types>
        <w:behaviors>
          <w:behavior w:val="content"/>
        </w:behaviors>
        <w:description w:val=""/>
        <w:guid w:val="{6705f5eb-2bc0-4e94-98ad-e208a1832c45}"/>
      </w:docPartPr>
      <w:docPartBody>
        <w:p w14:paraId="5D71EE77">
          <w:r>
            <w:rPr>
              <w:color w:val="808080"/>
            </w:rPr>
            <w:t>单击此处输入文字。</w:t>
          </w:r>
        </w:p>
      </w:docPartBody>
    </w:docPart>
    <w:docPart>
      <w:docPartPr>
        <w:name w:val="{dc80798d-8738-4d9d-8041-a608cc55b639}"/>
        <w:style w:val=""/>
        <w:category>
          <w:name w:val="常规"/>
          <w:gallery w:val="placeholder"/>
        </w:category>
        <w:types>
          <w:type w:val="bbPlcHdr"/>
        </w:types>
        <w:behaviors>
          <w:behavior w:val="content"/>
        </w:behaviors>
        <w:description w:val=""/>
        <w:guid w:val="{dc80798d-8738-4d9d-8041-a608cc55b639}"/>
      </w:docPartPr>
      <w:docPartBody>
        <w:p w14:paraId="55540993">
          <w:r>
            <w:rPr>
              <w:color w:val="808080"/>
            </w:rPr>
            <w:t>单击此处输入文字。</w:t>
          </w:r>
        </w:p>
      </w:docPartBody>
    </w:docPart>
    <w:docPart>
      <w:docPartPr>
        <w:name w:val="{b0c8b241-753c-4bdc-9468-13a07a3bc858}"/>
        <w:style w:val=""/>
        <w:category>
          <w:name w:val="常规"/>
          <w:gallery w:val="placeholder"/>
        </w:category>
        <w:types>
          <w:type w:val="bbPlcHdr"/>
        </w:types>
        <w:behaviors>
          <w:behavior w:val="content"/>
        </w:behaviors>
        <w:description w:val=""/>
        <w:guid w:val="{b0c8b241-753c-4bdc-9468-13a07a3bc858}"/>
      </w:docPartPr>
      <w:docPartBody>
        <w:p w14:paraId="213E178E">
          <w:r>
            <w:rPr>
              <w:color w:val="808080"/>
            </w:rPr>
            <w:t>单击此处输入文字。</w:t>
          </w:r>
        </w:p>
      </w:docPartBody>
    </w:docPart>
    <w:docPart>
      <w:docPartPr>
        <w:name w:val="{2e920239-e1bc-4dcc-8e95-cf1ac27d6770}"/>
        <w:style w:val=""/>
        <w:category>
          <w:name w:val="常规"/>
          <w:gallery w:val="placeholder"/>
        </w:category>
        <w:types>
          <w:type w:val="bbPlcHdr"/>
        </w:types>
        <w:behaviors>
          <w:behavior w:val="content"/>
        </w:behaviors>
        <w:description w:val=""/>
        <w:guid w:val="{2e920239-e1bc-4dcc-8e95-cf1ac27d6770}"/>
      </w:docPartPr>
      <w:docPartBody>
        <w:p w14:paraId="56D21A67">
          <w:r>
            <w:rPr>
              <w:color w:val="808080"/>
            </w:rPr>
            <w:t>单击此处输入文字。</w:t>
          </w:r>
        </w:p>
      </w:docPartBody>
    </w:docPart>
    <w:docPart>
      <w:docPartPr>
        <w:name w:val="{2be42cba-8967-4563-9447-9f36073fb73d}"/>
        <w:style w:val=""/>
        <w:category>
          <w:name w:val="常规"/>
          <w:gallery w:val="placeholder"/>
        </w:category>
        <w:types>
          <w:type w:val="bbPlcHdr"/>
        </w:types>
        <w:behaviors>
          <w:behavior w:val="content"/>
        </w:behaviors>
        <w:description w:val=""/>
        <w:guid w:val="{2be42cba-8967-4563-9447-9f36073fb73d}"/>
      </w:docPartPr>
      <w:docPartBody>
        <w:p w14:paraId="7905C327">
          <w:r>
            <w:rPr>
              <w:color w:val="808080"/>
            </w:rPr>
            <w:t>单击此处输入文字。</w:t>
          </w:r>
        </w:p>
      </w:docPartBody>
    </w:docPart>
    <w:docPart>
      <w:docPartPr>
        <w:name w:val="{01d5609e-3585-44cb-8d8d-126582c09630}"/>
        <w:style w:val=""/>
        <w:category>
          <w:name w:val="常规"/>
          <w:gallery w:val="placeholder"/>
        </w:category>
        <w:types>
          <w:type w:val="bbPlcHdr"/>
        </w:types>
        <w:behaviors>
          <w:behavior w:val="content"/>
        </w:behaviors>
        <w:description w:val=""/>
        <w:guid w:val="{01d5609e-3585-44cb-8d8d-126582c09630}"/>
      </w:docPartPr>
      <w:docPartBody>
        <w:p w14:paraId="0FCE2C27">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characterSpacingControl w:val="doNotCompress"/>
  <w:compat>
    <w:useFELayout/>
    <w:splitPgBreakAndParaMark/>
    <w:compatSetting w:name="compatibilityMode" w:uri="http://schemas.microsoft.com/office/word" w:val="14"/>
  </w:compat>
  <w:rsids>
    <w:rsidRoot w:val="00D6268F"/>
    <w:rsid w:val="00D626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semiHidden="0" w:name="Default Paragraph Font"/>
    <w:lsdException w:qFormat="1" w:uiPriority="99" w:semiHidden="0" w:name="Normal Table"/>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 w:type="character" w:default="1" w:styleId="2">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102</Pages>
  <Words>9687</Words>
  <Characters>10558</Characters>
  <Lines>1</Lines>
  <Paragraphs>1</Paragraphs>
  <TotalTime>4</TotalTime>
  <ScaleCrop>false</ScaleCrop>
  <LinksUpToDate>false</LinksUpToDate>
  <CharactersWithSpaces>11370</CharactersWithSpaces>
  <Application>WPS Office_6.13.2.8918_F1E327BC-269C-435d-A152-05C5408002CA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2017-12-09T11:55:00Z</dcterms:created>
  <dc:creator>luhc</dc:creator>
  <cp:lastModifiedBy>CQ</cp:lastModifiedBy>
  <dcterms:modified xsi:type="dcterms:W3CDTF">2024-12-12T15:30:26Z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2052-6.13.2.8918</vt:lpwstr>
  </property>
  <property fmtid="{D5CDD505-2E9C-101B-9397-08002B2CF9AE}" pid="3" name="ICV">
    <vt:lpwstr>D5DFA28BF892FEEAC4F43E676AA66D5E_43</vt:lpwstr>
  </property>
</Properties>
</file>