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autoSpaceDE w:val="0"/>
        <w:autoSpaceDN w:val="0"/>
        <w:spacing w:line="240" w:lineRule="exact"/>
        <w:rPr>
          <w:rFonts w:hAnsi="Calibri"/>
          <w:color w:val="000000"/>
          <w:szCs w:val="22"/>
          <w:lang w:eastAsia="zh-CN"/>
        </w:rPr>
      </w:pPr>
      <w:r>
        <w:rPr>
          <w:rFonts w:ascii="宋体" w:hAnsi="宋体" w:cs="宋体"/>
          <w:color w:val="000000"/>
          <w:szCs w:val="22"/>
          <w:lang w:eastAsia="zh-CN"/>
        </w:rPr>
        <w:t>技术要求附件：</w:t>
      </w:r>
    </w:p>
    <w:p>
      <w:pPr>
        <w:rPr>
          <w:lang w:eastAsia="zh-CN"/>
        </w:rPr>
      </w:pPr>
    </w:p>
    <w:p>
      <w:pPr>
        <w:widowControl w:val="0"/>
        <w:autoSpaceDE w:val="0"/>
        <w:autoSpaceDN w:val="0"/>
        <w:spacing w:line="320" w:lineRule="exact"/>
        <w:jc w:val="center"/>
        <w:rPr>
          <w:rFonts w:ascii="宋体" w:hAnsi="宋体" w:eastAsia="宋体"/>
          <w:color w:val="000000"/>
          <w:sz w:val="28"/>
          <w:szCs w:val="28"/>
          <w:lang w:eastAsia="zh-CN"/>
        </w:rPr>
      </w:pPr>
      <w:r>
        <w:rPr>
          <w:rFonts w:ascii="宋体" w:hAnsi="宋体" w:eastAsia="宋体" w:cs="宋体"/>
          <w:color w:val="000000"/>
          <w:spacing w:val="1"/>
          <w:sz w:val="28"/>
          <w:szCs w:val="28"/>
          <w:lang w:eastAsia="zh-CN"/>
        </w:rPr>
        <w:t>南方电网科学研究院有限责任公司</w:t>
      </w:r>
    </w:p>
    <w:p>
      <w:pPr>
        <w:widowControl w:val="0"/>
        <w:autoSpaceDE w:val="0"/>
        <w:autoSpaceDN w:val="0"/>
        <w:spacing w:line="320" w:lineRule="exact"/>
        <w:jc w:val="center"/>
        <w:rPr>
          <w:rFonts w:ascii="宋体" w:hAnsi="宋体" w:eastAsia="宋体"/>
          <w:color w:val="000000"/>
          <w:sz w:val="28"/>
          <w:szCs w:val="28"/>
          <w:lang w:eastAsia="zh-CN"/>
        </w:rPr>
      </w:pPr>
      <w:r>
        <w:rPr>
          <w:rFonts w:hint="eastAsia" w:ascii="宋体" w:hAnsi="宋体" w:eastAsia="宋体" w:cs="宋体"/>
          <w:color w:val="000000"/>
          <w:spacing w:val="1"/>
          <w:sz w:val="28"/>
          <w:szCs w:val="28"/>
          <w:lang w:eastAsia="zh-CN"/>
        </w:rPr>
        <w:t>高压直流工程调试用指针表等设备租赁</w:t>
      </w:r>
    </w:p>
    <w:p>
      <w:pPr>
        <w:widowControl w:val="0"/>
        <w:autoSpaceDE w:val="0"/>
        <w:autoSpaceDN w:val="0"/>
        <w:spacing w:line="320" w:lineRule="exact"/>
        <w:jc w:val="center"/>
        <w:rPr>
          <w:rFonts w:ascii="宋体" w:hAnsi="宋体" w:eastAsia="宋体"/>
          <w:color w:val="000000"/>
          <w:sz w:val="28"/>
          <w:szCs w:val="28"/>
          <w:lang w:eastAsia="zh-CN"/>
        </w:rPr>
      </w:pPr>
      <w:r>
        <w:rPr>
          <w:rFonts w:ascii="宋体" w:hAnsi="宋体" w:eastAsia="宋体" w:cs="宋体"/>
          <w:color w:val="000000"/>
          <w:spacing w:val="1"/>
          <w:sz w:val="28"/>
          <w:szCs w:val="28"/>
          <w:lang w:eastAsia="zh-CN"/>
        </w:rPr>
        <w:t>零星采购技术附件</w:t>
      </w:r>
    </w:p>
    <w:p>
      <w:pPr>
        <w:jc w:val="center"/>
        <w:rPr>
          <w:lang w:eastAsia="zh-CN"/>
        </w:rPr>
      </w:pPr>
    </w:p>
    <w:p>
      <w:pPr>
        <w:widowControl w:val="0"/>
        <w:autoSpaceDE w:val="0"/>
        <w:autoSpaceDN w:val="0"/>
        <w:spacing w:line="360" w:lineRule="auto"/>
        <w:ind w:firstLine="484" w:firstLineChars="200"/>
        <w:rPr>
          <w:rFonts w:ascii="宋体" w:hAnsi="宋体" w:eastAsia="宋体"/>
          <w:lang w:eastAsia="zh-CN"/>
        </w:rPr>
      </w:pPr>
      <w:r>
        <w:rPr>
          <w:rFonts w:ascii="宋体" w:hAnsi="宋体" w:eastAsia="宋体" w:cs="宋体"/>
          <w:spacing w:val="1"/>
          <w:lang w:eastAsia="zh-CN"/>
        </w:rPr>
        <w:t>一、</w:t>
      </w:r>
      <w:r>
        <w:rPr>
          <w:rFonts w:ascii="宋体" w:hAnsi="宋体" w:eastAsia="宋体"/>
          <w:spacing w:val="156"/>
          <w:lang w:eastAsia="zh-CN"/>
        </w:rPr>
        <w:t xml:space="preserve"> </w:t>
      </w:r>
      <w:r>
        <w:rPr>
          <w:rFonts w:ascii="宋体" w:hAnsi="宋体" w:eastAsia="宋体" w:cs="宋体"/>
          <w:spacing w:val="1"/>
          <w:lang w:eastAsia="zh-CN"/>
        </w:rPr>
        <w:t>采购范围及要求</w:t>
      </w:r>
    </w:p>
    <w:p>
      <w:pPr>
        <w:widowControl w:val="0"/>
        <w:autoSpaceDE w:val="0"/>
        <w:autoSpaceDN w:val="0"/>
        <w:spacing w:line="360" w:lineRule="auto"/>
        <w:ind w:firstLine="468" w:firstLineChars="200"/>
        <w:rPr>
          <w:rFonts w:ascii="宋体" w:hAnsi="宋体" w:eastAsia="宋体"/>
          <w:lang w:eastAsia="zh-CN"/>
        </w:rPr>
      </w:pPr>
      <w:r>
        <w:rPr>
          <w:rFonts w:ascii="宋体" w:hAnsi="宋体" w:eastAsia="宋体" w:cs="宋体"/>
          <w:spacing w:val="-3"/>
          <w:lang w:eastAsia="zh-CN"/>
        </w:rPr>
        <w:t>按照国家、行业、南方电网公司相关规定和要求，完成“</w:t>
      </w:r>
      <w:r>
        <w:rPr>
          <w:rFonts w:hint="eastAsia" w:ascii="宋体" w:hAnsi="宋体" w:eastAsia="宋体" w:cs="宋体"/>
          <w:spacing w:val="-3"/>
          <w:lang w:eastAsia="zh-CN"/>
        </w:rPr>
        <w:t>直流工程调试用指针表等设备</w:t>
      </w:r>
      <w:r>
        <w:rPr>
          <w:rFonts w:ascii="宋体" w:hAnsi="宋体" w:eastAsia="宋体" w:cs="宋体"/>
          <w:lang w:eastAsia="zh-CN"/>
        </w:rPr>
        <w:t>”</w:t>
      </w:r>
      <w:r>
        <w:rPr>
          <w:rFonts w:hint="eastAsia" w:ascii="宋体" w:hAnsi="宋体" w:eastAsia="宋体" w:cs="宋体"/>
          <w:lang w:eastAsia="zh-CN"/>
        </w:rPr>
        <w:t>租赁</w:t>
      </w:r>
      <w:r>
        <w:rPr>
          <w:rFonts w:ascii="宋体" w:hAnsi="宋体" w:eastAsia="宋体" w:cs="宋体"/>
          <w:lang w:eastAsia="zh-CN"/>
        </w:rPr>
        <w:t>。其中，</w:t>
      </w:r>
      <w:r>
        <w:rPr>
          <w:rFonts w:hint="eastAsia" w:ascii="宋体" w:hAnsi="宋体" w:eastAsia="宋体" w:cs="宋体"/>
          <w:lang w:eastAsia="zh-CN"/>
        </w:rPr>
        <w:t>设备详细要求如下</w:t>
      </w:r>
      <w:r>
        <w:rPr>
          <w:rFonts w:ascii="宋体" w:hAnsi="宋体" w:eastAsia="宋体" w:cs="宋体"/>
          <w:lang w:eastAsia="zh-CN"/>
        </w:rPr>
        <w:t>：</w:t>
      </w:r>
    </w:p>
    <w:tbl>
      <w:tblPr>
        <w:tblStyle w:val="5"/>
        <w:tblW w:w="83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1198"/>
        <w:gridCol w:w="734"/>
        <w:gridCol w:w="708"/>
        <w:gridCol w:w="4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widowControl w:val="0"/>
              <w:autoSpaceDE w:val="0"/>
              <w:autoSpaceDN w:val="0"/>
              <w:spacing w:line="360" w:lineRule="auto"/>
              <w:rPr>
                <w:rFonts w:ascii="宋体" w:hAnsi="宋体" w:eastAsia="宋体" w:cs="宋体"/>
                <w:lang w:eastAsia="zh-CN"/>
              </w:rPr>
            </w:pPr>
            <w:r>
              <w:rPr>
                <w:rFonts w:hint="eastAsia" w:ascii="宋体" w:hAnsi="宋体" w:eastAsia="宋体" w:cs="宋体"/>
                <w:lang w:eastAsia="zh-CN"/>
              </w:rPr>
              <w:t>序号</w:t>
            </w:r>
          </w:p>
        </w:tc>
        <w:tc>
          <w:tcPr>
            <w:tcW w:w="1198" w:type="dxa"/>
          </w:tcPr>
          <w:p>
            <w:pPr>
              <w:widowControl w:val="0"/>
              <w:autoSpaceDE w:val="0"/>
              <w:autoSpaceDN w:val="0"/>
              <w:spacing w:line="360" w:lineRule="auto"/>
              <w:rPr>
                <w:rFonts w:ascii="宋体" w:hAnsi="宋体" w:eastAsia="宋体" w:cs="宋体"/>
                <w:lang w:eastAsia="zh-CN"/>
              </w:rPr>
            </w:pPr>
            <w:r>
              <w:rPr>
                <w:rFonts w:hint="eastAsia" w:ascii="宋体" w:hAnsi="宋体" w:eastAsia="宋体" w:cs="宋体"/>
                <w:lang w:eastAsia="zh-CN"/>
              </w:rPr>
              <w:t>设备名称</w:t>
            </w:r>
          </w:p>
        </w:tc>
        <w:tc>
          <w:tcPr>
            <w:tcW w:w="734" w:type="dxa"/>
          </w:tcPr>
          <w:p>
            <w:pPr>
              <w:widowControl w:val="0"/>
              <w:autoSpaceDE w:val="0"/>
              <w:autoSpaceDN w:val="0"/>
              <w:spacing w:line="360" w:lineRule="auto"/>
              <w:rPr>
                <w:rFonts w:ascii="宋体" w:hAnsi="宋体" w:eastAsia="宋体" w:cs="宋体"/>
                <w:lang w:eastAsia="zh-CN"/>
              </w:rPr>
            </w:pPr>
            <w:r>
              <w:rPr>
                <w:rFonts w:hint="eastAsia" w:ascii="宋体" w:hAnsi="宋体" w:eastAsia="宋体" w:cs="宋体"/>
                <w:lang w:eastAsia="zh-CN"/>
              </w:rPr>
              <w:t>数量</w:t>
            </w:r>
          </w:p>
        </w:tc>
        <w:tc>
          <w:tcPr>
            <w:tcW w:w="708" w:type="dxa"/>
          </w:tcPr>
          <w:p>
            <w:pPr>
              <w:widowControl w:val="0"/>
              <w:autoSpaceDE w:val="0"/>
              <w:autoSpaceDN w:val="0"/>
              <w:spacing w:line="360" w:lineRule="auto"/>
              <w:rPr>
                <w:rFonts w:ascii="宋体" w:hAnsi="宋体" w:eastAsia="宋体" w:cs="宋体"/>
                <w:lang w:eastAsia="zh-CN"/>
              </w:rPr>
            </w:pPr>
            <w:r>
              <w:rPr>
                <w:rFonts w:hint="eastAsia" w:ascii="宋体" w:hAnsi="宋体" w:eastAsia="宋体" w:cs="宋体"/>
                <w:lang w:eastAsia="zh-CN"/>
              </w:rPr>
              <w:t>租赁期限</w:t>
            </w:r>
          </w:p>
        </w:tc>
        <w:tc>
          <w:tcPr>
            <w:tcW w:w="4899" w:type="dxa"/>
          </w:tcPr>
          <w:p>
            <w:pPr>
              <w:widowControl w:val="0"/>
              <w:autoSpaceDE w:val="0"/>
              <w:autoSpaceDN w:val="0"/>
              <w:spacing w:line="360" w:lineRule="auto"/>
              <w:rPr>
                <w:rFonts w:ascii="宋体" w:hAnsi="宋体" w:eastAsia="宋体" w:cs="宋体"/>
                <w:lang w:eastAsia="zh-CN"/>
              </w:rPr>
            </w:pPr>
            <w:r>
              <w:rPr>
                <w:rFonts w:hint="eastAsia" w:ascii="宋体" w:hAnsi="宋体" w:eastAsia="宋体" w:cs="宋体"/>
                <w:lang w:eastAsia="zh-CN"/>
              </w:rPr>
              <w:t>主要功能性能指标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widowControl w:val="0"/>
              <w:autoSpaceDE w:val="0"/>
              <w:autoSpaceDN w:val="0"/>
              <w:spacing w:line="360" w:lineRule="auto"/>
              <w:rPr>
                <w:rFonts w:ascii="宋体" w:hAnsi="宋体" w:eastAsia="宋体" w:cs="宋体"/>
                <w:lang w:eastAsia="zh-CN"/>
              </w:rPr>
            </w:pPr>
            <w:r>
              <w:rPr>
                <w:rFonts w:hint="eastAsia" w:ascii="宋体" w:hAnsi="宋体" w:eastAsia="宋体" w:cs="宋体"/>
                <w:lang w:eastAsia="zh-CN"/>
              </w:rPr>
              <w:t>1</w:t>
            </w:r>
          </w:p>
        </w:tc>
        <w:tc>
          <w:tcPr>
            <w:tcW w:w="1198" w:type="dxa"/>
          </w:tcPr>
          <w:p>
            <w:pPr>
              <w:widowControl w:val="0"/>
              <w:autoSpaceDE w:val="0"/>
              <w:autoSpaceDN w:val="0"/>
              <w:spacing w:line="360" w:lineRule="auto"/>
              <w:rPr>
                <w:rFonts w:ascii="宋体" w:hAnsi="宋体" w:eastAsia="宋体" w:cs="宋体"/>
                <w:lang w:eastAsia="zh-CN"/>
              </w:rPr>
            </w:pPr>
            <w:r>
              <w:rPr>
                <w:rFonts w:hint="eastAsia" w:ascii="宋体" w:hAnsi="宋体" w:eastAsia="宋体" w:cs="宋体"/>
                <w:lang w:eastAsia="zh-CN"/>
              </w:rPr>
              <w:t>指针表</w:t>
            </w:r>
          </w:p>
        </w:tc>
        <w:tc>
          <w:tcPr>
            <w:tcW w:w="734" w:type="dxa"/>
          </w:tcPr>
          <w:p>
            <w:pPr>
              <w:widowControl w:val="0"/>
              <w:autoSpaceDE w:val="0"/>
              <w:autoSpaceDN w:val="0"/>
              <w:spacing w:line="360" w:lineRule="auto"/>
              <w:rPr>
                <w:rFonts w:ascii="宋体" w:hAnsi="宋体" w:eastAsia="宋体" w:cs="宋体"/>
                <w:lang w:eastAsia="zh-CN"/>
              </w:rPr>
            </w:pPr>
            <w:r>
              <w:rPr>
                <w:rFonts w:hint="eastAsia" w:ascii="宋体" w:hAnsi="宋体" w:eastAsia="宋体" w:cs="宋体"/>
                <w:lang w:eastAsia="zh-CN"/>
              </w:rPr>
              <w:t>1台</w:t>
            </w:r>
          </w:p>
        </w:tc>
        <w:tc>
          <w:tcPr>
            <w:tcW w:w="708" w:type="dxa"/>
          </w:tcPr>
          <w:p>
            <w:pPr>
              <w:widowControl w:val="0"/>
              <w:autoSpaceDE w:val="0"/>
              <w:autoSpaceDN w:val="0"/>
              <w:spacing w:line="360" w:lineRule="auto"/>
              <w:rPr>
                <w:rFonts w:ascii="宋体" w:hAnsi="宋体" w:eastAsia="宋体" w:cs="宋体"/>
                <w:lang w:eastAsia="zh-CN"/>
              </w:rPr>
            </w:pPr>
            <w:r>
              <w:rPr>
                <w:rFonts w:hint="eastAsia" w:ascii="宋体" w:hAnsi="宋体" w:eastAsia="宋体" w:cs="宋体"/>
                <w:lang w:eastAsia="zh-CN"/>
              </w:rPr>
              <w:t>1年</w:t>
            </w:r>
          </w:p>
        </w:tc>
        <w:tc>
          <w:tcPr>
            <w:tcW w:w="4899" w:type="dxa"/>
            <w:vAlign w:val="top"/>
          </w:tcPr>
          <w:p>
            <w:pPr>
              <w:widowControl w:val="0"/>
              <w:autoSpaceDE w:val="0"/>
              <w:autoSpaceDN w:val="0"/>
              <w:spacing w:line="360" w:lineRule="auto"/>
              <w:rPr>
                <w:rFonts w:ascii="宋体" w:hAnsi="宋体" w:eastAsia="宋体" w:cs="宋体"/>
                <w:color w:val="auto"/>
                <w:lang w:eastAsia="zh-CN"/>
              </w:rPr>
            </w:pPr>
            <w:r>
              <w:rPr>
                <w:rFonts w:hint="eastAsia" w:ascii="宋体" w:hAnsi="宋体" w:eastAsia="宋体" w:cs="宋体"/>
                <w:color w:val="auto"/>
                <w:lang w:eastAsia="zh-CN"/>
              </w:rPr>
              <w:t>具备电压、电流、电阻测量功能.</w:t>
            </w:r>
          </w:p>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主要技术要求不低于如下参数：</w:t>
            </w:r>
          </w:p>
          <w:p>
            <w:pPr>
              <w:widowControl w:val="0"/>
              <w:autoSpaceDE w:val="0"/>
              <w:autoSpaceDN w:val="0"/>
              <w:spacing w:line="360" w:lineRule="auto"/>
              <w:rPr>
                <w:rFonts w:ascii="宋体" w:hAnsi="宋体" w:eastAsia="宋体" w:cs="宋体"/>
                <w:color w:val="auto"/>
                <w:lang w:eastAsia="zh-CN"/>
              </w:rPr>
            </w:pPr>
            <w:r>
              <w:rPr>
                <w:rFonts w:hint="eastAsia" w:ascii="宋体" w:hAnsi="宋体" w:eastAsia="宋体" w:cs="宋体"/>
                <w:color w:val="auto"/>
                <w:lang w:eastAsia="zh-CN"/>
              </w:rPr>
              <w:t>交流电流测量范围：10A，灵敏度：0.25</w:t>
            </w:r>
            <w:r>
              <w:rPr>
                <w:rFonts w:ascii="宋体" w:hAnsi="宋体" w:eastAsia="宋体" w:cs="宋体"/>
                <w:color w:val="auto"/>
                <w:lang w:eastAsia="zh-CN"/>
              </w:rPr>
              <w:t>A</w:t>
            </w:r>
            <w:r>
              <w:rPr>
                <w:rFonts w:hint="eastAsia" w:ascii="宋体" w:hAnsi="宋体" w:eastAsia="宋体" w:cs="宋体"/>
                <w:color w:val="auto"/>
                <w:lang w:eastAsia="zh-CN"/>
              </w:rPr>
              <w:t>，精确度误差±</w:t>
            </w:r>
            <w:r>
              <w:rPr>
                <w:rFonts w:ascii="宋体" w:hAnsi="宋体" w:eastAsia="宋体" w:cs="宋体"/>
                <w:color w:val="auto"/>
                <w:lang w:eastAsia="zh-CN"/>
              </w:rPr>
              <w:t>5</w:t>
            </w:r>
            <w:r>
              <w:rPr>
                <w:rFonts w:hint="eastAsia" w:ascii="宋体" w:hAnsi="宋体" w:eastAsia="宋体" w:cs="宋体"/>
                <w:color w:val="auto"/>
                <w:lang w:eastAsia="zh-CN"/>
              </w:rPr>
              <w:t>%；</w:t>
            </w:r>
          </w:p>
          <w:p>
            <w:pPr>
              <w:widowControl w:val="0"/>
              <w:autoSpaceDE w:val="0"/>
              <w:autoSpaceDN w:val="0"/>
              <w:spacing w:line="360" w:lineRule="auto"/>
              <w:rPr>
                <w:rFonts w:ascii="宋体" w:hAnsi="宋体" w:eastAsia="宋体" w:cs="宋体"/>
                <w:color w:val="auto"/>
                <w:lang w:eastAsia="zh-CN"/>
              </w:rPr>
            </w:pPr>
            <w:r>
              <w:rPr>
                <w:rFonts w:hint="eastAsia" w:ascii="宋体" w:hAnsi="宋体" w:eastAsia="宋体" w:cs="宋体"/>
                <w:color w:val="auto"/>
                <w:lang w:eastAsia="zh-CN"/>
              </w:rPr>
              <w:t>直流电压测量范围：20</w:t>
            </w:r>
            <w:r>
              <w:rPr>
                <w:rFonts w:ascii="宋体" w:hAnsi="宋体" w:eastAsia="宋体" w:cs="宋体"/>
                <w:color w:val="auto"/>
                <w:lang w:eastAsia="zh-CN"/>
              </w:rPr>
              <w:t>k</w:t>
            </w:r>
            <w:r>
              <w:rPr>
                <w:rFonts w:hint="eastAsia" w:ascii="宋体" w:hAnsi="宋体" w:eastAsia="宋体" w:cs="宋体"/>
                <w:color w:val="auto"/>
                <w:lang w:eastAsia="zh-CN"/>
              </w:rPr>
              <w:t>V，精准度误差±</w:t>
            </w:r>
            <w:r>
              <w:rPr>
                <w:rFonts w:ascii="宋体" w:hAnsi="宋体" w:eastAsia="宋体" w:cs="宋体"/>
                <w:color w:val="auto"/>
                <w:lang w:eastAsia="zh-CN"/>
              </w:rPr>
              <w:t>5</w:t>
            </w:r>
            <w:r>
              <w:rPr>
                <w:rFonts w:hint="eastAsia" w:ascii="宋体" w:hAnsi="宋体" w:eastAsia="宋体" w:cs="宋体"/>
                <w:color w:val="auto"/>
                <w:lang w:eastAsia="zh-CN"/>
              </w:rPr>
              <w:t>%；</w:t>
            </w:r>
          </w:p>
          <w:p>
            <w:pPr>
              <w:widowControl w:val="0"/>
              <w:autoSpaceDE w:val="0"/>
              <w:autoSpaceDN w:val="0"/>
              <w:spacing w:line="360" w:lineRule="auto"/>
              <w:rPr>
                <w:rFonts w:ascii="宋体" w:hAnsi="宋体" w:eastAsia="宋体" w:cs="宋体"/>
                <w:color w:val="auto"/>
                <w:lang w:eastAsia="zh-CN"/>
              </w:rPr>
            </w:pPr>
            <w:r>
              <w:rPr>
                <w:rFonts w:hint="eastAsia" w:ascii="宋体" w:hAnsi="宋体" w:eastAsia="宋体" w:cs="宋体"/>
                <w:color w:val="auto"/>
                <w:lang w:eastAsia="zh-CN"/>
              </w:rPr>
              <w:t>交流电压测量范围：9</w:t>
            </w:r>
            <w:r>
              <w:rPr>
                <w:rFonts w:ascii="宋体" w:hAnsi="宋体" w:eastAsia="宋体" w:cs="宋体"/>
                <w:color w:val="auto"/>
                <w:lang w:eastAsia="zh-CN"/>
              </w:rPr>
              <w:t>kV</w:t>
            </w:r>
            <w:r>
              <w:rPr>
                <w:rFonts w:hint="eastAsia" w:ascii="宋体" w:hAnsi="宋体" w:eastAsia="宋体" w:cs="宋体"/>
                <w:color w:val="auto"/>
                <w:lang w:eastAsia="zh-CN"/>
              </w:rPr>
              <w:t>，精准度误差±5%；</w:t>
            </w:r>
          </w:p>
          <w:p>
            <w:pPr>
              <w:widowControl w:val="0"/>
              <w:autoSpaceDE w:val="0"/>
              <w:autoSpaceDN w:val="0"/>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t>直流电阻测量范围：20</w:t>
            </w:r>
            <w:r>
              <w:rPr>
                <w:rFonts w:ascii="宋体" w:hAnsi="宋体" w:eastAsia="宋体" w:cs="宋体"/>
                <w:color w:val="auto"/>
                <w:lang w:eastAsia="zh-CN"/>
              </w:rPr>
              <w:t>k</w:t>
            </w:r>
            <w:r>
              <w:rPr>
                <w:rFonts w:hint="eastAsia" w:ascii="宋体" w:hAnsi="宋体" w:eastAsia="宋体" w:cs="宋体"/>
                <w:color w:val="auto"/>
                <w:lang w:eastAsia="zh-CN"/>
              </w:rPr>
              <w:t>Ω，精准度误差±10%</w:t>
            </w:r>
            <w:r>
              <w:rPr>
                <w:rFonts w:ascii="宋体" w:hAnsi="宋体" w:eastAsia="宋体" w:cs="宋体"/>
                <w:color w:val="auto"/>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widowControl w:val="0"/>
              <w:autoSpaceDE w:val="0"/>
              <w:autoSpaceDN w:val="0"/>
              <w:spacing w:line="360" w:lineRule="auto"/>
              <w:rPr>
                <w:rFonts w:ascii="宋体" w:hAnsi="宋体" w:eastAsia="宋体" w:cs="宋体"/>
                <w:lang w:eastAsia="zh-CN"/>
              </w:rPr>
            </w:pPr>
            <w:r>
              <w:rPr>
                <w:rFonts w:hint="eastAsia" w:ascii="宋体" w:hAnsi="宋体" w:eastAsia="宋体" w:cs="宋体"/>
                <w:lang w:eastAsia="zh-CN"/>
              </w:rPr>
              <w:t>2</w:t>
            </w:r>
          </w:p>
        </w:tc>
        <w:tc>
          <w:tcPr>
            <w:tcW w:w="1198" w:type="dxa"/>
          </w:tcPr>
          <w:p>
            <w:pPr>
              <w:widowControl w:val="0"/>
              <w:autoSpaceDE w:val="0"/>
              <w:autoSpaceDN w:val="0"/>
              <w:spacing w:line="360" w:lineRule="auto"/>
              <w:rPr>
                <w:rFonts w:ascii="宋体" w:hAnsi="宋体" w:eastAsia="宋体" w:cs="宋体"/>
                <w:lang w:eastAsia="zh-CN"/>
              </w:rPr>
            </w:pPr>
            <w:r>
              <w:rPr>
                <w:rFonts w:hint="eastAsia" w:ascii="宋体" w:hAnsi="宋体" w:eastAsia="宋体" w:cs="宋体"/>
                <w:lang w:eastAsia="zh-CN"/>
              </w:rPr>
              <w:t>相序表</w:t>
            </w:r>
          </w:p>
        </w:tc>
        <w:tc>
          <w:tcPr>
            <w:tcW w:w="734" w:type="dxa"/>
          </w:tcPr>
          <w:p>
            <w:pPr>
              <w:widowControl w:val="0"/>
              <w:autoSpaceDE w:val="0"/>
              <w:autoSpaceDN w:val="0"/>
              <w:spacing w:line="360" w:lineRule="auto"/>
              <w:rPr>
                <w:rFonts w:ascii="宋体" w:hAnsi="宋体" w:eastAsia="宋体" w:cs="宋体"/>
                <w:lang w:eastAsia="zh-CN"/>
              </w:rPr>
            </w:pPr>
            <w:r>
              <w:rPr>
                <w:rFonts w:hint="eastAsia" w:ascii="宋体" w:hAnsi="宋体" w:eastAsia="宋体" w:cs="宋体"/>
                <w:lang w:eastAsia="zh-CN"/>
              </w:rPr>
              <w:t>1台</w:t>
            </w:r>
          </w:p>
        </w:tc>
        <w:tc>
          <w:tcPr>
            <w:tcW w:w="708" w:type="dxa"/>
          </w:tcPr>
          <w:p>
            <w:pPr>
              <w:widowControl w:val="0"/>
              <w:autoSpaceDE w:val="0"/>
              <w:autoSpaceDN w:val="0"/>
              <w:spacing w:line="360" w:lineRule="auto"/>
              <w:rPr>
                <w:rFonts w:ascii="宋体" w:hAnsi="宋体" w:eastAsia="宋体" w:cs="宋体"/>
                <w:lang w:eastAsia="zh-CN"/>
              </w:rPr>
            </w:pPr>
            <w:r>
              <w:rPr>
                <w:rFonts w:hint="eastAsia" w:ascii="宋体" w:hAnsi="宋体" w:eastAsia="宋体" w:cs="宋体"/>
                <w:lang w:eastAsia="zh-CN"/>
              </w:rPr>
              <w:t>1年</w:t>
            </w:r>
          </w:p>
        </w:tc>
        <w:tc>
          <w:tcPr>
            <w:tcW w:w="4899" w:type="dxa"/>
            <w:vAlign w:val="top"/>
          </w:tcPr>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具备测量400V、10kV、35kV等三相线路的相序、相位、电压、频率，核相测试，变压器组别判断功能。可显示相序结果、核相结果、相位、频率、电压，向量图指示，有语音提示，清晰直观，无线通讯距离达</w:t>
            </w:r>
            <w:r>
              <w:rPr>
                <w:rFonts w:ascii="宋体" w:hAnsi="宋体" w:eastAsia="宋体" w:cs="宋体"/>
                <w:color w:val="auto"/>
                <w:lang w:eastAsia="zh-CN"/>
              </w:rPr>
              <w:t>5</w:t>
            </w:r>
            <w:r>
              <w:rPr>
                <w:rFonts w:hint="eastAsia" w:ascii="宋体" w:hAnsi="宋体" w:eastAsia="宋体" w:cs="宋体"/>
                <w:color w:val="auto"/>
                <w:lang w:eastAsia="zh-CN"/>
              </w:rPr>
              <w:t>0m以上。其中35kV及以下的裸导线可以直接接触测量，35kV以上的裸导线采用非接触式测量，非接触测试是将探测器逐渐靠近被测导线，当感应到电场信号时就可以完成相序、核相测试，无需直接接触高压导线。低压数字相序指示仪：测试电压范围：40-700V、频率范围：15-400HZ；高压相序指示仪：高压无线核相、相位监测相序判断，可用于测试110kV及以下电压等级</w:t>
            </w:r>
          </w:p>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同相定性：主机显示度数≤15°</w:t>
            </w:r>
          </w:p>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主机和采集器的视距传输距离≥100m</w:t>
            </w:r>
          </w:p>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通用采集器X、Y测试交流电压等级380V-220kV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widowControl w:val="0"/>
              <w:autoSpaceDE w:val="0"/>
              <w:autoSpaceDN w:val="0"/>
              <w:spacing w:line="360" w:lineRule="auto"/>
              <w:rPr>
                <w:rFonts w:ascii="宋体" w:hAnsi="宋体" w:eastAsia="宋体" w:cs="宋体"/>
                <w:lang w:eastAsia="zh-CN"/>
              </w:rPr>
            </w:pPr>
            <w:r>
              <w:rPr>
                <w:rFonts w:hint="eastAsia" w:ascii="宋体" w:hAnsi="宋体" w:eastAsia="宋体" w:cs="宋体"/>
                <w:lang w:eastAsia="zh-CN"/>
              </w:rPr>
              <w:t>3</w:t>
            </w:r>
          </w:p>
        </w:tc>
        <w:tc>
          <w:tcPr>
            <w:tcW w:w="1198" w:type="dxa"/>
          </w:tcPr>
          <w:p>
            <w:pPr>
              <w:widowControl w:val="0"/>
              <w:autoSpaceDE w:val="0"/>
              <w:autoSpaceDN w:val="0"/>
              <w:spacing w:line="360" w:lineRule="auto"/>
              <w:rPr>
                <w:rFonts w:ascii="宋体" w:hAnsi="宋体" w:eastAsia="宋体" w:cs="宋体"/>
                <w:lang w:eastAsia="zh-CN"/>
              </w:rPr>
            </w:pPr>
            <w:r>
              <w:rPr>
                <w:rFonts w:hint="eastAsia" w:ascii="宋体" w:hAnsi="宋体" w:eastAsia="宋体" w:cs="宋体"/>
                <w:lang w:eastAsia="zh-CN"/>
              </w:rPr>
              <w:t>智能三相相位伏安表</w:t>
            </w:r>
          </w:p>
        </w:tc>
        <w:tc>
          <w:tcPr>
            <w:tcW w:w="734" w:type="dxa"/>
          </w:tcPr>
          <w:p>
            <w:pPr>
              <w:widowControl w:val="0"/>
              <w:autoSpaceDE w:val="0"/>
              <w:autoSpaceDN w:val="0"/>
              <w:spacing w:line="360" w:lineRule="auto"/>
              <w:rPr>
                <w:rFonts w:ascii="宋体" w:hAnsi="宋体" w:eastAsia="宋体" w:cs="宋体"/>
                <w:lang w:eastAsia="zh-CN"/>
              </w:rPr>
            </w:pPr>
            <w:r>
              <w:rPr>
                <w:rFonts w:hint="eastAsia" w:ascii="宋体" w:hAnsi="宋体" w:eastAsia="宋体" w:cs="宋体"/>
                <w:lang w:eastAsia="zh-CN"/>
              </w:rPr>
              <w:t>1台</w:t>
            </w:r>
          </w:p>
        </w:tc>
        <w:tc>
          <w:tcPr>
            <w:tcW w:w="708" w:type="dxa"/>
          </w:tcPr>
          <w:p>
            <w:pPr>
              <w:widowControl w:val="0"/>
              <w:autoSpaceDE w:val="0"/>
              <w:autoSpaceDN w:val="0"/>
              <w:spacing w:line="360" w:lineRule="auto"/>
              <w:rPr>
                <w:rFonts w:ascii="宋体" w:hAnsi="宋体" w:eastAsia="宋体" w:cs="宋体"/>
                <w:lang w:eastAsia="zh-CN"/>
              </w:rPr>
            </w:pPr>
            <w:r>
              <w:rPr>
                <w:rFonts w:hint="eastAsia" w:ascii="宋体" w:hAnsi="宋体" w:eastAsia="宋体" w:cs="宋体"/>
                <w:lang w:eastAsia="zh-CN"/>
              </w:rPr>
              <w:t>1年</w:t>
            </w:r>
          </w:p>
        </w:tc>
        <w:tc>
          <w:tcPr>
            <w:tcW w:w="4899" w:type="dxa"/>
            <w:vAlign w:val="top"/>
          </w:tcPr>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仪表可以在被测回路不开路的情况下，同时测量三相交流电压、电流、电压间相位、电流间相位、电压电流间相位、频率、相序、有功功率、无功功率、视在功率、功率因数、电流矢量和，判别变压器接线组别、感性、容性电路，测试二次回路和母差保护系统，读出差动保护各组CT之间的相位关系，检查电度表的接线正确与否，检修线路设备等。</w:t>
            </w:r>
          </w:p>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主要技术要求不低于如下参数：</w:t>
            </w:r>
          </w:p>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 xml:space="preserve">采用多通道电量同步测量技术及 </w:t>
            </w:r>
            <w:r>
              <w:rPr>
                <w:rFonts w:ascii="宋体" w:hAnsi="宋体" w:eastAsia="宋体" w:cs="宋体"/>
                <w:color w:val="auto"/>
                <w:lang w:eastAsia="zh-CN"/>
              </w:rPr>
              <w:t xml:space="preserve">TFT </w:t>
            </w:r>
            <w:r>
              <w:rPr>
                <w:rFonts w:hint="eastAsia" w:ascii="宋体" w:hAnsi="宋体" w:eastAsia="宋体" w:cs="宋体"/>
                <w:color w:val="auto"/>
                <w:lang w:eastAsia="zh-CN"/>
              </w:rPr>
              <w:t>真彩色液晶显示器，同时测量、同屏显示16个相关被测电量。</w:t>
            </w:r>
          </w:p>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三相六功能测量：电压、电流、频率、相位、相量图、 波形。</w:t>
            </w:r>
          </w:p>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可在 0.1V~450V、</w:t>
            </w:r>
            <w:r>
              <w:rPr>
                <w:rFonts w:ascii="宋体" w:hAnsi="宋体" w:eastAsia="宋体" w:cs="宋体"/>
                <w:color w:val="auto"/>
                <w:lang w:eastAsia="zh-CN"/>
              </w:rPr>
              <w:t xml:space="preserve">1mA~10A </w:t>
            </w:r>
            <w:r>
              <w:rPr>
                <w:rFonts w:hint="eastAsia" w:ascii="宋体" w:hAnsi="宋体" w:eastAsia="宋体" w:cs="宋体"/>
                <w:color w:val="auto"/>
                <w:lang w:eastAsia="zh-CN"/>
              </w:rPr>
              <w:t>宽范围内测量相位，显示相量图。</w:t>
            </w:r>
          </w:p>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可直接同步分色显示三路输入电压、三路输入电流的波形。</w:t>
            </w:r>
          </w:p>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量程自动切换：400V/20V、</w:t>
            </w:r>
            <w:r>
              <w:rPr>
                <w:rFonts w:ascii="宋体" w:hAnsi="宋体" w:eastAsia="宋体" w:cs="宋体"/>
                <w:color w:val="auto"/>
                <w:lang w:eastAsia="zh-CN"/>
              </w:rPr>
              <w:t>10A/2A/500mA/100mA</w:t>
            </w:r>
          </w:p>
          <w:p>
            <w:pPr>
              <w:widowControl w:val="0"/>
              <w:autoSpaceDE w:val="0"/>
              <w:autoSpaceDN w:val="0"/>
              <w:rPr>
                <w:rFonts w:hint="eastAsia" w:ascii="宋体" w:hAnsi="宋体" w:eastAsia="宋体" w:cs="宋体"/>
                <w:color w:val="auto"/>
                <w:lang w:eastAsia="zh-CN"/>
              </w:rPr>
            </w:pPr>
            <w:r>
              <w:rPr>
                <w:rFonts w:hint="eastAsia" w:ascii="宋体" w:hAnsi="宋体" w:eastAsia="宋体" w:cs="宋体"/>
                <w:color w:val="auto"/>
                <w:lang w:eastAsia="zh-CN"/>
              </w:rPr>
              <w:t>表内预装锂电池，一次充足电 后连续工作时间达 20 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widowControl w:val="0"/>
              <w:autoSpaceDE w:val="0"/>
              <w:autoSpaceDN w:val="0"/>
              <w:spacing w:line="360" w:lineRule="auto"/>
              <w:rPr>
                <w:rFonts w:ascii="宋体" w:hAnsi="宋体" w:eastAsia="宋体" w:cs="宋体"/>
                <w:lang w:eastAsia="zh-CN"/>
              </w:rPr>
            </w:pPr>
            <w:r>
              <w:rPr>
                <w:rFonts w:hint="eastAsia" w:ascii="宋体" w:hAnsi="宋体" w:eastAsia="宋体" w:cs="宋体"/>
                <w:lang w:eastAsia="zh-CN"/>
              </w:rPr>
              <w:t>4</w:t>
            </w:r>
          </w:p>
        </w:tc>
        <w:tc>
          <w:tcPr>
            <w:tcW w:w="1198" w:type="dxa"/>
          </w:tcPr>
          <w:p>
            <w:pPr>
              <w:widowControl w:val="0"/>
              <w:autoSpaceDE w:val="0"/>
              <w:autoSpaceDN w:val="0"/>
              <w:spacing w:line="360" w:lineRule="auto"/>
              <w:rPr>
                <w:rFonts w:ascii="宋体" w:hAnsi="宋体" w:eastAsia="宋体" w:cs="宋体"/>
                <w:lang w:eastAsia="zh-CN"/>
              </w:rPr>
            </w:pPr>
            <w:r>
              <w:rPr>
                <w:rFonts w:hint="eastAsia" w:ascii="宋体" w:hAnsi="宋体" w:eastAsia="宋体" w:cs="宋体"/>
                <w:lang w:eastAsia="zh-CN"/>
              </w:rPr>
              <w:t>变压器消磁分析仪</w:t>
            </w:r>
          </w:p>
        </w:tc>
        <w:tc>
          <w:tcPr>
            <w:tcW w:w="734" w:type="dxa"/>
          </w:tcPr>
          <w:p>
            <w:pPr>
              <w:widowControl w:val="0"/>
              <w:autoSpaceDE w:val="0"/>
              <w:autoSpaceDN w:val="0"/>
              <w:spacing w:line="360" w:lineRule="auto"/>
              <w:rPr>
                <w:rFonts w:ascii="宋体" w:hAnsi="宋体" w:eastAsia="宋体" w:cs="宋体"/>
                <w:lang w:eastAsia="zh-CN"/>
              </w:rPr>
            </w:pPr>
            <w:r>
              <w:rPr>
                <w:rFonts w:hint="eastAsia" w:ascii="宋体" w:hAnsi="宋体" w:eastAsia="宋体" w:cs="宋体"/>
                <w:lang w:eastAsia="zh-CN"/>
              </w:rPr>
              <w:t>1台</w:t>
            </w:r>
          </w:p>
        </w:tc>
        <w:tc>
          <w:tcPr>
            <w:tcW w:w="708" w:type="dxa"/>
          </w:tcPr>
          <w:p>
            <w:pPr>
              <w:widowControl w:val="0"/>
              <w:autoSpaceDE w:val="0"/>
              <w:autoSpaceDN w:val="0"/>
              <w:spacing w:line="360" w:lineRule="auto"/>
              <w:rPr>
                <w:rFonts w:ascii="宋体" w:hAnsi="宋体" w:eastAsia="宋体" w:cs="宋体"/>
                <w:lang w:eastAsia="zh-CN"/>
              </w:rPr>
            </w:pPr>
            <w:r>
              <w:rPr>
                <w:rFonts w:hint="eastAsia" w:ascii="宋体" w:hAnsi="宋体" w:eastAsia="宋体" w:cs="宋体"/>
                <w:lang w:eastAsia="zh-CN"/>
              </w:rPr>
              <w:t>1年</w:t>
            </w:r>
          </w:p>
        </w:tc>
        <w:tc>
          <w:tcPr>
            <w:tcW w:w="4899" w:type="dxa"/>
            <w:vAlign w:val="top"/>
          </w:tcPr>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主要功能如下：</w:t>
            </w:r>
          </w:p>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1.能检测变压器初始剩磁率及消磁完成后剩磁率。</w:t>
            </w:r>
          </w:p>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2.能有效消除变压器剩磁；</w:t>
            </w:r>
          </w:p>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3.消磁速度快。</w:t>
            </w:r>
          </w:p>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4.接线操作简洁方便。</w:t>
            </w:r>
          </w:p>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5.具有变压器消磁前后剩磁率对比功能。</w:t>
            </w:r>
          </w:p>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6.具有变压器消磁前后加载AC220V空载电流对比功能。</w:t>
            </w:r>
          </w:p>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主要技术要求不低于如下参数：</w:t>
            </w:r>
          </w:p>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消磁测试：</w:t>
            </w:r>
          </w:p>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1.消磁电压输出：±90V；</w:t>
            </w:r>
          </w:p>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2.消磁电流输出：≤5A ；</w:t>
            </w:r>
          </w:p>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3.消磁效果：剩磁率≤8%；</w:t>
            </w:r>
          </w:p>
          <w:p>
            <w:pPr>
              <w:widowControl w:val="0"/>
              <w:autoSpaceDE w:val="0"/>
              <w:autoSpaceDN w:val="0"/>
              <w:rPr>
                <w:rFonts w:hint="eastAsia" w:ascii="宋体" w:hAnsi="宋体" w:eastAsia="宋体" w:cs="宋体"/>
                <w:color w:val="auto"/>
                <w:lang w:eastAsia="zh-CN"/>
              </w:rPr>
            </w:pPr>
            <w:r>
              <w:rPr>
                <w:rFonts w:hint="eastAsia" w:ascii="宋体" w:hAnsi="宋体" w:eastAsia="宋体" w:cs="宋体"/>
                <w:color w:val="auto"/>
                <w:lang w:eastAsia="zh-CN"/>
              </w:rPr>
              <w:t>去磁方法：去磁接线采用变压器高压侧去磁接线方法。可以选择AB相去磁、BC相去磁、ABC相去磁。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widowControl w:val="0"/>
              <w:autoSpaceDE w:val="0"/>
              <w:autoSpaceDN w:val="0"/>
              <w:spacing w:line="360" w:lineRule="auto"/>
              <w:rPr>
                <w:rFonts w:ascii="宋体" w:hAnsi="宋体" w:eastAsia="宋体" w:cs="宋体"/>
                <w:lang w:eastAsia="zh-CN"/>
              </w:rPr>
            </w:pPr>
            <w:r>
              <w:rPr>
                <w:rFonts w:hint="eastAsia" w:ascii="宋体" w:hAnsi="宋体" w:eastAsia="宋体" w:cs="宋体"/>
                <w:lang w:eastAsia="zh-CN"/>
              </w:rPr>
              <w:t>5</w:t>
            </w:r>
          </w:p>
        </w:tc>
        <w:tc>
          <w:tcPr>
            <w:tcW w:w="1198" w:type="dxa"/>
          </w:tcPr>
          <w:p>
            <w:pPr>
              <w:widowControl w:val="0"/>
              <w:autoSpaceDE w:val="0"/>
              <w:autoSpaceDN w:val="0"/>
              <w:spacing w:line="360" w:lineRule="auto"/>
              <w:rPr>
                <w:rFonts w:ascii="宋体" w:hAnsi="宋体" w:eastAsia="宋体" w:cs="宋体"/>
                <w:lang w:eastAsia="zh-CN"/>
              </w:rPr>
            </w:pPr>
            <w:r>
              <w:rPr>
                <w:rFonts w:hint="eastAsia" w:ascii="宋体" w:hAnsi="宋体" w:eastAsia="宋体" w:cs="宋体"/>
                <w:lang w:eastAsia="zh-CN"/>
              </w:rPr>
              <w:t>核相仪</w:t>
            </w:r>
          </w:p>
        </w:tc>
        <w:tc>
          <w:tcPr>
            <w:tcW w:w="734" w:type="dxa"/>
          </w:tcPr>
          <w:p>
            <w:pPr>
              <w:widowControl w:val="0"/>
              <w:autoSpaceDE w:val="0"/>
              <w:autoSpaceDN w:val="0"/>
              <w:spacing w:line="360" w:lineRule="auto"/>
              <w:rPr>
                <w:rFonts w:ascii="宋体" w:hAnsi="宋体" w:eastAsia="宋体" w:cs="宋体"/>
                <w:lang w:eastAsia="zh-CN"/>
              </w:rPr>
            </w:pPr>
            <w:r>
              <w:rPr>
                <w:rFonts w:hint="eastAsia" w:ascii="宋体" w:hAnsi="宋体" w:eastAsia="宋体" w:cs="宋体"/>
                <w:lang w:eastAsia="zh-CN"/>
              </w:rPr>
              <w:t>1台</w:t>
            </w:r>
          </w:p>
        </w:tc>
        <w:tc>
          <w:tcPr>
            <w:tcW w:w="708" w:type="dxa"/>
          </w:tcPr>
          <w:p>
            <w:pPr>
              <w:widowControl w:val="0"/>
              <w:autoSpaceDE w:val="0"/>
              <w:autoSpaceDN w:val="0"/>
              <w:spacing w:line="360" w:lineRule="auto"/>
              <w:rPr>
                <w:rFonts w:ascii="宋体" w:hAnsi="宋体" w:eastAsia="宋体" w:cs="宋体"/>
                <w:lang w:eastAsia="zh-CN"/>
              </w:rPr>
            </w:pPr>
            <w:r>
              <w:rPr>
                <w:rFonts w:hint="eastAsia" w:ascii="宋体" w:hAnsi="宋体" w:eastAsia="宋体" w:cs="宋体"/>
                <w:lang w:eastAsia="zh-CN"/>
              </w:rPr>
              <w:t>1年</w:t>
            </w:r>
          </w:p>
        </w:tc>
        <w:tc>
          <w:tcPr>
            <w:tcW w:w="4899" w:type="dxa"/>
            <w:vAlign w:val="top"/>
          </w:tcPr>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本设备一般由无线接收器、探测器、伸缩绝缘杆等组成。可显示核相结果、相位、电压、频率、向量图指示，有语音提示，清晰直观。能对电压线路全智能核相，其中35kV及以下的裸导线可以直接接触核相，35kV以上的裸导线采用非接触式核相，非接触核相是将探测器逐渐靠近被测导线，当感应到电场信号时就可以完成核相，无需直接接触高压导线，同时具有高压验电器、高压相位表、高压相序表的功能，可以用于验电、相序测试，变压器组别判断等。</w:t>
            </w:r>
          </w:p>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主要技术要求不低于如下参数：</w:t>
            </w:r>
          </w:p>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1.所测电压：10V-220kV；</w:t>
            </w:r>
          </w:p>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2.无线传输距离：视距100米；</w:t>
            </w:r>
          </w:p>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3.同相：相角偏移≤30°（阈值0-60°内，可自行设置）；</w:t>
            </w:r>
          </w:p>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4.异相：相角偏移＞30°（阈值0-60°内，可自行设置）；</w:t>
            </w:r>
          </w:p>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5.显示精度：定量测量≤</w:t>
            </w:r>
            <w:r>
              <w:rPr>
                <w:rFonts w:ascii="宋体" w:hAnsi="宋体" w:eastAsia="宋体" w:cs="宋体"/>
                <w:color w:val="auto"/>
                <w:lang w:eastAsia="zh-CN"/>
              </w:rPr>
              <w:t>4</w:t>
            </w:r>
            <w:r>
              <w:rPr>
                <w:rFonts w:hint="eastAsia" w:ascii="宋体" w:hAnsi="宋体" w:eastAsia="宋体" w:cs="宋体"/>
                <w:color w:val="auto"/>
                <w:lang w:eastAsia="zh-CN"/>
              </w:rPr>
              <w:t>°；</w:t>
            </w:r>
          </w:p>
          <w:p>
            <w:pPr>
              <w:widowControl w:val="0"/>
              <w:autoSpaceDE w:val="0"/>
              <w:autoSpaceDN w:val="0"/>
              <w:rPr>
                <w:rFonts w:ascii="宋体" w:hAnsi="宋体" w:eastAsia="宋体" w:cs="宋体"/>
                <w:color w:val="auto"/>
                <w:lang w:eastAsia="zh-CN"/>
              </w:rPr>
            </w:pPr>
            <w:r>
              <w:rPr>
                <w:rFonts w:hint="eastAsia" w:ascii="宋体" w:hAnsi="宋体" w:eastAsia="宋体" w:cs="宋体"/>
                <w:color w:val="auto"/>
                <w:lang w:eastAsia="zh-CN"/>
              </w:rPr>
              <w:t>6.相位角分辨率1</w:t>
            </w:r>
            <w:r>
              <w:rPr>
                <w:rFonts w:ascii="宋体" w:hAnsi="宋体" w:eastAsia="宋体" w:cs="宋体"/>
                <w:color w:val="auto"/>
                <w:lang w:eastAsia="zh-CN"/>
              </w:rPr>
              <w:t>.5</w:t>
            </w:r>
            <w:r>
              <w:rPr>
                <w:rFonts w:hint="eastAsia" w:ascii="宋体" w:hAnsi="宋体" w:eastAsia="宋体" w:cs="宋体"/>
                <w:color w:val="auto"/>
                <w:lang w:eastAsia="zh-CN"/>
              </w:rPr>
              <w:t>°；</w:t>
            </w:r>
          </w:p>
          <w:p>
            <w:pPr>
              <w:widowControl w:val="0"/>
              <w:autoSpaceDE w:val="0"/>
              <w:autoSpaceDN w:val="0"/>
              <w:rPr>
                <w:rFonts w:hint="eastAsia" w:ascii="宋体" w:hAnsi="宋体" w:eastAsia="宋体" w:cs="宋体"/>
                <w:color w:val="auto"/>
                <w:lang w:eastAsia="zh-CN"/>
              </w:rPr>
            </w:pPr>
            <w:r>
              <w:rPr>
                <w:rFonts w:hint="eastAsia" w:ascii="宋体" w:hAnsi="宋体" w:eastAsia="宋体" w:cs="宋体"/>
                <w:color w:val="auto"/>
                <w:lang w:eastAsia="zh-CN"/>
              </w:rPr>
              <w:t>7.相序测量：通过120°顺时针/240°逆时针来确定指示相序。</w:t>
            </w:r>
          </w:p>
        </w:tc>
      </w:tr>
    </w:tbl>
    <w:p>
      <w:pPr>
        <w:widowControl w:val="0"/>
        <w:autoSpaceDE w:val="0"/>
        <w:autoSpaceDN w:val="0"/>
        <w:spacing w:line="360" w:lineRule="auto"/>
        <w:rPr>
          <w:rFonts w:hint="eastAsia" w:ascii="宋体" w:hAnsi="宋体" w:eastAsia="宋体" w:cs="宋体"/>
          <w:lang w:eastAsia="zh-CN"/>
        </w:rPr>
      </w:pPr>
      <w:bookmarkStart w:id="0" w:name="_Hlk206164799"/>
      <w:r>
        <w:rPr>
          <w:rFonts w:hint="eastAsia" w:ascii="宋体" w:hAnsi="宋体" w:eastAsia="宋体" w:cs="宋体"/>
          <w:lang w:eastAsia="zh-CN"/>
        </w:rPr>
        <w:t>备注：若提供的不是新设备，其使用年限应在</w:t>
      </w:r>
      <w:r>
        <w:rPr>
          <w:rFonts w:hint="eastAsia" w:ascii="宋体" w:hAnsi="宋体" w:eastAsia="宋体" w:cs="宋体"/>
          <w:lang w:val="en-US" w:eastAsia="zh-CN"/>
        </w:rPr>
        <w:t>五</w:t>
      </w:r>
      <w:bookmarkStart w:id="1" w:name="_GoBack"/>
      <w:bookmarkEnd w:id="1"/>
      <w:r>
        <w:rPr>
          <w:rFonts w:hint="eastAsia" w:ascii="宋体" w:hAnsi="宋体" w:eastAsia="宋体" w:cs="宋体"/>
          <w:lang w:eastAsia="zh-CN"/>
        </w:rPr>
        <w:t>年以内。</w:t>
      </w:r>
    </w:p>
    <w:bookmarkEnd w:id="0"/>
    <w:p>
      <w:pPr>
        <w:widowControl w:val="0"/>
        <w:autoSpaceDE w:val="0"/>
        <w:autoSpaceDN w:val="0"/>
        <w:spacing w:line="360" w:lineRule="auto"/>
        <w:rPr>
          <w:rFonts w:ascii="宋体" w:hAnsi="宋体" w:eastAsia="宋体"/>
          <w:lang w:eastAsia="zh-CN"/>
        </w:rPr>
      </w:pPr>
    </w:p>
    <w:p>
      <w:pPr>
        <w:widowControl w:val="0"/>
        <w:autoSpaceDE w:val="0"/>
        <w:autoSpaceDN w:val="0"/>
        <w:spacing w:line="360" w:lineRule="auto"/>
        <w:ind w:firstLine="484" w:firstLineChars="200"/>
        <w:rPr>
          <w:rFonts w:ascii="宋体" w:hAnsi="宋体" w:eastAsia="宋体" w:cs="宋体"/>
          <w:spacing w:val="1"/>
          <w:lang w:eastAsia="zh-CN"/>
        </w:rPr>
      </w:pPr>
      <w:r>
        <w:rPr>
          <w:rFonts w:ascii="宋体" w:hAnsi="宋体" w:eastAsia="宋体" w:cs="宋体"/>
          <w:spacing w:val="1"/>
          <w:lang w:eastAsia="zh-CN"/>
        </w:rPr>
        <w:t>二、 资格条件</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74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jc w:val="center"/>
              <w:rPr>
                <w:rFonts w:ascii="宋体" w:hAnsi="宋体" w:eastAsia="宋体"/>
                <w:sz w:val="21"/>
                <w:szCs w:val="21"/>
                <w:lang w:eastAsia="zh-CN"/>
              </w:rPr>
            </w:pPr>
            <w:r>
              <w:rPr>
                <w:rFonts w:hint="eastAsia" w:ascii="宋体" w:hAnsi="宋体" w:eastAsia="宋体"/>
                <w:sz w:val="21"/>
                <w:szCs w:val="21"/>
                <w:lang w:eastAsia="zh-CN"/>
              </w:rPr>
              <w:t>序号</w:t>
            </w:r>
          </w:p>
        </w:tc>
        <w:tc>
          <w:tcPr>
            <w:tcW w:w="7450" w:type="dxa"/>
          </w:tcPr>
          <w:p>
            <w:pPr>
              <w:jc w:val="center"/>
              <w:rPr>
                <w:rFonts w:ascii="宋体" w:hAnsi="宋体" w:eastAsia="宋体"/>
                <w:sz w:val="21"/>
                <w:szCs w:val="21"/>
                <w:lang w:eastAsia="zh-CN"/>
              </w:rPr>
            </w:pPr>
            <w:r>
              <w:rPr>
                <w:rFonts w:hint="eastAsia" w:ascii="宋体" w:hAnsi="宋体" w:eastAsia="宋体"/>
                <w:sz w:val="21"/>
                <w:szCs w:val="21"/>
                <w:lang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jc w:val="center"/>
              <w:rPr>
                <w:rFonts w:ascii="宋体" w:hAnsi="宋体" w:eastAsia="宋体"/>
                <w:sz w:val="21"/>
                <w:szCs w:val="21"/>
                <w:lang w:eastAsia="zh-CN"/>
              </w:rPr>
            </w:pPr>
            <w:r>
              <w:rPr>
                <w:rFonts w:hint="eastAsia" w:ascii="宋体" w:hAnsi="宋体" w:eastAsia="宋体"/>
                <w:sz w:val="21"/>
                <w:szCs w:val="21"/>
                <w:lang w:eastAsia="zh-CN"/>
              </w:rPr>
              <w:t>1</w:t>
            </w:r>
          </w:p>
        </w:tc>
        <w:tc>
          <w:tcPr>
            <w:tcW w:w="7450" w:type="dxa"/>
          </w:tcPr>
          <w:p>
            <w:pPr>
              <w:widowControl w:val="0"/>
              <w:autoSpaceDE w:val="0"/>
              <w:autoSpaceDN w:val="0"/>
              <w:spacing w:line="209" w:lineRule="exact"/>
              <w:rPr>
                <w:rFonts w:ascii="宋体" w:hAnsi="宋体" w:eastAsia="宋体"/>
                <w:sz w:val="21"/>
                <w:szCs w:val="21"/>
                <w:lang w:eastAsia="zh-CN"/>
              </w:rPr>
            </w:pPr>
            <w:r>
              <w:rPr>
                <w:rFonts w:ascii="宋体" w:hAnsi="宋体" w:eastAsia="宋体" w:cs="宋体"/>
                <w:color w:val="000000"/>
                <w:spacing w:val="-2"/>
                <w:sz w:val="21"/>
                <w:szCs w:val="21"/>
                <w:lang w:eastAsia="zh-CN"/>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当提供有关监管机构颁发的执业许可证明文件；报价单</w:t>
            </w:r>
            <w:r>
              <w:rPr>
                <w:rFonts w:ascii="宋体" w:hAnsi="宋体" w:eastAsia="宋体" w:cs="宋体"/>
                <w:color w:val="000000"/>
                <w:sz w:val="21"/>
                <w:szCs w:val="21"/>
                <w:lang w:eastAsia="zh-CN"/>
              </w:rPr>
              <w:t>位为自然人的，应提供有效的身份证明；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jc w:val="center"/>
              <w:rPr>
                <w:rFonts w:ascii="宋体" w:hAnsi="宋体" w:eastAsia="宋体"/>
                <w:sz w:val="21"/>
                <w:szCs w:val="21"/>
                <w:lang w:eastAsia="zh-CN"/>
              </w:rPr>
            </w:pPr>
            <w:r>
              <w:rPr>
                <w:rFonts w:hint="eastAsia" w:ascii="宋体" w:hAnsi="宋体" w:eastAsia="宋体"/>
                <w:sz w:val="21"/>
                <w:szCs w:val="21"/>
                <w:lang w:eastAsia="zh-CN"/>
              </w:rPr>
              <w:t>2</w:t>
            </w:r>
          </w:p>
        </w:tc>
        <w:tc>
          <w:tcPr>
            <w:tcW w:w="7450" w:type="dxa"/>
          </w:tcPr>
          <w:p>
            <w:pPr>
              <w:rPr>
                <w:rFonts w:ascii="宋体" w:hAnsi="宋体" w:eastAsia="宋体"/>
                <w:sz w:val="21"/>
                <w:szCs w:val="21"/>
                <w:lang w:eastAsia="zh-CN"/>
              </w:rPr>
            </w:pPr>
            <w:r>
              <w:rPr>
                <w:rFonts w:ascii="宋体" w:hAnsi="宋体" w:eastAsia="宋体" w:cs="宋体"/>
                <w:color w:val="000000"/>
                <w:sz w:val="21"/>
                <w:szCs w:val="21"/>
                <w:lang w:eastAsia="zh-CN"/>
              </w:rPr>
              <w:t>单位负责人为同一人或者存在控股、管理关系的不同单位，不得同时参加报价；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jc w:val="center"/>
              <w:rPr>
                <w:rFonts w:ascii="宋体" w:hAnsi="宋体" w:eastAsia="宋体"/>
                <w:sz w:val="21"/>
                <w:szCs w:val="21"/>
                <w:lang w:eastAsia="zh-CN"/>
              </w:rPr>
            </w:pPr>
            <w:r>
              <w:rPr>
                <w:rFonts w:hint="eastAsia" w:ascii="宋体" w:hAnsi="宋体" w:eastAsia="宋体"/>
                <w:sz w:val="21"/>
                <w:szCs w:val="21"/>
                <w:lang w:eastAsia="zh-CN"/>
              </w:rPr>
              <w:t>3</w:t>
            </w:r>
          </w:p>
        </w:tc>
        <w:tc>
          <w:tcPr>
            <w:tcW w:w="7450" w:type="dxa"/>
          </w:tcPr>
          <w:p>
            <w:pPr>
              <w:widowControl w:val="0"/>
              <w:autoSpaceDE w:val="0"/>
              <w:autoSpaceDN w:val="0"/>
              <w:spacing w:before="113" w:line="209" w:lineRule="exact"/>
              <w:rPr>
                <w:rFonts w:ascii="宋体" w:hAnsi="宋体" w:eastAsia="宋体"/>
                <w:sz w:val="21"/>
                <w:szCs w:val="21"/>
                <w:lang w:eastAsia="zh-CN"/>
              </w:rPr>
            </w:pPr>
            <w:r>
              <w:rPr>
                <w:rFonts w:ascii="宋体" w:hAnsi="宋体" w:eastAsia="宋体" w:cs="宋体"/>
                <w:color w:val="000000"/>
                <w:sz w:val="21"/>
                <w:szCs w:val="21"/>
                <w:lang w:eastAsia="zh-CN"/>
              </w:rPr>
              <w:t>报价单位没有被中国南方电网有限责任公司暂停或取消其投标资格的。</w:t>
            </w:r>
          </w:p>
        </w:tc>
      </w:tr>
    </w:tbl>
    <w:p>
      <w:pPr>
        <w:widowControl w:val="0"/>
        <w:autoSpaceDE w:val="0"/>
        <w:autoSpaceDN w:val="0"/>
        <w:spacing w:line="360" w:lineRule="auto"/>
        <w:ind w:firstLine="484" w:firstLineChars="200"/>
        <w:rPr>
          <w:rFonts w:ascii="宋体" w:hAnsi="宋体" w:eastAsia="宋体" w:cs="宋体"/>
          <w:spacing w:val="1"/>
          <w:lang w:eastAsia="zh-CN"/>
        </w:rPr>
      </w:pPr>
      <w:r>
        <w:rPr>
          <w:rFonts w:ascii="宋体" w:hAnsi="宋体" w:eastAsia="宋体" w:cs="宋体"/>
          <w:spacing w:val="1"/>
          <w:lang w:eastAsia="zh-CN"/>
        </w:rPr>
        <w:t>三、 成交办法</w:t>
      </w:r>
    </w:p>
    <w:p>
      <w:pPr>
        <w:widowControl w:val="0"/>
        <w:autoSpaceDE w:val="0"/>
        <w:autoSpaceDN w:val="0"/>
        <w:spacing w:line="360" w:lineRule="auto"/>
        <w:ind w:firstLine="484" w:firstLineChars="200"/>
        <w:rPr>
          <w:rFonts w:ascii="宋体" w:hAnsi="宋体" w:eastAsia="宋体" w:cs="宋体"/>
          <w:spacing w:val="1"/>
          <w:lang w:eastAsia="zh-CN"/>
        </w:rPr>
      </w:pPr>
      <w:r>
        <w:rPr>
          <w:rFonts w:ascii="宋体" w:hAnsi="宋体" w:eastAsia="宋体" w:cs="宋体"/>
          <w:spacing w:val="1"/>
          <w:lang w:eastAsia="zh-CN"/>
        </w:rPr>
        <w:t>根据满足资格条件的各家单位有效报价，选择报价最低者为成交对象。</w:t>
      </w:r>
    </w:p>
    <w:p>
      <w:pPr>
        <w:jc w:val="center"/>
        <w:rPr>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F03"/>
    <w:rsid w:val="000E328F"/>
    <w:rsid w:val="00195F68"/>
    <w:rsid w:val="001C5742"/>
    <w:rsid w:val="001E7009"/>
    <w:rsid w:val="001F36A0"/>
    <w:rsid w:val="00270491"/>
    <w:rsid w:val="00391D38"/>
    <w:rsid w:val="0044279B"/>
    <w:rsid w:val="00443F89"/>
    <w:rsid w:val="004E7B7D"/>
    <w:rsid w:val="00646F79"/>
    <w:rsid w:val="007B2F40"/>
    <w:rsid w:val="009658CE"/>
    <w:rsid w:val="009B5779"/>
    <w:rsid w:val="00A46532"/>
    <w:rsid w:val="00B26A73"/>
    <w:rsid w:val="00B71E49"/>
    <w:rsid w:val="00C53FB5"/>
    <w:rsid w:val="00C75C58"/>
    <w:rsid w:val="00CB7F03"/>
    <w:rsid w:val="00F71295"/>
    <w:rsid w:val="00FC6FC1"/>
    <w:rsid w:val="5195057E"/>
    <w:rsid w:val="633233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en-US" w:bidi="ar-SA"/>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unhideWhenUsed/>
    <w:uiPriority w:val="99"/>
    <w:pPr>
      <w:widowControl w:val="0"/>
      <w:tabs>
        <w:tab w:val="center" w:pos="4153"/>
        <w:tab w:val="right" w:pos="8306"/>
      </w:tabs>
      <w:snapToGrid w:val="0"/>
    </w:pPr>
    <w:rPr>
      <w:rFonts w:asciiTheme="minorHAnsi" w:hAnsiTheme="minorHAnsi" w:cstheme="minorBidi"/>
      <w:kern w:val="2"/>
      <w:sz w:val="18"/>
      <w:szCs w:val="18"/>
      <w:lang w:eastAsia="zh-CN"/>
    </w:rPr>
  </w:style>
  <w:style w:type="paragraph" w:styleId="3">
    <w:name w:val="header"/>
    <w:basedOn w:val="1"/>
    <w:link w:val="7"/>
    <w:unhideWhenUsed/>
    <w:uiPriority w:val="99"/>
    <w:pPr>
      <w:widowControl w:val="0"/>
      <w:pBdr>
        <w:bottom w:val="single" w:color="auto" w:sz="6" w:space="1"/>
      </w:pBdr>
      <w:tabs>
        <w:tab w:val="center" w:pos="4153"/>
        <w:tab w:val="right" w:pos="8306"/>
      </w:tabs>
      <w:snapToGrid w:val="0"/>
      <w:jc w:val="center"/>
    </w:pPr>
    <w:rPr>
      <w:rFonts w:asciiTheme="minorHAnsi" w:hAnsiTheme="minorHAnsi" w:cstheme="minorBidi"/>
      <w:kern w:val="2"/>
      <w:sz w:val="18"/>
      <w:szCs w:val="18"/>
      <w:lang w:eastAsia="zh-CN"/>
    </w:rPr>
  </w:style>
  <w:style w:type="table" w:styleId="5">
    <w:name w:val="Table Grid"/>
    <w:basedOn w:val="4"/>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页眉 字符"/>
    <w:basedOn w:val="6"/>
    <w:link w:val="3"/>
    <w:uiPriority w:val="99"/>
    <w:rPr>
      <w:sz w:val="18"/>
      <w:szCs w:val="18"/>
    </w:rPr>
  </w:style>
  <w:style w:type="character" w:customStyle="1" w:styleId="8">
    <w:name w:val="页脚 字符"/>
    <w:basedOn w:val="6"/>
    <w:link w:val="2"/>
    <w:uiPriority w:val="99"/>
    <w:rPr>
      <w:sz w:val="18"/>
      <w:szCs w:val="18"/>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1CCBF-7912-4CD9-BB90-2449BDFF49F4}">
  <ds:schemaRefs/>
</ds:datastoreItem>
</file>

<file path=docProps/app.xml><?xml version="1.0" encoding="utf-8"?>
<Properties xmlns="http://schemas.openxmlformats.org/officeDocument/2006/extended-properties" xmlns:vt="http://schemas.openxmlformats.org/officeDocument/2006/docPropsVTypes">
  <Template>Normal.dotm</Template>
  <Pages>3</Pages>
  <Words>281</Words>
  <Characters>1607</Characters>
  <Lines>13</Lines>
  <Paragraphs>3</Paragraphs>
  <TotalTime>1</TotalTime>
  <ScaleCrop>false</ScaleCrop>
  <LinksUpToDate>false</LinksUpToDate>
  <CharactersWithSpaces>1885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2025-08-13T01:53:00Z</dcterms:created>
  <dc:creator>李欢</dc:creator>
  <cp:lastModifiedBy>6DA0C2688BB244BDA3288E2FDD7B6CC8</cp:lastModifiedBy>
  <dcterms:modified xsi:type="dcterms:W3CDTF">2025-08-18T07:06:08Z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B681D87528C44DD0BB5A6C71B9E52D09</vt:lpwstr>
  </property>
</Properties>
</file>