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663" w:firstLineChars="150"/>
        <w:rPr>
          <w:rFonts w:eastAsia="黑体"/>
          <w:b/>
          <w:sz w:val="44"/>
          <w:szCs w:val="44"/>
        </w:rPr>
      </w:pPr>
      <w:bookmarkStart w:id="0" w:name="_Toc131133981"/>
      <w:bookmarkStart w:id="1" w:name="_Toc131134226"/>
      <w:bookmarkStart w:id="2" w:name="_Toc131168595"/>
      <w:bookmarkStart w:id="3" w:name="_Toc131134327"/>
      <w:bookmarkStart w:id="4" w:name="_Toc183578143"/>
      <w:bookmarkStart w:id="5" w:name="_Toc114028927"/>
      <w:r>
        <w:rPr>
          <w:rFonts w:hint="eastAsia" w:eastAsia="黑体"/>
          <w:b/>
          <w:sz w:val="44"/>
          <w:szCs w:val="44"/>
        </w:rPr>
        <w:drawing>
          <wp:anchor distT="0" distB="0" distL="114300" distR="114300" simplePos="0" relativeHeight="251659264" behindDoc="1" locked="0" layoutInCell="1" allowOverlap="1">
            <wp:simplePos x="0" y="0"/>
            <wp:positionH relativeFrom="column">
              <wp:posOffset>-1122045</wp:posOffset>
            </wp:positionH>
            <wp:positionV relativeFrom="paragraph">
              <wp:posOffset>-194310</wp:posOffset>
            </wp:positionV>
            <wp:extent cx="7545070" cy="2770505"/>
            <wp:effectExtent l="19050" t="0" r="0" b="0"/>
            <wp:wrapTight wrapText="bothSides">
              <wp:wrapPolygon>
                <wp:start x="-55" y="0"/>
                <wp:lineTo x="-55" y="21387"/>
                <wp:lineTo x="21596" y="21387"/>
                <wp:lineTo x="21596" y="0"/>
                <wp:lineTo x="-55"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noChangeArrowheads="1"/>
                    </pic:cNvPicPr>
                  </pic:nvPicPr>
                  <pic:blipFill>
                    <a:blip r:embed="rId19"/>
                    <a:srcRect/>
                    <a:stretch>
                      <a:fillRect/>
                    </a:stretch>
                  </pic:blipFill>
                  <pic:spPr>
                    <a:xfrm>
                      <a:off x="0" y="0"/>
                      <a:ext cx="7545070" cy="2770505"/>
                    </a:xfrm>
                    <a:prstGeom prst="rect">
                      <a:avLst/>
                    </a:prstGeom>
                    <a:noFill/>
                    <a:ln w="9525">
                      <a:noFill/>
                      <a:miter lim="800000"/>
                      <a:headEnd/>
                      <a:tailEnd/>
                    </a:ln>
                  </pic:spPr>
                </pic:pic>
              </a:graphicData>
            </a:graphic>
          </wp:anchor>
        </w:drawing>
      </w:r>
    </w:p>
    <w:p>
      <w:pPr>
        <w:ind w:firstLine="723" w:firstLineChars="150"/>
        <w:rPr>
          <w:rFonts w:eastAsia="黑体"/>
          <w:b/>
          <w:color w:val="00B0F0"/>
          <w:sz w:val="48"/>
          <w:szCs w:val="48"/>
        </w:rPr>
      </w:pPr>
      <w:r>
        <w:rPr>
          <w:rFonts w:hint="eastAsia" w:eastAsia="黑体"/>
          <w:b/>
          <w:color w:val="00B0F0"/>
          <w:sz w:val="48"/>
          <w:szCs w:val="48"/>
        </w:rPr>
        <w:t>云南电网有限责任公司建设分公司</w:t>
      </w:r>
    </w:p>
    <w:p>
      <w:pPr>
        <w:ind w:firstLine="2144" w:firstLineChars="445"/>
        <w:rPr>
          <w:rFonts w:eastAsia="黑体"/>
          <w:b/>
          <w:color w:val="00B0F0"/>
          <w:sz w:val="48"/>
          <w:szCs w:val="48"/>
        </w:rPr>
      </w:pPr>
      <w:r>
        <w:rPr>
          <w:rFonts w:hint="eastAsia" w:eastAsia="黑体"/>
          <w:b/>
          <w:color w:val="00B0F0"/>
          <w:sz w:val="48"/>
          <w:szCs w:val="48"/>
        </w:rPr>
        <w:t>500kV耿马站新建工程</w:t>
      </w:r>
    </w:p>
    <w:p>
      <w:pPr>
        <w:jc w:val="center"/>
        <w:rPr>
          <w:rFonts w:eastAsia="黑体"/>
          <w:b/>
          <w:sz w:val="44"/>
          <w:szCs w:val="44"/>
        </w:rPr>
      </w:pPr>
    </w:p>
    <w:p>
      <w:pPr>
        <w:spacing w:before="624"/>
        <w:jc w:val="center"/>
        <w:rPr>
          <w:rFonts w:hint="eastAsia" w:eastAsia="黑体"/>
          <w:b/>
          <w:sz w:val="52"/>
          <w:szCs w:val="24"/>
        </w:rPr>
      </w:pPr>
      <w:r>
        <w:rPr>
          <w:rFonts w:hint="eastAsia" w:eastAsia="黑体"/>
          <w:b/>
          <w:sz w:val="52"/>
          <w:szCs w:val="24"/>
        </w:rPr>
        <w:t>零序电流互感器</w:t>
      </w:r>
    </w:p>
    <w:p>
      <w:pPr>
        <w:spacing w:before="624"/>
        <w:jc w:val="center"/>
        <w:rPr>
          <w:rFonts w:eastAsia="黑体"/>
          <w:b/>
          <w:sz w:val="52"/>
          <w:szCs w:val="24"/>
        </w:rPr>
      </w:pPr>
      <w:r>
        <w:rPr>
          <w:rFonts w:hint="eastAsia" w:eastAsia="黑体"/>
          <w:b/>
          <w:sz w:val="52"/>
          <w:szCs w:val="24"/>
        </w:rPr>
        <w:t>技术规范书</w:t>
      </w:r>
    </w:p>
    <w:p>
      <w:pPr>
        <w:spacing w:before="624" w:beforeLines="200"/>
        <w:jc w:val="center"/>
        <w:rPr>
          <w:rFonts w:eastAsia="黑体"/>
          <w:b/>
          <w:color w:val="000000" w:themeColor="text1"/>
          <w:spacing w:val="20"/>
          <w:w w:val="135"/>
          <w:sz w:val="30"/>
          <w:szCs w:val="30"/>
          <w14:textFill>
            <w14:solidFill>
              <w14:schemeClr w14:val="tx1"/>
            </w14:solidFill>
          </w14:textFill>
        </w:rPr>
      </w:pPr>
      <w:r>
        <w:rPr>
          <w:rFonts w:hAnsi="黑体" w:eastAsia="黑体"/>
          <w:b/>
          <w:color w:val="000000" w:themeColor="text1"/>
          <w:spacing w:val="20"/>
          <w:w w:val="135"/>
          <w:sz w:val="30"/>
          <w:szCs w:val="30"/>
          <w14:textFill>
            <w14:solidFill>
              <w14:schemeClr w14:val="tx1"/>
            </w14:solidFill>
          </w14:textFill>
        </w:rPr>
        <w:t>中国南方电网有限责任公司</w:t>
      </w:r>
    </w:p>
    <w:p>
      <w:pPr>
        <w:jc w:val="center"/>
        <w:rPr>
          <w:color w:val="000000" w:themeColor="text1"/>
          <w14:textFill>
            <w14:solidFill>
              <w14:schemeClr w14:val="tx1"/>
            </w14:solidFill>
          </w14:textFill>
        </w:rPr>
      </w:pPr>
      <w:r>
        <w:rPr>
          <w:rFonts w:eastAsia="黑体"/>
          <w:b/>
          <w:color w:val="000000" w:themeColor="text1"/>
          <w:spacing w:val="20"/>
          <w:w w:val="135"/>
          <w:sz w:val="30"/>
          <w:szCs w:val="30"/>
          <w14:textFill>
            <w14:solidFill>
              <w14:schemeClr w14:val="tx1"/>
            </w14:solidFill>
          </w14:textFill>
        </w:rPr>
        <w:t>20</w:t>
      </w:r>
      <w:r>
        <w:rPr>
          <w:rFonts w:hint="eastAsia" w:eastAsia="黑体"/>
          <w:b/>
          <w:color w:val="000000" w:themeColor="text1"/>
          <w:spacing w:val="20"/>
          <w:w w:val="135"/>
          <w:sz w:val="30"/>
          <w:szCs w:val="30"/>
          <w14:textFill>
            <w14:solidFill>
              <w14:schemeClr w14:val="tx1"/>
            </w14:solidFill>
          </w14:textFill>
        </w:rPr>
        <w:t>21</w:t>
      </w:r>
      <w:r>
        <w:rPr>
          <w:rFonts w:hAnsi="黑体" w:eastAsia="黑体"/>
          <w:b/>
          <w:color w:val="000000" w:themeColor="text1"/>
          <w:spacing w:val="20"/>
          <w:w w:val="135"/>
          <w:sz w:val="30"/>
          <w:szCs w:val="30"/>
          <w14:textFill>
            <w14:solidFill>
              <w14:schemeClr w14:val="tx1"/>
            </w14:solidFill>
          </w14:textFill>
        </w:rPr>
        <w:t>年</w:t>
      </w:r>
      <w:r>
        <w:rPr>
          <w:rFonts w:hint="eastAsia" w:eastAsia="黑体"/>
          <w:b/>
          <w:color w:val="000000" w:themeColor="text1"/>
          <w:spacing w:val="20"/>
          <w:w w:val="135"/>
          <w:sz w:val="30"/>
          <w:szCs w:val="30"/>
          <w14:textFill>
            <w14:solidFill>
              <w14:schemeClr w14:val="tx1"/>
            </w14:solidFill>
          </w14:textFill>
        </w:rPr>
        <w:t>02</w:t>
      </w:r>
      <w:r>
        <w:rPr>
          <w:rFonts w:hAnsi="黑体" w:eastAsia="黑体"/>
          <w:b/>
          <w:color w:val="000000" w:themeColor="text1"/>
          <w:spacing w:val="20"/>
          <w:w w:val="135"/>
          <w:sz w:val="30"/>
          <w:szCs w:val="30"/>
          <w14:textFill>
            <w14:solidFill>
              <w14:schemeClr w14:val="tx1"/>
            </w14:solidFill>
          </w14:textFill>
        </w:rPr>
        <w:t>月</w:t>
      </w:r>
      <w:r>
        <w:rPr>
          <w:color w:val="000000" w:themeColor="text1"/>
          <w:sz w:val="52"/>
          <w14:textFill>
            <w14:solidFill>
              <w14:schemeClr w14:val="tx1"/>
            </w14:solidFill>
          </w14:textFill>
        </w:rPr>
        <w:br w:type="page"/>
      </w:r>
      <w:bookmarkEnd w:id="0"/>
      <w:bookmarkEnd w:id="1"/>
      <w:bookmarkEnd w:id="2"/>
      <w:bookmarkEnd w:id="3"/>
      <w:bookmarkEnd w:id="4"/>
      <w:bookmarkEnd w:id="5"/>
      <w:r>
        <w:rPr>
          <w:rFonts w:hint="eastAsia" w:ascii="黑体" w:eastAsia="黑体"/>
          <w:color w:val="000000" w:themeColor="text1"/>
          <w:sz w:val="36"/>
          <w14:textFill>
            <w14:solidFill>
              <w14:schemeClr w14:val="tx1"/>
            </w14:solidFill>
          </w14:textFill>
        </w:rPr>
        <w:t>目  录</w:t>
      </w:r>
    </w:p>
    <w:p>
      <w:pPr>
        <w:pStyle w:val="55"/>
        <w:rPr>
          <w:rFonts w:asciiTheme="minorHAnsi" w:hAnsiTheme="minorHAnsi" w:eastAsiaTheme="minorEastAsia" w:cstheme="minorBidi"/>
          <w:b w:val="0"/>
          <w:szCs w:val="22"/>
        </w:rPr>
      </w:pPr>
      <w:bookmarkStart w:id="6" w:name="_Toc241911990"/>
      <w:r>
        <w:rPr>
          <w:rFonts w:hint="eastAsia" w:ascii="黑体" w:eastAsia="黑体"/>
          <w:b w:val="0"/>
          <w:color w:val="000000" w:themeColor="text1"/>
          <w14:textFill>
            <w14:solidFill>
              <w14:schemeClr w14:val="tx1"/>
            </w14:solidFill>
          </w14:textFill>
        </w:rPr>
        <w:fldChar w:fldCharType="begin"/>
      </w:r>
      <w:r>
        <w:rPr>
          <w:rFonts w:hint="eastAsia" w:ascii="黑体" w:eastAsia="黑体"/>
          <w:b w:val="0"/>
          <w:color w:val="000000" w:themeColor="text1"/>
          <w14:textFill>
            <w14:solidFill>
              <w14:schemeClr w14:val="tx1"/>
            </w14:solidFill>
          </w14:textFill>
        </w:rPr>
        <w:instrText xml:space="preserve">TOC \o "1-2" \h  \u </w:instrText>
      </w:r>
      <w:r>
        <w:rPr>
          <w:rFonts w:hint="eastAsia" w:ascii="黑体" w:eastAsia="黑体"/>
          <w:b w:val="0"/>
          <w:color w:val="000000" w:themeColor="text1"/>
          <w14:textFill>
            <w14:solidFill>
              <w14:schemeClr w14:val="tx1"/>
            </w14:solidFill>
          </w14:textFill>
        </w:rPr>
        <w:fldChar w:fldCharType="separate"/>
      </w:r>
      <w:r>
        <w:fldChar w:fldCharType="begin"/>
      </w:r>
      <w:r>
        <w:instrText xml:space="preserve"> HYPERLINK \l "_Toc500256296" </w:instrText>
      </w:r>
      <w:r>
        <w:fldChar w:fldCharType="separate"/>
      </w:r>
      <w:r>
        <w:rPr>
          <w:rStyle w:val="95"/>
          <w:rFonts w:hint="eastAsia" w:ascii="黑体" w:hAnsi="黑体" w:eastAsia="黑体"/>
          <w:b/>
        </w:rPr>
        <w:t>一、工程概述</w:t>
      </w:r>
      <w:r>
        <w:tab/>
      </w:r>
      <w:r>
        <w:fldChar w:fldCharType="begin"/>
      </w:r>
      <w:r>
        <w:instrText xml:space="preserve"> PAGEREF _Toc500256296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"_Toc500256297" </w:instrText>
      </w:r>
      <w:r>
        <w:fldChar w:fldCharType="separate"/>
      </w:r>
      <w:r>
        <w:rPr>
          <w:rStyle w:val="95"/>
        </w:rPr>
        <w:t xml:space="preserve">1.1 </w:t>
      </w:r>
      <w:r>
        <w:rPr>
          <w:rStyle w:val="95"/>
          <w:rFonts w:hint="eastAsia"/>
        </w:rPr>
        <w:t>工程概况</w:t>
      </w:r>
      <w:r>
        <w:tab/>
      </w:r>
      <w:r>
        <w:fldChar w:fldCharType="begin"/>
      </w:r>
      <w:r>
        <w:instrText xml:space="preserve"> PAGEREF _Toc500256297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"_Toc500256298" </w:instrText>
      </w:r>
      <w:r>
        <w:fldChar w:fldCharType="separate"/>
      </w:r>
      <w:r>
        <w:rPr>
          <w:rStyle w:val="95"/>
        </w:rPr>
        <w:t xml:space="preserve">1.2 </w:t>
      </w:r>
      <w:r>
        <w:rPr>
          <w:rStyle w:val="95"/>
          <w:rFonts w:hint="eastAsia"/>
        </w:rPr>
        <w:t>使用条件</w:t>
      </w:r>
      <w:r>
        <w:tab/>
      </w:r>
      <w:r>
        <w:fldChar w:fldCharType="begin"/>
      </w:r>
      <w:r>
        <w:instrText xml:space="preserve"> PAGEREF _Toc500256298 \h </w:instrText>
      </w:r>
      <w:r>
        <w:fldChar w:fldCharType="separate"/>
      </w:r>
      <w:r>
        <w:t>1</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"_Toc500256299" </w:instrText>
      </w:r>
      <w:r>
        <w:fldChar w:fldCharType="separate"/>
      </w:r>
      <w:r>
        <w:rPr>
          <w:rStyle w:val="95"/>
          <w:rFonts w:hint="eastAsia" w:ascii="黑体" w:hAnsi="黑体" w:eastAsia="黑体"/>
          <w:b/>
        </w:rPr>
        <w:t>二、设备详细技术要求</w:t>
      </w:r>
      <w:r>
        <w:tab/>
      </w:r>
      <w:r>
        <w:fldChar w:fldCharType="begin"/>
      </w:r>
      <w:r>
        <w:instrText xml:space="preserve"> PAGEREF _Toc500256299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"_Toc500256300" </w:instrText>
      </w:r>
      <w:r>
        <w:fldChar w:fldCharType="separate"/>
      </w:r>
      <w:r>
        <w:rPr>
          <w:rStyle w:val="95"/>
        </w:rPr>
        <w:t xml:space="preserve">2.1 </w:t>
      </w:r>
      <w:r>
        <w:rPr>
          <w:rStyle w:val="95"/>
          <w:rFonts w:hint="eastAsia"/>
        </w:rPr>
        <w:t>供货需求及供货范围</w:t>
      </w:r>
      <w:r>
        <w:tab/>
      </w:r>
      <w:r>
        <w:fldChar w:fldCharType="begin"/>
      </w:r>
      <w:r>
        <w:instrText xml:space="preserve"> PAGEREF _Toc500256300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"_Toc500256301" </w:instrText>
      </w:r>
      <w:r>
        <w:fldChar w:fldCharType="separate"/>
      </w:r>
      <w:r>
        <w:rPr>
          <w:rStyle w:val="95"/>
        </w:rPr>
        <w:t xml:space="preserve">2.2 </w:t>
      </w:r>
      <w:r>
        <w:rPr>
          <w:rStyle w:val="95"/>
          <w:rFonts w:hint="eastAsia"/>
        </w:rPr>
        <w:t>标准技术特性参数表</w:t>
      </w:r>
      <w:r>
        <w:tab/>
      </w:r>
      <w:r>
        <w:fldChar w:fldCharType="begin"/>
      </w:r>
      <w:r>
        <w:instrText xml:space="preserve"> PAGEREF _Toc500256301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"_Toc500256302" </w:instrText>
      </w:r>
      <w:r>
        <w:fldChar w:fldCharType="separate"/>
      </w:r>
      <w:r>
        <w:rPr>
          <w:rStyle w:val="95"/>
          <w:rFonts w:eastAsia="黑体"/>
        </w:rPr>
        <w:t xml:space="preserve">2.3 </w:t>
      </w:r>
      <w:r>
        <w:rPr>
          <w:rStyle w:val="95"/>
          <w:rFonts w:hint="eastAsia" w:eastAsia="黑体"/>
        </w:rPr>
        <w:t>投标人资料提交时间及培训要求</w:t>
      </w:r>
      <w:r>
        <w:tab/>
      </w:r>
      <w:r>
        <w:fldChar w:fldCharType="begin"/>
      </w:r>
      <w:r>
        <w:instrText xml:space="preserve"> PAGEREF _Toc500256302 \h </w:instrText>
      </w:r>
      <w:r>
        <w:fldChar w:fldCharType="separate"/>
      </w:r>
      <w:r>
        <w:t>8</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"_Toc500256303" </w:instrText>
      </w:r>
      <w:r>
        <w:fldChar w:fldCharType="separate"/>
      </w:r>
      <w:r>
        <w:rPr>
          <w:rStyle w:val="95"/>
          <w:rFonts w:eastAsia="黑体"/>
        </w:rPr>
        <w:t xml:space="preserve">2.4 </w:t>
      </w:r>
      <w:r>
        <w:rPr>
          <w:rStyle w:val="95"/>
          <w:rFonts w:hint="eastAsia" w:eastAsia="黑体"/>
        </w:rPr>
        <w:t>主要元器件来源</w:t>
      </w:r>
      <w:r>
        <w:tab/>
      </w:r>
      <w:r>
        <w:fldChar w:fldCharType="begin"/>
      </w:r>
      <w:r>
        <w:instrText xml:space="preserve"> PAGEREF _Toc500256303 \h </w:instrText>
      </w:r>
      <w:r>
        <w:fldChar w:fldCharType="separate"/>
      </w:r>
      <w:r>
        <w:t>8</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"_Toc500256304" </w:instrText>
      </w:r>
      <w:r>
        <w:fldChar w:fldCharType="separate"/>
      </w:r>
      <w:r>
        <w:rPr>
          <w:rStyle w:val="95"/>
          <w:rFonts w:eastAsia="黑体"/>
        </w:rPr>
        <w:t>2.5</w:t>
      </w:r>
      <w:r>
        <w:rPr>
          <w:rStyle w:val="95"/>
          <w:rFonts w:hint="eastAsia" w:eastAsia="黑体"/>
        </w:rPr>
        <w:t>备品备件、专用工具和仪器仪表供货表</w:t>
      </w:r>
      <w:r>
        <w:tab/>
      </w:r>
      <w:r>
        <w:fldChar w:fldCharType="begin"/>
      </w:r>
      <w:r>
        <w:instrText xml:space="preserve"> PAGEREF _Toc500256304 \h </w:instrText>
      </w:r>
      <w:r>
        <w:fldChar w:fldCharType="separate"/>
      </w:r>
      <w:r>
        <w:t>9</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"_Toc500256305" </w:instrText>
      </w:r>
      <w:r>
        <w:fldChar w:fldCharType="separate"/>
      </w:r>
      <w:r>
        <w:rPr>
          <w:rStyle w:val="95"/>
          <w:rFonts w:hint="eastAsia" w:ascii="黑体" w:hAnsi="黑体" w:eastAsia="黑体"/>
          <w:b/>
          <w:kern w:val="44"/>
        </w:rPr>
        <w:t>三、投标方技术偏差</w:t>
      </w:r>
      <w:r>
        <w:tab/>
      </w:r>
      <w:r>
        <w:fldChar w:fldCharType="begin"/>
      </w:r>
      <w:r>
        <w:instrText xml:space="preserve"> PAGEREF _Toc500256305 \h </w:instrText>
      </w:r>
      <w:r>
        <w:fldChar w:fldCharType="separate"/>
      </w:r>
      <w:r>
        <w:t>9</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"_Toc500256306" </w:instrText>
      </w:r>
      <w:r>
        <w:fldChar w:fldCharType="separate"/>
      </w:r>
      <w:r>
        <w:rPr>
          <w:rStyle w:val="95"/>
          <w:rFonts w:eastAsia="黑体"/>
        </w:rPr>
        <w:t xml:space="preserve">3.1 </w:t>
      </w:r>
      <w:r>
        <w:rPr>
          <w:rStyle w:val="95"/>
          <w:rFonts w:hint="eastAsia" w:eastAsia="黑体"/>
        </w:rPr>
        <w:t>投标方技术偏差</w:t>
      </w:r>
      <w:r>
        <w:tab/>
      </w:r>
      <w:r>
        <w:fldChar w:fldCharType="begin"/>
      </w:r>
      <w:r>
        <w:instrText xml:space="preserve"> PAGEREF _Toc500256306 \h </w:instrText>
      </w:r>
      <w:r>
        <w:fldChar w:fldCharType="separate"/>
      </w:r>
      <w:r>
        <w:t>9</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"_Toc500256307" </w:instrText>
      </w:r>
      <w:r>
        <w:fldChar w:fldCharType="separate"/>
      </w:r>
      <w:r>
        <w:rPr>
          <w:rStyle w:val="95"/>
          <w:rFonts w:eastAsia="黑体"/>
        </w:rPr>
        <w:t xml:space="preserve">3.2 </w:t>
      </w:r>
      <w:r>
        <w:rPr>
          <w:rStyle w:val="95"/>
          <w:rFonts w:hint="eastAsia" w:eastAsia="黑体"/>
        </w:rPr>
        <w:t>投标方需说明的其他问题</w:t>
      </w:r>
      <w:r>
        <w:tab/>
      </w:r>
      <w:r>
        <w:fldChar w:fldCharType="begin"/>
      </w:r>
      <w:r>
        <w:instrText xml:space="preserve"> PAGEREF _Toc500256307 \h </w:instrText>
      </w:r>
      <w:r>
        <w:fldChar w:fldCharType="separate"/>
      </w:r>
      <w:r>
        <w:t>10</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"_Toc500256308" </w:instrText>
      </w:r>
      <w:r>
        <w:fldChar w:fldCharType="separate"/>
      </w:r>
      <w:r>
        <w:rPr>
          <w:rStyle w:val="95"/>
          <w:rFonts w:hint="eastAsia" w:ascii="黑体" w:hAnsi="黑体" w:eastAsia="黑体"/>
          <w:b/>
          <w:kern w:val="44"/>
        </w:rPr>
        <w:t>四、设计图纸提交要求</w:t>
      </w:r>
      <w:r>
        <w:tab/>
      </w:r>
      <w:r>
        <w:fldChar w:fldCharType="begin"/>
      </w:r>
      <w:r>
        <w:instrText xml:space="preserve"> PAGEREF _Toc500256308 \h </w:instrText>
      </w:r>
      <w:r>
        <w:fldChar w:fldCharType="separate"/>
      </w:r>
      <w:r>
        <w:t>10</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"_Toc500256309" </w:instrText>
      </w:r>
      <w:r>
        <w:fldChar w:fldCharType="separate"/>
      </w:r>
      <w:r>
        <w:rPr>
          <w:rStyle w:val="95"/>
          <w:rFonts w:eastAsia="黑体"/>
        </w:rPr>
        <w:t xml:space="preserve">4.1 </w:t>
      </w:r>
      <w:r>
        <w:rPr>
          <w:rStyle w:val="95"/>
          <w:rFonts w:hint="eastAsia" w:eastAsia="黑体"/>
        </w:rPr>
        <w:t>图纸资料提交单位</w:t>
      </w:r>
      <w:r>
        <w:tab/>
      </w:r>
      <w:r>
        <w:fldChar w:fldCharType="begin"/>
      </w:r>
      <w:r>
        <w:instrText xml:space="preserve"> PAGEREF _Toc500256309 \h </w:instrText>
      </w:r>
      <w:r>
        <w:fldChar w:fldCharType="separate"/>
      </w:r>
      <w:r>
        <w:t>10</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"_Toc500256310" </w:instrText>
      </w:r>
      <w:r>
        <w:fldChar w:fldCharType="separate"/>
      </w:r>
      <w:r>
        <w:rPr>
          <w:rStyle w:val="95"/>
        </w:rPr>
        <w:t xml:space="preserve">4.2 </w:t>
      </w:r>
      <w:r>
        <w:rPr>
          <w:rStyle w:val="95"/>
          <w:rFonts w:hint="eastAsia"/>
        </w:rPr>
        <w:t>一次、二次及土建接口要求（适用于扩建工程）</w:t>
      </w:r>
      <w:r>
        <w:tab/>
      </w:r>
      <w:r>
        <w:fldChar w:fldCharType="begin"/>
      </w:r>
      <w:r>
        <w:instrText xml:space="preserve"> PAGEREF _Toc500256310 \h </w:instrText>
      </w:r>
      <w:r>
        <w:fldChar w:fldCharType="separate"/>
      </w:r>
      <w:r>
        <w:t>10</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"_Toc500256311" </w:instrText>
      </w:r>
      <w:r>
        <w:fldChar w:fldCharType="separate"/>
      </w:r>
      <w:r>
        <w:rPr>
          <w:rStyle w:val="95"/>
        </w:rPr>
        <w:t xml:space="preserve">4.3 </w:t>
      </w:r>
      <w:r>
        <w:rPr>
          <w:rStyle w:val="95"/>
          <w:rFonts w:hint="eastAsia"/>
        </w:rPr>
        <w:t>设备图纸及资料</w:t>
      </w:r>
      <w:r>
        <w:tab/>
      </w:r>
      <w:r>
        <w:fldChar w:fldCharType="begin"/>
      </w:r>
      <w:r>
        <w:instrText xml:space="preserve"> PAGEREF _Toc500256311 \h </w:instrText>
      </w:r>
      <w:r>
        <w:fldChar w:fldCharType="separate"/>
      </w:r>
      <w:r>
        <w:t>10</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"_Toc500256312" </w:instrText>
      </w:r>
      <w:r>
        <w:fldChar w:fldCharType="separate"/>
      </w:r>
      <w:r>
        <w:rPr>
          <w:rStyle w:val="95"/>
          <w:rFonts w:hint="eastAsia" w:ascii="黑体" w:hAnsi="黑体" w:eastAsia="黑体"/>
          <w:b/>
          <w:kern w:val="44"/>
        </w:rPr>
        <w:t>五、其他</w:t>
      </w:r>
      <w:r>
        <w:tab/>
      </w:r>
      <w:r>
        <w:fldChar w:fldCharType="begin"/>
      </w:r>
      <w:r>
        <w:instrText xml:space="preserve"> PAGEREF _Toc500256312 \h </w:instrText>
      </w:r>
      <w:r>
        <w:fldChar w:fldCharType="separate"/>
      </w:r>
      <w:r>
        <w:t>11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"_Toc500256313" </w:instrText>
      </w:r>
      <w:r>
        <w:fldChar w:fldCharType="separate"/>
      </w:r>
      <w:r>
        <w:rPr>
          <w:rStyle w:val="95"/>
        </w:rPr>
        <w:t>5.1 LCC</w:t>
      </w:r>
      <w:r>
        <w:rPr>
          <w:rStyle w:val="95"/>
          <w:rFonts w:hint="eastAsia"/>
        </w:rPr>
        <w:t>数据文件</w:t>
      </w:r>
      <w:r>
        <w:tab/>
      </w:r>
      <w:r>
        <w:fldChar w:fldCharType="begin"/>
      </w:r>
      <w:r>
        <w:instrText xml:space="preserve"> PAGEREF _Toc500256313 \h </w:instrText>
      </w:r>
      <w:r>
        <w:fldChar w:fldCharType="separate"/>
      </w:r>
      <w:r>
        <w:t>11</w:t>
      </w:r>
      <w:r>
        <w:fldChar w:fldCharType="end"/>
      </w:r>
      <w:r>
        <w:fldChar w:fldCharType="end"/>
      </w:r>
    </w:p>
    <w:p>
      <w:pPr>
        <w:rPr>
          <w:rFonts w:ascii="黑体" w:eastAsia="黑体"/>
          <w:color w:val="000000" w:themeColor="text1"/>
          <w14:textFill>
            <w14:solidFill>
              <w14:schemeClr w14:val="tx1"/>
            </w14:solidFill>
          </w14:textFill>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黑体" w:eastAsia="黑体"/>
          <w:color w:val="000000" w:themeColor="text1"/>
          <w14:textFill>
            <w14:solidFill>
              <w14:schemeClr w14:val="tx1"/>
            </w14:solidFill>
          </w14:textFill>
        </w:rPr>
        <w:fldChar w:fldCharType="end"/>
      </w:r>
    </w:p>
    <w:bookmarkEnd w:id="6"/>
    <w:p>
      <w:pPr>
        <w:pStyle w:val="2"/>
        <w:numPr>
          <w:ilvl w:val="0"/>
          <w:numId w:val="0"/>
        </w:numPr>
        <w:rPr>
          <w:rFonts w:ascii="宋体" w:hAnsi="宋体" w:eastAsia="宋体"/>
          <w:b/>
          <w:sz w:val="21"/>
          <w:szCs w:val="21"/>
        </w:rPr>
      </w:pPr>
      <w:bookmarkStart w:id="7" w:name="_Toc391649494"/>
      <w:bookmarkEnd w:id="7"/>
      <w:bookmarkStart w:id="8" w:name="_Toc391649753"/>
      <w:bookmarkEnd w:id="8"/>
      <w:bookmarkStart w:id="9" w:name="_Toc391647321"/>
      <w:bookmarkEnd w:id="9"/>
      <w:bookmarkStart w:id="10" w:name="_Toc391649272"/>
      <w:bookmarkEnd w:id="10"/>
      <w:bookmarkStart w:id="11" w:name="_Toc391649319"/>
      <w:bookmarkEnd w:id="11"/>
      <w:bookmarkStart w:id="12" w:name="_Toc391654280"/>
      <w:bookmarkEnd w:id="12"/>
      <w:bookmarkStart w:id="13" w:name="_Toc391649736"/>
      <w:bookmarkEnd w:id="13"/>
      <w:bookmarkStart w:id="14" w:name="_Toc391715513"/>
      <w:bookmarkEnd w:id="14"/>
      <w:bookmarkStart w:id="15" w:name="_Toc391715509"/>
      <w:bookmarkEnd w:id="15"/>
      <w:bookmarkStart w:id="16" w:name="_Toc391647174"/>
      <w:bookmarkEnd w:id="16"/>
      <w:bookmarkStart w:id="17" w:name="_Toc391715531"/>
      <w:bookmarkEnd w:id="17"/>
      <w:bookmarkStart w:id="18" w:name="_Toc391647313"/>
      <w:bookmarkEnd w:id="18"/>
      <w:bookmarkStart w:id="19" w:name="_Toc391654283"/>
      <w:bookmarkEnd w:id="19"/>
      <w:bookmarkStart w:id="20" w:name="_Toc391649498"/>
      <w:bookmarkEnd w:id="20"/>
      <w:bookmarkStart w:id="21" w:name="_Toc391649318"/>
      <w:bookmarkEnd w:id="21"/>
      <w:bookmarkStart w:id="22" w:name="_Toc391649512"/>
      <w:bookmarkEnd w:id="22"/>
      <w:bookmarkStart w:id="23" w:name="_Toc391649508"/>
      <w:bookmarkEnd w:id="23"/>
      <w:bookmarkStart w:id="24" w:name="_Toc391649322"/>
      <w:bookmarkEnd w:id="24"/>
      <w:bookmarkStart w:id="25" w:name="_Toc391650060"/>
      <w:bookmarkEnd w:id="25"/>
      <w:bookmarkStart w:id="26" w:name="_Toc391649267"/>
      <w:bookmarkEnd w:id="26"/>
      <w:bookmarkStart w:id="27" w:name="_Toc391654281"/>
      <w:bookmarkEnd w:id="27"/>
      <w:bookmarkStart w:id="28" w:name="_Toc391649320"/>
      <w:bookmarkEnd w:id="28"/>
      <w:bookmarkStart w:id="29" w:name="_Toc391647318"/>
      <w:bookmarkEnd w:id="29"/>
      <w:bookmarkStart w:id="30" w:name="_Toc391654300"/>
      <w:bookmarkEnd w:id="30"/>
      <w:bookmarkStart w:id="31" w:name="_Toc391649746"/>
      <w:bookmarkEnd w:id="31"/>
      <w:bookmarkStart w:id="32" w:name="_Toc391649733"/>
      <w:bookmarkEnd w:id="32"/>
      <w:bookmarkStart w:id="33" w:name="_Toc391650044"/>
      <w:bookmarkEnd w:id="33"/>
      <w:bookmarkStart w:id="34" w:name="_Toc391649493"/>
      <w:bookmarkEnd w:id="34"/>
      <w:bookmarkStart w:id="35" w:name="_Toc391647312"/>
      <w:bookmarkEnd w:id="35"/>
      <w:bookmarkStart w:id="36" w:name="_Toc391649497"/>
      <w:bookmarkEnd w:id="36"/>
      <w:bookmarkStart w:id="37" w:name="_Toc391647879"/>
      <w:bookmarkEnd w:id="37"/>
      <w:bookmarkStart w:id="38" w:name="_Toc391647896"/>
      <w:bookmarkEnd w:id="38"/>
      <w:bookmarkStart w:id="39" w:name="_Toc391649271"/>
      <w:bookmarkEnd w:id="39"/>
      <w:bookmarkStart w:id="40" w:name="_Toc391650091"/>
      <w:bookmarkEnd w:id="40"/>
      <w:bookmarkStart w:id="41" w:name="_Toc391649750"/>
      <w:bookmarkEnd w:id="41"/>
      <w:bookmarkStart w:id="42" w:name="_Toc391715523"/>
      <w:bookmarkEnd w:id="42"/>
      <w:bookmarkStart w:id="43" w:name="_Toc391649745"/>
      <w:bookmarkEnd w:id="43"/>
      <w:bookmarkStart w:id="44" w:name="_Toc391649331"/>
      <w:bookmarkEnd w:id="44"/>
      <w:bookmarkStart w:id="45" w:name="_Toc391650056"/>
      <w:bookmarkEnd w:id="45"/>
      <w:bookmarkStart w:id="46" w:name="_Toc391647177"/>
      <w:bookmarkEnd w:id="46"/>
      <w:bookmarkStart w:id="47" w:name="_Toc391649276"/>
      <w:bookmarkEnd w:id="47"/>
      <w:bookmarkStart w:id="48" w:name="_Toc391647894"/>
      <w:bookmarkEnd w:id="48"/>
      <w:bookmarkStart w:id="49" w:name="_Toc391647876"/>
      <w:bookmarkEnd w:id="49"/>
      <w:bookmarkStart w:id="50" w:name="_Toc391647184"/>
      <w:bookmarkEnd w:id="50"/>
      <w:bookmarkStart w:id="51" w:name="_Toc391650101"/>
      <w:bookmarkEnd w:id="51"/>
      <w:bookmarkStart w:id="52" w:name="_Toc391650053"/>
      <w:bookmarkEnd w:id="52"/>
      <w:bookmarkStart w:id="53" w:name="_Toc391649340"/>
      <w:bookmarkEnd w:id="53"/>
      <w:bookmarkStart w:id="54" w:name="_Toc391647194"/>
      <w:bookmarkEnd w:id="54"/>
      <w:bookmarkStart w:id="55" w:name="_Toc391649326"/>
      <w:bookmarkEnd w:id="55"/>
      <w:bookmarkStart w:id="56" w:name="_Toc391649332"/>
      <w:bookmarkEnd w:id="56"/>
      <w:bookmarkStart w:id="57" w:name="_Toc391650103"/>
      <w:bookmarkEnd w:id="57"/>
      <w:bookmarkStart w:id="58" w:name="_Toc391649329"/>
      <w:bookmarkEnd w:id="58"/>
      <w:bookmarkStart w:id="59" w:name="_Toc391649299"/>
      <w:bookmarkEnd w:id="59"/>
      <w:bookmarkStart w:id="60" w:name="_Toc391650068"/>
      <w:bookmarkEnd w:id="60"/>
      <w:bookmarkStart w:id="61" w:name="_Toc391647315"/>
      <w:bookmarkEnd w:id="61"/>
      <w:bookmarkStart w:id="62" w:name="_Toc391647182"/>
      <w:bookmarkEnd w:id="62"/>
      <w:bookmarkStart w:id="63" w:name="_Toc391647891"/>
      <w:bookmarkEnd w:id="63"/>
      <w:bookmarkStart w:id="64" w:name="_Toc391649334"/>
      <w:bookmarkEnd w:id="64"/>
      <w:bookmarkStart w:id="65" w:name="_Toc391650106"/>
      <w:bookmarkEnd w:id="65"/>
      <w:bookmarkStart w:id="66" w:name="_Toc391649285"/>
      <w:bookmarkEnd w:id="66"/>
      <w:bookmarkStart w:id="67" w:name="_Toc391715528"/>
      <w:bookmarkEnd w:id="67"/>
      <w:bookmarkStart w:id="68" w:name="_Toc391650061"/>
      <w:bookmarkEnd w:id="68"/>
      <w:bookmarkStart w:id="69" w:name="_Toc391649346"/>
      <w:bookmarkEnd w:id="69"/>
      <w:bookmarkStart w:id="70" w:name="_Toc391715538"/>
      <w:bookmarkEnd w:id="70"/>
      <w:bookmarkStart w:id="71" w:name="_Toc391647327"/>
      <w:bookmarkEnd w:id="71"/>
      <w:bookmarkStart w:id="72" w:name="_Toc391649286"/>
      <w:bookmarkEnd w:id="72"/>
      <w:bookmarkStart w:id="73" w:name="_Toc391654294"/>
      <w:bookmarkEnd w:id="73"/>
      <w:bookmarkStart w:id="74" w:name="_Toc391649344"/>
      <w:bookmarkEnd w:id="74"/>
      <w:bookmarkStart w:id="75" w:name="_Toc391647888"/>
      <w:bookmarkEnd w:id="75"/>
      <w:bookmarkStart w:id="76" w:name="_Toc391715521"/>
      <w:bookmarkEnd w:id="76"/>
      <w:bookmarkStart w:id="77" w:name="_Toc391647335"/>
      <w:bookmarkEnd w:id="77"/>
      <w:bookmarkStart w:id="78" w:name="_Toc391649333"/>
      <w:bookmarkEnd w:id="78"/>
      <w:bookmarkStart w:id="79" w:name="_Toc391650104"/>
      <w:bookmarkEnd w:id="79"/>
      <w:bookmarkStart w:id="80" w:name="_Toc391650064"/>
      <w:bookmarkEnd w:id="80"/>
      <w:bookmarkStart w:id="81" w:name="_Toc391654298"/>
      <w:bookmarkEnd w:id="81"/>
      <w:bookmarkStart w:id="82" w:name="_Toc391647320"/>
      <w:bookmarkEnd w:id="82"/>
      <w:bookmarkStart w:id="83" w:name="_Toc391650107"/>
      <w:bookmarkEnd w:id="83"/>
      <w:bookmarkStart w:id="84" w:name="_Toc391649504"/>
      <w:bookmarkEnd w:id="84"/>
      <w:bookmarkStart w:id="85" w:name="_Toc391715533"/>
      <w:bookmarkEnd w:id="85"/>
      <w:bookmarkStart w:id="86" w:name="_Toc391647906"/>
      <w:bookmarkEnd w:id="86"/>
      <w:bookmarkStart w:id="87" w:name="_Toc391715520"/>
      <w:bookmarkEnd w:id="87"/>
      <w:bookmarkStart w:id="88" w:name="_Toc391715534"/>
      <w:bookmarkEnd w:id="88"/>
      <w:bookmarkStart w:id="89" w:name="_Toc391647170"/>
      <w:bookmarkEnd w:id="89"/>
      <w:bookmarkStart w:id="90" w:name="_Toc391650112"/>
      <w:bookmarkEnd w:id="90"/>
      <w:bookmarkStart w:id="91" w:name="_Toc391647900"/>
      <w:bookmarkEnd w:id="91"/>
      <w:bookmarkStart w:id="92" w:name="_Toc391647185"/>
      <w:bookmarkEnd w:id="92"/>
      <w:bookmarkStart w:id="93" w:name="_Toc391647190"/>
      <w:bookmarkEnd w:id="93"/>
      <w:bookmarkStart w:id="94" w:name="_Toc391649327"/>
      <w:bookmarkEnd w:id="94"/>
      <w:bookmarkStart w:id="95" w:name="_Toc391647181"/>
      <w:bookmarkEnd w:id="95"/>
      <w:bookmarkStart w:id="96" w:name="_Toc391650113"/>
      <w:bookmarkEnd w:id="96"/>
      <w:bookmarkStart w:id="97" w:name="_Toc391649292"/>
      <w:bookmarkEnd w:id="97"/>
      <w:bookmarkStart w:id="98" w:name="_Toc391647333"/>
      <w:bookmarkEnd w:id="98"/>
      <w:bookmarkStart w:id="99" w:name="_Toc391650119"/>
      <w:bookmarkEnd w:id="99"/>
      <w:bookmarkStart w:id="100" w:name="_Toc391654305"/>
      <w:bookmarkEnd w:id="100"/>
      <w:bookmarkStart w:id="101" w:name="_Toc391649518"/>
      <w:bookmarkEnd w:id="101"/>
      <w:bookmarkStart w:id="102" w:name="_Toc391649755"/>
      <w:bookmarkEnd w:id="102"/>
      <w:bookmarkStart w:id="103" w:name="_Toc391654297"/>
      <w:bookmarkEnd w:id="103"/>
      <w:bookmarkStart w:id="104" w:name="_Toc391647905"/>
      <w:bookmarkEnd w:id="104"/>
      <w:bookmarkStart w:id="105" w:name="_Toc391649757"/>
      <w:bookmarkEnd w:id="105"/>
      <w:bookmarkStart w:id="106" w:name="_Toc391649517"/>
      <w:bookmarkEnd w:id="106"/>
      <w:bookmarkStart w:id="107" w:name="_Toc391647332"/>
      <w:bookmarkEnd w:id="107"/>
      <w:bookmarkStart w:id="108" w:name="_Toc391649291"/>
      <w:bookmarkEnd w:id="108"/>
      <w:bookmarkStart w:id="109" w:name="_Toc391650114"/>
      <w:bookmarkEnd w:id="109"/>
      <w:bookmarkStart w:id="110" w:name="_Toc391649762"/>
      <w:bookmarkEnd w:id="110"/>
      <w:bookmarkStart w:id="111" w:name="_Toc391654296"/>
      <w:bookmarkEnd w:id="111"/>
      <w:bookmarkStart w:id="112" w:name="_Toc391647187"/>
      <w:bookmarkEnd w:id="112"/>
      <w:bookmarkStart w:id="113" w:name="_Toc391649345"/>
      <w:bookmarkEnd w:id="113"/>
      <w:bookmarkStart w:id="114" w:name="_Toc391715515"/>
      <w:bookmarkEnd w:id="114"/>
      <w:bookmarkStart w:id="115" w:name="_Toc391649339"/>
      <w:bookmarkEnd w:id="115"/>
      <w:bookmarkStart w:id="116" w:name="_Toc391650116"/>
      <w:bookmarkEnd w:id="116"/>
      <w:bookmarkStart w:id="117" w:name="_Toc391649520"/>
      <w:bookmarkEnd w:id="117"/>
      <w:bookmarkStart w:id="118" w:name="_Toc391650096"/>
      <w:bookmarkEnd w:id="118"/>
      <w:bookmarkStart w:id="119" w:name="_Toc391647169"/>
      <w:bookmarkEnd w:id="119"/>
      <w:bookmarkStart w:id="120" w:name="_Toc391649298"/>
      <w:bookmarkEnd w:id="120"/>
      <w:bookmarkStart w:id="121" w:name="_Toc391647188"/>
      <w:bookmarkEnd w:id="121"/>
      <w:bookmarkStart w:id="122" w:name="_Toc391647338"/>
      <w:bookmarkEnd w:id="122"/>
      <w:bookmarkStart w:id="123" w:name="_Toc391647191"/>
      <w:bookmarkEnd w:id="123"/>
      <w:bookmarkStart w:id="124" w:name="_Toc391650117"/>
      <w:bookmarkEnd w:id="124"/>
      <w:bookmarkStart w:id="125" w:name="_Toc391649297"/>
      <w:bookmarkEnd w:id="125"/>
      <w:bookmarkStart w:id="126" w:name="_Toc391649343"/>
      <w:bookmarkEnd w:id="126"/>
      <w:bookmarkStart w:id="127" w:name="_Toc391649760"/>
      <w:bookmarkEnd w:id="127"/>
      <w:bookmarkStart w:id="128" w:name="_Toc391649522"/>
      <w:bookmarkEnd w:id="128"/>
      <w:bookmarkStart w:id="129" w:name="_Toc391654302"/>
      <w:bookmarkEnd w:id="129"/>
      <w:bookmarkStart w:id="130" w:name="_Toc391649761"/>
      <w:bookmarkEnd w:id="130"/>
      <w:bookmarkStart w:id="131" w:name="_Toc391715543"/>
      <w:bookmarkEnd w:id="131"/>
      <w:bookmarkStart w:id="132" w:name="_Toc391650067"/>
      <w:bookmarkEnd w:id="132"/>
      <w:bookmarkStart w:id="133" w:name="_Toc391647904"/>
      <w:bookmarkEnd w:id="133"/>
      <w:bookmarkStart w:id="134" w:name="_Toc391649506"/>
      <w:bookmarkEnd w:id="134"/>
      <w:bookmarkStart w:id="135" w:name="_Toc391715532"/>
      <w:bookmarkEnd w:id="135"/>
      <w:bookmarkStart w:id="136" w:name="_Toc391650069"/>
      <w:bookmarkEnd w:id="136"/>
      <w:bookmarkStart w:id="137" w:name="_Toc391715535"/>
      <w:bookmarkEnd w:id="137"/>
      <w:bookmarkStart w:id="138" w:name="_Toc391649521"/>
      <w:bookmarkEnd w:id="138"/>
      <w:bookmarkStart w:id="139" w:name="_Toc391650070"/>
      <w:bookmarkEnd w:id="139"/>
      <w:bookmarkStart w:id="140" w:name="_Toc391649295"/>
      <w:bookmarkEnd w:id="140"/>
      <w:bookmarkStart w:id="141" w:name="_Toc391649523"/>
      <w:bookmarkEnd w:id="141"/>
      <w:bookmarkStart w:id="142" w:name="_Toc391654303"/>
      <w:bookmarkEnd w:id="142"/>
      <w:bookmarkStart w:id="143" w:name="_Toc391650066"/>
      <w:bookmarkEnd w:id="143"/>
      <w:bookmarkStart w:id="144" w:name="_Toc391647337"/>
      <w:bookmarkEnd w:id="144"/>
      <w:bookmarkStart w:id="145" w:name="_Toc391649324"/>
      <w:bookmarkEnd w:id="145"/>
      <w:bookmarkStart w:id="146" w:name="_Toc391649341"/>
      <w:bookmarkEnd w:id="146"/>
      <w:bookmarkStart w:id="147" w:name="_Toc391649519"/>
      <w:bookmarkEnd w:id="147"/>
      <w:bookmarkStart w:id="148" w:name="_Toc391647886"/>
      <w:bookmarkEnd w:id="148"/>
      <w:bookmarkStart w:id="149" w:name="_Toc391647901"/>
      <w:bookmarkEnd w:id="149"/>
      <w:bookmarkStart w:id="150" w:name="_Toc391650072"/>
      <w:bookmarkEnd w:id="150"/>
      <w:bookmarkStart w:id="151" w:name="_Toc391647340"/>
      <w:bookmarkEnd w:id="151"/>
      <w:bookmarkStart w:id="152" w:name="_Toc391647907"/>
      <w:bookmarkEnd w:id="152"/>
      <w:bookmarkStart w:id="153" w:name="_Toc391649764"/>
      <w:bookmarkEnd w:id="153"/>
      <w:bookmarkStart w:id="154" w:name="_Toc391647903"/>
      <w:bookmarkEnd w:id="154"/>
      <w:bookmarkStart w:id="155" w:name="_Toc391649294"/>
      <w:bookmarkEnd w:id="155"/>
      <w:bookmarkStart w:id="156" w:name="_Toc391647322"/>
      <w:bookmarkEnd w:id="156"/>
      <w:bookmarkStart w:id="157" w:name="_Toc391650049"/>
      <w:bookmarkEnd w:id="157"/>
      <w:bookmarkStart w:id="158" w:name="_Toc391715540"/>
      <w:bookmarkEnd w:id="158"/>
      <w:bookmarkStart w:id="159" w:name="_Toc391654285"/>
      <w:bookmarkEnd w:id="159"/>
      <w:bookmarkStart w:id="160" w:name="_Toc391650120"/>
      <w:bookmarkEnd w:id="160"/>
      <w:bookmarkStart w:id="161" w:name="_Toc391654286"/>
      <w:bookmarkEnd w:id="161"/>
      <w:bookmarkStart w:id="162" w:name="_Toc391715539"/>
      <w:bookmarkEnd w:id="162"/>
      <w:bookmarkStart w:id="163" w:name="_Toc391654310"/>
      <w:bookmarkEnd w:id="163"/>
      <w:bookmarkStart w:id="164" w:name="_Toc391650073"/>
      <w:bookmarkEnd w:id="164"/>
      <w:bookmarkStart w:id="165" w:name="_Toc391647341"/>
      <w:bookmarkEnd w:id="165"/>
      <w:bookmarkStart w:id="166" w:name="_Toc391649524"/>
      <w:bookmarkEnd w:id="166"/>
      <w:bookmarkStart w:id="167" w:name="_Toc391650121"/>
      <w:bookmarkEnd w:id="167"/>
      <w:bookmarkStart w:id="168" w:name="_Toc391649759"/>
      <w:bookmarkEnd w:id="168"/>
      <w:bookmarkStart w:id="169" w:name="_Toc391647902"/>
      <w:bookmarkEnd w:id="169"/>
      <w:bookmarkStart w:id="170" w:name="_Toc391715542"/>
      <w:bookmarkEnd w:id="170"/>
      <w:bookmarkStart w:id="171" w:name="_Toc391647189"/>
      <w:bookmarkEnd w:id="171"/>
      <w:bookmarkStart w:id="172" w:name="_Toc391650097"/>
      <w:bookmarkEnd w:id="172"/>
      <w:bookmarkStart w:id="173" w:name="_Toc391654309"/>
      <w:bookmarkEnd w:id="173"/>
      <w:bookmarkStart w:id="174" w:name="_Toc391649752"/>
      <w:bookmarkEnd w:id="174"/>
      <w:bookmarkStart w:id="175" w:name="_Toc391647339"/>
      <w:bookmarkEnd w:id="175"/>
      <w:bookmarkStart w:id="176" w:name="_Toc391649763"/>
      <w:bookmarkEnd w:id="176"/>
      <w:bookmarkStart w:id="177" w:name="_Toc391654291"/>
      <w:bookmarkEnd w:id="177"/>
      <w:bookmarkStart w:id="178" w:name="_Toc391649296"/>
      <w:bookmarkEnd w:id="178"/>
      <w:bookmarkStart w:id="179" w:name="_Toc391715537"/>
      <w:bookmarkEnd w:id="179"/>
      <w:bookmarkStart w:id="180" w:name="_Toc391650122"/>
      <w:bookmarkEnd w:id="180"/>
      <w:bookmarkStart w:id="181" w:name="_Toc391647195"/>
      <w:bookmarkEnd w:id="181"/>
      <w:bookmarkStart w:id="182" w:name="_Toc391649515"/>
      <w:bookmarkEnd w:id="182"/>
      <w:bookmarkStart w:id="183" w:name="_Toc391650075"/>
      <w:bookmarkEnd w:id="183"/>
      <w:bookmarkStart w:id="184" w:name="_Toc391715536"/>
      <w:bookmarkEnd w:id="184"/>
      <w:bookmarkStart w:id="185" w:name="_Toc391650110"/>
      <w:bookmarkEnd w:id="185"/>
      <w:bookmarkStart w:id="186" w:name="_Toc391649514"/>
      <w:bookmarkEnd w:id="186"/>
      <w:bookmarkStart w:id="187" w:name="_Toc391649740"/>
      <w:bookmarkEnd w:id="187"/>
      <w:bookmarkStart w:id="188" w:name="_Toc391654311"/>
      <w:bookmarkEnd w:id="188"/>
      <w:bookmarkStart w:id="189" w:name="_Toc391649301"/>
      <w:bookmarkEnd w:id="189"/>
      <w:bookmarkStart w:id="190" w:name="_Toc391647908"/>
      <w:bookmarkEnd w:id="190"/>
      <w:bookmarkStart w:id="191" w:name="_Toc391654307"/>
      <w:bookmarkEnd w:id="191"/>
      <w:bookmarkStart w:id="192" w:name="_Toc391715541"/>
      <w:bookmarkEnd w:id="192"/>
      <w:bookmarkStart w:id="193" w:name="_Toc391649348"/>
      <w:bookmarkEnd w:id="193"/>
      <w:bookmarkStart w:id="194" w:name="_Toc391649527"/>
      <w:bookmarkEnd w:id="194"/>
      <w:bookmarkStart w:id="195" w:name="_Toc391649765"/>
      <w:bookmarkEnd w:id="195"/>
      <w:bookmarkStart w:id="196" w:name="_Toc391649287"/>
      <w:bookmarkEnd w:id="196"/>
      <w:bookmarkStart w:id="197" w:name="_Toc391654293"/>
      <w:bookmarkEnd w:id="197"/>
      <w:bookmarkStart w:id="198" w:name="_Toc391647342"/>
      <w:bookmarkEnd w:id="198"/>
      <w:bookmarkStart w:id="199" w:name="_Toc391715524"/>
      <w:bookmarkEnd w:id="199"/>
      <w:bookmarkStart w:id="200" w:name="_Toc391647196"/>
      <w:bookmarkEnd w:id="200"/>
      <w:bookmarkStart w:id="201" w:name="_Toc391649347"/>
      <w:bookmarkEnd w:id="201"/>
      <w:bookmarkStart w:id="202" w:name="_Toc391649766"/>
      <w:bookmarkEnd w:id="202"/>
      <w:bookmarkStart w:id="203" w:name="_Toc391650076"/>
      <w:bookmarkEnd w:id="203"/>
      <w:bookmarkStart w:id="204" w:name="_Toc391650063"/>
      <w:bookmarkEnd w:id="204"/>
      <w:bookmarkStart w:id="205" w:name="_Toc391649526"/>
      <w:bookmarkEnd w:id="205"/>
      <w:bookmarkStart w:id="206" w:name="_Toc391650123"/>
      <w:bookmarkEnd w:id="206"/>
      <w:bookmarkStart w:id="207" w:name="_Toc391647909"/>
      <w:bookmarkEnd w:id="207"/>
      <w:bookmarkStart w:id="208" w:name="_Toc391649300"/>
      <w:bookmarkEnd w:id="208"/>
      <w:bookmarkStart w:id="209" w:name="_Toc391654313"/>
      <w:bookmarkEnd w:id="209"/>
      <w:bookmarkStart w:id="210" w:name="_Toc391649525"/>
      <w:bookmarkEnd w:id="210"/>
      <w:bookmarkStart w:id="211" w:name="_Toc391647882"/>
      <w:bookmarkEnd w:id="211"/>
      <w:bookmarkStart w:id="212" w:name="_Toc391647328"/>
      <w:bookmarkEnd w:id="212"/>
      <w:bookmarkStart w:id="213" w:name="_Toc391649744"/>
      <w:bookmarkEnd w:id="213"/>
      <w:bookmarkStart w:id="214" w:name="_Toc391650074"/>
      <w:bookmarkEnd w:id="214"/>
      <w:bookmarkStart w:id="215" w:name="_Toc391649337"/>
      <w:bookmarkEnd w:id="215"/>
      <w:bookmarkStart w:id="216" w:name="_Toc391649513"/>
      <w:bookmarkEnd w:id="216"/>
      <w:bookmarkStart w:id="217" w:name="_Toc391654312"/>
      <w:bookmarkEnd w:id="217"/>
      <w:bookmarkStart w:id="218" w:name="_Toc391650055"/>
      <w:bookmarkEnd w:id="218"/>
      <w:bookmarkStart w:id="219" w:name="_Toc391649281"/>
      <w:bookmarkEnd w:id="219"/>
      <w:bookmarkStart w:id="220" w:name="_Toc391654306"/>
      <w:bookmarkEnd w:id="220"/>
      <w:bookmarkStart w:id="221" w:name="_Toc391647893"/>
      <w:bookmarkEnd w:id="221"/>
      <w:bookmarkStart w:id="222" w:name="_Toc391654290"/>
      <w:bookmarkEnd w:id="222"/>
      <w:bookmarkStart w:id="223" w:name="_Toc391649349"/>
      <w:bookmarkEnd w:id="223"/>
      <w:bookmarkStart w:id="224" w:name="_Toc391650105"/>
      <w:bookmarkEnd w:id="224"/>
      <w:bookmarkStart w:id="225" w:name="_Toc391649511"/>
      <w:bookmarkEnd w:id="225"/>
      <w:bookmarkStart w:id="226" w:name="_Toc391650109"/>
      <w:bookmarkEnd w:id="226"/>
      <w:bookmarkStart w:id="227" w:name="_Toc391654289"/>
      <w:bookmarkEnd w:id="227"/>
      <w:bookmarkStart w:id="228" w:name="_Toc391647178"/>
      <w:bookmarkEnd w:id="228"/>
      <w:bookmarkStart w:id="229" w:name="_Toc391647319"/>
      <w:bookmarkEnd w:id="229"/>
      <w:bookmarkStart w:id="230" w:name="_Toc391649743"/>
      <w:bookmarkEnd w:id="230"/>
      <w:bookmarkStart w:id="231" w:name="_Toc391649510"/>
      <w:bookmarkEnd w:id="231"/>
      <w:bookmarkStart w:id="232" w:name="_Toc391647329"/>
      <w:bookmarkEnd w:id="232"/>
      <w:bookmarkStart w:id="233" w:name="_Toc391649278"/>
      <w:bookmarkEnd w:id="233"/>
      <w:bookmarkStart w:id="234" w:name="_Toc391647193"/>
      <w:bookmarkEnd w:id="234"/>
      <w:bookmarkStart w:id="235" w:name="_Toc391647175"/>
      <w:bookmarkEnd w:id="235"/>
      <w:bookmarkStart w:id="236" w:name="_Toc391649751"/>
      <w:bookmarkEnd w:id="236"/>
      <w:bookmarkStart w:id="237" w:name="_Toc391649279"/>
      <w:bookmarkEnd w:id="237"/>
      <w:bookmarkStart w:id="238" w:name="_Toc391649742"/>
      <w:bookmarkEnd w:id="238"/>
      <w:bookmarkStart w:id="239" w:name="_Toc391647887"/>
      <w:bookmarkEnd w:id="239"/>
      <w:bookmarkStart w:id="240" w:name="_Toc391715522"/>
      <w:bookmarkEnd w:id="240"/>
      <w:bookmarkStart w:id="241" w:name="_Toc391649284"/>
      <w:bookmarkEnd w:id="241"/>
      <w:bookmarkStart w:id="242" w:name="_Toc391654292"/>
      <w:bookmarkEnd w:id="242"/>
      <w:bookmarkStart w:id="243" w:name="_Toc391647326"/>
      <w:bookmarkEnd w:id="243"/>
      <w:bookmarkStart w:id="244" w:name="_Toc391715514"/>
      <w:bookmarkEnd w:id="244"/>
      <w:bookmarkStart w:id="245" w:name="_Toc391650095"/>
      <w:bookmarkEnd w:id="245"/>
      <w:bookmarkStart w:id="246" w:name="_Toc391649502"/>
      <w:bookmarkEnd w:id="246"/>
      <w:bookmarkStart w:id="247" w:name="_Toc391649509"/>
      <w:bookmarkEnd w:id="247"/>
      <w:bookmarkStart w:id="248" w:name="_Toc391647336"/>
      <w:bookmarkEnd w:id="248"/>
      <w:bookmarkStart w:id="249" w:name="_Toc391647317"/>
      <w:bookmarkEnd w:id="249"/>
      <w:bookmarkStart w:id="250" w:name="_Toc391654299"/>
      <w:bookmarkEnd w:id="250"/>
      <w:bookmarkStart w:id="251" w:name="_Toc391650048"/>
      <w:bookmarkEnd w:id="251"/>
      <w:bookmarkStart w:id="252" w:name="_Toc391649501"/>
      <w:bookmarkEnd w:id="252"/>
      <w:bookmarkStart w:id="253" w:name="_Toc391649330"/>
      <w:bookmarkEnd w:id="253"/>
      <w:bookmarkStart w:id="254" w:name="_Toc391647314"/>
      <w:bookmarkEnd w:id="254"/>
      <w:bookmarkStart w:id="255" w:name="_Toc391647176"/>
      <w:bookmarkEnd w:id="255"/>
      <w:bookmarkStart w:id="256" w:name="_Toc391650111"/>
      <w:bookmarkEnd w:id="256"/>
      <w:bookmarkStart w:id="257" w:name="_Toc391647884"/>
      <w:bookmarkEnd w:id="257"/>
      <w:bookmarkStart w:id="258" w:name="_Toc391647168"/>
      <w:bookmarkEnd w:id="258"/>
      <w:bookmarkStart w:id="259" w:name="_Toc391647323"/>
      <w:bookmarkEnd w:id="259"/>
      <w:bookmarkStart w:id="260" w:name="_Toc391650118"/>
      <w:bookmarkEnd w:id="260"/>
      <w:bookmarkStart w:id="261" w:name="_Toc391650059"/>
      <w:bookmarkEnd w:id="261"/>
      <w:bookmarkStart w:id="262" w:name="_Toc391647885"/>
      <w:bookmarkEnd w:id="262"/>
      <w:bookmarkStart w:id="263" w:name="_Toc391650050"/>
      <w:bookmarkEnd w:id="263"/>
      <w:bookmarkStart w:id="264" w:name="_Toc391650100"/>
      <w:bookmarkEnd w:id="264"/>
      <w:bookmarkStart w:id="265" w:name="_Toc391649321"/>
      <w:bookmarkEnd w:id="265"/>
      <w:bookmarkStart w:id="266" w:name="_Toc391650062"/>
      <w:bookmarkEnd w:id="266"/>
      <w:bookmarkStart w:id="267" w:name="_Toc391715526"/>
      <w:bookmarkEnd w:id="267"/>
      <w:bookmarkStart w:id="268" w:name="_Toc391649747"/>
      <w:bookmarkEnd w:id="268"/>
      <w:bookmarkStart w:id="269" w:name="_Toc391649738"/>
      <w:bookmarkEnd w:id="269"/>
      <w:bookmarkStart w:id="270" w:name="_Toc391647881"/>
      <w:bookmarkEnd w:id="270"/>
      <w:bookmarkStart w:id="271" w:name="_Toc391647192"/>
      <w:bookmarkEnd w:id="271"/>
      <w:bookmarkStart w:id="272" w:name="_Toc391649273"/>
      <w:bookmarkEnd w:id="272"/>
      <w:bookmarkStart w:id="273" w:name="_Toc391650098"/>
      <w:bookmarkEnd w:id="273"/>
      <w:bookmarkStart w:id="274" w:name="_Toc391649499"/>
      <w:bookmarkEnd w:id="274"/>
      <w:bookmarkStart w:id="275" w:name="_Toc391647179"/>
      <w:bookmarkEnd w:id="275"/>
      <w:bookmarkStart w:id="276" w:name="_Toc391715517"/>
      <w:bookmarkEnd w:id="276"/>
      <w:bookmarkStart w:id="277" w:name="_Toc391649290"/>
      <w:bookmarkEnd w:id="277"/>
      <w:bookmarkStart w:id="278" w:name="_Toc391654304"/>
      <w:bookmarkEnd w:id="278"/>
      <w:bookmarkStart w:id="279" w:name="_Toc391715525"/>
      <w:bookmarkEnd w:id="279"/>
      <w:bookmarkStart w:id="280" w:name="_Toc391654301"/>
      <w:bookmarkEnd w:id="280"/>
      <w:bookmarkStart w:id="281" w:name="_Toc391715530"/>
      <w:bookmarkEnd w:id="281"/>
      <w:bookmarkStart w:id="282" w:name="_Toc391649274"/>
      <w:bookmarkEnd w:id="282"/>
      <w:bookmarkStart w:id="283" w:name="_Toc391647897"/>
      <w:bookmarkEnd w:id="283"/>
      <w:bookmarkStart w:id="284" w:name="_Toc391650102"/>
      <w:bookmarkEnd w:id="284"/>
      <w:bookmarkStart w:id="285" w:name="_Toc391649336"/>
      <w:bookmarkEnd w:id="285"/>
      <w:bookmarkStart w:id="286" w:name="_Toc391649323"/>
      <w:bookmarkEnd w:id="286"/>
      <w:bookmarkStart w:id="287" w:name="_Toc391715527"/>
      <w:bookmarkEnd w:id="287"/>
      <w:bookmarkStart w:id="288" w:name="_Toc391650115"/>
      <w:bookmarkEnd w:id="288"/>
      <w:bookmarkStart w:id="289" w:name="_Toc391654288"/>
      <w:bookmarkEnd w:id="289"/>
      <w:bookmarkStart w:id="290" w:name="_Toc391647899"/>
      <w:bookmarkEnd w:id="290"/>
      <w:bookmarkStart w:id="291" w:name="_Toc391647330"/>
      <w:bookmarkEnd w:id="291"/>
      <w:bookmarkStart w:id="292" w:name="_Toc391647180"/>
      <w:bookmarkEnd w:id="292"/>
      <w:bookmarkStart w:id="293" w:name="_Toc391649756"/>
      <w:bookmarkEnd w:id="293"/>
      <w:bookmarkStart w:id="294" w:name="_Toc391649748"/>
      <w:bookmarkEnd w:id="294"/>
      <w:bookmarkStart w:id="295" w:name="_Toc391650065"/>
      <w:bookmarkEnd w:id="295"/>
      <w:bookmarkStart w:id="296" w:name="_Toc391654308"/>
      <w:bookmarkEnd w:id="296"/>
      <w:bookmarkStart w:id="297" w:name="_Toc391647173"/>
      <w:bookmarkEnd w:id="297"/>
      <w:bookmarkStart w:id="298" w:name="_Toc391649739"/>
      <w:bookmarkEnd w:id="298"/>
      <w:bookmarkStart w:id="299" w:name="_Toc391647325"/>
      <w:bookmarkEnd w:id="299"/>
      <w:bookmarkStart w:id="300" w:name="_Toc391649275"/>
      <w:bookmarkEnd w:id="300"/>
      <w:bookmarkStart w:id="301" w:name="_Toc391649516"/>
      <w:bookmarkEnd w:id="301"/>
      <w:bookmarkStart w:id="302" w:name="_Toc391649325"/>
      <w:bookmarkEnd w:id="302"/>
      <w:bookmarkStart w:id="303" w:name="_Toc391715516"/>
      <w:bookmarkEnd w:id="303"/>
      <w:bookmarkStart w:id="304" w:name="_Toc391650051"/>
      <w:bookmarkEnd w:id="304"/>
      <w:bookmarkStart w:id="305" w:name="_Toc391649503"/>
      <w:bookmarkEnd w:id="305"/>
      <w:bookmarkStart w:id="306" w:name="_Toc391647324"/>
      <w:bookmarkEnd w:id="306"/>
      <w:bookmarkStart w:id="307" w:name="_Toc391647331"/>
      <w:bookmarkEnd w:id="307"/>
      <w:bookmarkStart w:id="308" w:name="_Toc391647171"/>
      <w:bookmarkEnd w:id="308"/>
      <w:bookmarkStart w:id="309" w:name="_Toc391650057"/>
      <w:bookmarkEnd w:id="309"/>
      <w:bookmarkStart w:id="310" w:name="_Toc391647186"/>
      <w:bookmarkEnd w:id="310"/>
      <w:bookmarkStart w:id="311" w:name="_Toc391649758"/>
      <w:bookmarkEnd w:id="311"/>
      <w:bookmarkStart w:id="312" w:name="_Toc391647898"/>
      <w:bookmarkEnd w:id="312"/>
      <w:bookmarkStart w:id="313" w:name="_Toc391647172"/>
      <w:bookmarkEnd w:id="313"/>
      <w:bookmarkStart w:id="314" w:name="_Toc391649289"/>
      <w:bookmarkEnd w:id="314"/>
      <w:bookmarkStart w:id="315" w:name="_Toc391649282"/>
      <w:bookmarkEnd w:id="315"/>
      <w:bookmarkStart w:id="316" w:name="_Toc391649335"/>
      <w:bookmarkEnd w:id="316"/>
      <w:bookmarkStart w:id="317" w:name="_Toc391647183"/>
      <w:bookmarkEnd w:id="317"/>
      <w:bookmarkStart w:id="318" w:name="_Toc391647334"/>
      <w:bookmarkEnd w:id="318"/>
      <w:bookmarkStart w:id="319" w:name="_Toc391649500"/>
      <w:bookmarkEnd w:id="319"/>
      <w:bookmarkStart w:id="320" w:name="_Toc391715519"/>
      <w:bookmarkEnd w:id="320"/>
      <w:bookmarkStart w:id="321" w:name="_Toc391649288"/>
      <w:bookmarkEnd w:id="321"/>
      <w:bookmarkStart w:id="322" w:name="_Toc391654295"/>
      <w:bookmarkEnd w:id="322"/>
      <w:bookmarkStart w:id="323" w:name="_Toc391650108"/>
      <w:bookmarkEnd w:id="323"/>
      <w:bookmarkStart w:id="324" w:name="_Toc391649342"/>
      <w:bookmarkEnd w:id="324"/>
      <w:bookmarkStart w:id="325" w:name="_Toc391649277"/>
      <w:bookmarkEnd w:id="325"/>
      <w:bookmarkStart w:id="326" w:name="_Toc391649338"/>
      <w:bookmarkEnd w:id="326"/>
      <w:bookmarkStart w:id="327" w:name="_Toc391715529"/>
      <w:bookmarkEnd w:id="327"/>
      <w:bookmarkStart w:id="328" w:name="_Toc391647316"/>
      <w:bookmarkEnd w:id="328"/>
      <w:bookmarkStart w:id="329" w:name="_Toc391647889"/>
      <w:bookmarkEnd w:id="329"/>
      <w:bookmarkStart w:id="330" w:name="_Toc391647890"/>
      <w:bookmarkEnd w:id="330"/>
      <w:bookmarkStart w:id="331" w:name="_Toc391649328"/>
      <w:bookmarkEnd w:id="331"/>
      <w:bookmarkStart w:id="332" w:name="_Toc391647895"/>
      <w:bookmarkEnd w:id="332"/>
      <w:bookmarkStart w:id="333" w:name="_Toc391649749"/>
      <w:bookmarkEnd w:id="333"/>
      <w:bookmarkStart w:id="334" w:name="_Toc391650071"/>
      <w:bookmarkEnd w:id="334"/>
      <w:bookmarkStart w:id="335" w:name="_Toc391654287"/>
      <w:bookmarkEnd w:id="335"/>
      <w:bookmarkStart w:id="336" w:name="_Toc391649280"/>
      <w:bookmarkEnd w:id="336"/>
      <w:bookmarkStart w:id="337" w:name="_Toc391649293"/>
      <w:bookmarkEnd w:id="337"/>
      <w:bookmarkStart w:id="338" w:name="_Toc391649754"/>
      <w:bookmarkEnd w:id="338"/>
      <w:bookmarkStart w:id="339" w:name="_Toc391647892"/>
      <w:bookmarkEnd w:id="339"/>
      <w:bookmarkStart w:id="340" w:name="_Toc391650090"/>
      <w:bookmarkEnd w:id="340"/>
      <w:bookmarkStart w:id="341" w:name="_Toc391650093"/>
      <w:bookmarkEnd w:id="341"/>
      <w:bookmarkStart w:id="342" w:name="_Toc391647166"/>
      <w:bookmarkEnd w:id="342"/>
      <w:bookmarkStart w:id="343" w:name="_Toc391654282"/>
      <w:bookmarkEnd w:id="343"/>
      <w:bookmarkStart w:id="344" w:name="_Toc391649507"/>
      <w:bookmarkEnd w:id="344"/>
      <w:bookmarkStart w:id="345" w:name="_Toc391647883"/>
      <w:bookmarkEnd w:id="345"/>
      <w:bookmarkStart w:id="346" w:name="_Toc391649283"/>
      <w:bookmarkEnd w:id="346"/>
      <w:bookmarkStart w:id="347" w:name="_Toc391649737"/>
      <w:bookmarkEnd w:id="347"/>
      <w:bookmarkStart w:id="348" w:name="_Toc391647164"/>
      <w:bookmarkEnd w:id="348"/>
      <w:bookmarkStart w:id="349" w:name="_Toc391649735"/>
      <w:bookmarkEnd w:id="349"/>
      <w:bookmarkStart w:id="350" w:name="_Toc391647878"/>
      <w:bookmarkEnd w:id="350"/>
      <w:bookmarkStart w:id="351" w:name="_Toc391649316"/>
      <w:bookmarkEnd w:id="351"/>
      <w:bookmarkStart w:id="352" w:name="_Toc391650099"/>
      <w:bookmarkEnd w:id="352"/>
      <w:bookmarkStart w:id="353" w:name="_Toc391715518"/>
      <w:bookmarkEnd w:id="353"/>
      <w:bookmarkStart w:id="354" w:name="_Toc391650058"/>
      <w:bookmarkEnd w:id="354"/>
      <w:bookmarkStart w:id="355" w:name="_Toc391649268"/>
      <w:bookmarkEnd w:id="355"/>
      <w:bookmarkStart w:id="356" w:name="_Toc391649505"/>
      <w:bookmarkEnd w:id="356"/>
      <w:bookmarkStart w:id="357" w:name="_Toc391715510"/>
      <w:bookmarkEnd w:id="357"/>
      <w:bookmarkStart w:id="358" w:name="_Toc391650046"/>
      <w:bookmarkEnd w:id="358"/>
      <w:bookmarkStart w:id="359" w:name="_Toc391649741"/>
      <w:bookmarkEnd w:id="359"/>
      <w:bookmarkStart w:id="360" w:name="_Toc391650043"/>
      <w:bookmarkEnd w:id="360"/>
      <w:bookmarkStart w:id="361" w:name="_Toc391650045"/>
      <w:bookmarkEnd w:id="361"/>
      <w:bookmarkStart w:id="362" w:name="_Toc391647308"/>
      <w:bookmarkEnd w:id="362"/>
      <w:bookmarkStart w:id="363" w:name="_Toc391649269"/>
      <w:bookmarkEnd w:id="363"/>
      <w:bookmarkStart w:id="364" w:name="_Toc391715512"/>
      <w:bookmarkEnd w:id="364"/>
      <w:bookmarkStart w:id="365" w:name="_Toc391650052"/>
      <w:bookmarkEnd w:id="365"/>
      <w:bookmarkStart w:id="366" w:name="_Toc391647162"/>
      <w:bookmarkEnd w:id="366"/>
      <w:bookmarkStart w:id="367" w:name="_Toc391647167"/>
      <w:bookmarkEnd w:id="367"/>
      <w:bookmarkStart w:id="368" w:name="_Toc391649270"/>
      <w:bookmarkEnd w:id="368"/>
      <w:bookmarkStart w:id="369" w:name="_Toc391647309"/>
      <w:bookmarkEnd w:id="369"/>
      <w:bookmarkStart w:id="370" w:name="_Toc391654279"/>
      <w:bookmarkEnd w:id="370"/>
      <w:bookmarkStart w:id="371" w:name="_Toc391650054"/>
      <w:bookmarkEnd w:id="371"/>
      <w:bookmarkStart w:id="372" w:name="_Toc391650094"/>
      <w:bookmarkEnd w:id="372"/>
      <w:bookmarkStart w:id="373" w:name="_Toc391650092"/>
      <w:bookmarkEnd w:id="373"/>
      <w:bookmarkStart w:id="374" w:name="_Toc391647310"/>
      <w:bookmarkEnd w:id="374"/>
      <w:bookmarkStart w:id="375" w:name="_Toc391649315"/>
      <w:bookmarkEnd w:id="375"/>
      <w:bookmarkStart w:id="376" w:name="_Toc391647165"/>
      <w:bookmarkEnd w:id="376"/>
      <w:bookmarkStart w:id="377" w:name="_Toc391715511"/>
      <w:bookmarkEnd w:id="377"/>
      <w:bookmarkStart w:id="378" w:name="_Toc391649317"/>
      <w:bookmarkEnd w:id="378"/>
      <w:bookmarkStart w:id="379" w:name="_Toc391649734"/>
      <w:bookmarkEnd w:id="379"/>
      <w:bookmarkStart w:id="380" w:name="_Toc391649732"/>
      <w:bookmarkEnd w:id="380"/>
      <w:bookmarkStart w:id="381" w:name="_Toc391654284"/>
      <w:bookmarkEnd w:id="381"/>
      <w:bookmarkStart w:id="382" w:name="_Toc391647311"/>
      <w:bookmarkEnd w:id="382"/>
      <w:bookmarkStart w:id="383" w:name="_Toc391647880"/>
      <w:bookmarkEnd w:id="383"/>
      <w:bookmarkStart w:id="384" w:name="_Toc391650089"/>
      <w:bookmarkEnd w:id="384"/>
      <w:bookmarkStart w:id="385" w:name="_Toc391647875"/>
      <w:bookmarkEnd w:id="385"/>
      <w:bookmarkStart w:id="386" w:name="_Toc391647163"/>
      <w:bookmarkEnd w:id="386"/>
      <w:bookmarkStart w:id="387" w:name="_Toc391649495"/>
      <w:bookmarkEnd w:id="387"/>
      <w:bookmarkStart w:id="388" w:name="_Toc391650047"/>
      <w:bookmarkEnd w:id="388"/>
      <w:bookmarkStart w:id="389" w:name="_Toc391647877"/>
      <w:bookmarkEnd w:id="389"/>
      <w:bookmarkStart w:id="390" w:name="_Toc391649496"/>
      <w:bookmarkEnd w:id="390"/>
      <w:bookmarkStart w:id="391" w:name="_Toc391650042"/>
      <w:bookmarkEnd w:id="391"/>
      <w:bookmarkStart w:id="392" w:name="_Toc494551121"/>
      <w:bookmarkStart w:id="393" w:name="_Toc384340975"/>
      <w:bookmarkStart w:id="394" w:name="_Toc500256296"/>
      <w:bookmarkStart w:id="395" w:name="_Toc470168810"/>
      <w:bookmarkStart w:id="396" w:name="_Toc146182538"/>
      <w:bookmarkStart w:id="397" w:name="_Toc457986926"/>
      <w:bookmarkStart w:id="398" w:name="_Toc457979127"/>
      <w:bookmarkStart w:id="399" w:name="_Toc448828694"/>
      <w:bookmarkStart w:id="400" w:name="_Toc241912000"/>
      <w:bookmarkStart w:id="401" w:name="_Toc455373921"/>
      <w:bookmarkStart w:id="402" w:name="_Toc482581219"/>
      <w:bookmarkStart w:id="403" w:name="_Toc114253693"/>
      <w:bookmarkStart w:id="404" w:name="_Toc455543289"/>
      <w:bookmarkStart w:id="405" w:name="_Toc155114612"/>
      <w:bookmarkStart w:id="406" w:name="_Toc459534976"/>
      <w:r>
        <w:rPr>
          <w:rFonts w:hint="eastAsia" w:ascii="宋体" w:hAnsi="宋体" w:eastAsia="宋体"/>
          <w:b/>
          <w:sz w:val="21"/>
          <w:szCs w:val="21"/>
        </w:rPr>
        <w:t>一 总则</w:t>
      </w:r>
      <w:bookmarkEnd w:id="392"/>
      <w:bookmarkEnd w:id="393"/>
    </w:p>
    <w:p>
      <w:pPr>
        <w:adjustRightInd w:val="0"/>
        <w:snapToGrid w:val="0"/>
        <w:spacing w:line="360" w:lineRule="auto"/>
        <w:rPr>
          <w:rFonts w:ascii="宋体" w:hAnsi="宋体"/>
          <w:spacing w:val="-4"/>
          <w:szCs w:val="21"/>
        </w:rPr>
      </w:pPr>
      <w:r>
        <w:rPr>
          <w:rFonts w:ascii="宋体" w:hAnsi="宋体"/>
          <w:spacing w:val="-4"/>
          <w:szCs w:val="21"/>
        </w:rPr>
        <w:t xml:space="preserve">1.1  </w:t>
      </w:r>
      <w:r>
        <w:rPr>
          <w:rFonts w:hint="eastAsia" w:ascii="宋体" w:hAnsi="宋体"/>
          <w:spacing w:val="-4"/>
          <w:szCs w:val="21"/>
        </w:rPr>
        <w:t>本技术规范书适用于南方电网公司建设工程项目采购的交流电流互感器，它提出了该设备本体及附属设备的功能设计、结构、性能、安装和试验等方面的技术要求。</w:t>
      </w:r>
    </w:p>
    <w:p>
      <w:pPr>
        <w:pStyle w:val="42"/>
        <w:adjustRightInd w:val="0"/>
        <w:snapToGrid w:val="0"/>
        <w:spacing w:line="360" w:lineRule="auto"/>
        <w:rPr>
          <w:rFonts w:hAnsi="宋体"/>
          <w:szCs w:val="24"/>
        </w:rPr>
      </w:pPr>
      <w:r>
        <w:rPr>
          <w:rFonts w:hAnsi="宋体"/>
          <w:spacing w:val="-4"/>
        </w:rPr>
        <w:t>1.2</w:t>
      </w:r>
      <w:r>
        <w:rPr>
          <w:rFonts w:hint="eastAsia" w:hAnsi="宋体"/>
          <w:szCs w:val="24"/>
        </w:rPr>
        <w:t>本设备技术规范书</w:t>
      </w:r>
      <w:r>
        <w:rPr>
          <w:rFonts w:hAnsi="宋体"/>
          <w:szCs w:val="24"/>
        </w:rPr>
        <w:t>提出的是最低限度的技术要求。凡本技术规范书中未规定，但在相关设备的行业标准、国家标准或IEC标准中有规定的规范条文，投标方应按相应标准的条文进行设备设计、制造、试验和安装。对国家有关安全、环保等强制性标准，必须满足其要求（如压力容器、高电压设备等）。</w:t>
      </w:r>
    </w:p>
    <w:p>
      <w:pPr>
        <w:adjustRightInd w:val="0"/>
        <w:snapToGrid w:val="0"/>
        <w:spacing w:line="360" w:lineRule="auto"/>
        <w:rPr>
          <w:rFonts w:ascii="宋体" w:hAnsi="宋体"/>
        </w:rPr>
      </w:pPr>
      <w:r>
        <w:rPr>
          <w:rFonts w:ascii="宋体" w:hAnsi="宋体"/>
          <w:spacing w:val="-4"/>
          <w:szCs w:val="21"/>
        </w:rPr>
        <w:t>1.3</w:t>
      </w:r>
      <w:r>
        <w:rPr>
          <w:rFonts w:hint="eastAsia" w:ascii="宋体" w:hAnsi="宋体"/>
        </w:rPr>
        <w:t>如果投标方没有以书面形式对本技术规范书的条文提出异议，则意味着投标方提供的设备完全符合本技术规范书的要求。如有异议，不管是多么微小，都应在报价书中以“对技术规范书的意见和同技术规范书的差异”为标题的专门章节中加以详细描述。</w:t>
      </w:r>
    </w:p>
    <w:p>
      <w:pPr>
        <w:adjustRightInd w:val="0"/>
        <w:snapToGrid w:val="0"/>
        <w:spacing w:line="360" w:lineRule="auto"/>
        <w:rPr>
          <w:rFonts w:ascii="宋体" w:hAnsi="宋体"/>
          <w:spacing w:val="-2"/>
          <w:szCs w:val="21"/>
        </w:rPr>
      </w:pPr>
      <w:r>
        <w:rPr>
          <w:rFonts w:ascii="宋体" w:hAnsi="宋体"/>
          <w:spacing w:val="-4"/>
          <w:szCs w:val="21"/>
        </w:rPr>
        <w:t>1.4</w:t>
      </w:r>
      <w:r>
        <w:rPr>
          <w:rFonts w:hint="eastAsia" w:ascii="宋体" w:hAnsi="宋体"/>
          <w:spacing w:val="-2"/>
          <w:szCs w:val="21"/>
        </w:rPr>
        <w:t>本技术规范书所使用的标准如遇与投标方所执行的标准不一致时，按较高标准执行。</w:t>
      </w:r>
    </w:p>
    <w:p>
      <w:pPr>
        <w:adjustRightInd w:val="0"/>
        <w:snapToGrid w:val="0"/>
        <w:spacing w:line="360" w:lineRule="auto"/>
        <w:rPr>
          <w:rFonts w:ascii="宋体" w:hAnsi="宋体"/>
        </w:rPr>
      </w:pPr>
      <w:r>
        <w:rPr>
          <w:rFonts w:ascii="宋体" w:hAnsi="宋体"/>
          <w:spacing w:val="-4"/>
          <w:szCs w:val="21"/>
        </w:rPr>
        <w:t>1.5</w:t>
      </w:r>
      <w:r>
        <w:rPr>
          <w:rFonts w:hint="eastAsia" w:ascii="宋体" w:hAnsi="宋体"/>
        </w:rPr>
        <w:t>本技术规范书经买、卖双方确认后作为订货合同的技术附件，与合同正文具有同等的法律效力。</w:t>
      </w:r>
    </w:p>
    <w:p>
      <w:pPr>
        <w:pStyle w:val="42"/>
        <w:adjustRightInd w:val="0"/>
        <w:snapToGrid w:val="0"/>
        <w:spacing w:line="360" w:lineRule="auto"/>
        <w:rPr>
          <w:rFonts w:hAnsi="宋体"/>
          <w:spacing w:val="-4"/>
        </w:rPr>
      </w:pPr>
      <w:r>
        <w:rPr>
          <w:rFonts w:hint="eastAsia" w:hAnsi="宋体"/>
          <w:spacing w:val="-4"/>
        </w:rPr>
        <w:t xml:space="preserve">1.6  </w:t>
      </w:r>
      <w:r>
        <w:rPr>
          <w:rFonts w:hint="eastAsia" w:hAnsi="宋体"/>
          <w:spacing w:val="-6"/>
        </w:rPr>
        <w:t>投标方在应标技术规范书中应如实反映应标产品与本技术规范书的技术差异。如果投标方没有提出技术差异，而在执行合同的过程中，招标方发现投标方提供的产品与其应标技术规范书的条文存在差异，招标方有权利要求退货，并将对下一年度的评标工作有不同程度的影响。</w:t>
      </w:r>
    </w:p>
    <w:p>
      <w:pPr>
        <w:pStyle w:val="42"/>
        <w:adjustRightInd w:val="0"/>
        <w:snapToGrid w:val="0"/>
        <w:spacing w:line="360" w:lineRule="auto"/>
        <w:rPr>
          <w:rFonts w:hAnsi="宋体"/>
          <w:szCs w:val="24"/>
        </w:rPr>
      </w:pPr>
      <w:r>
        <w:rPr>
          <w:rFonts w:hint="eastAsia" w:hAnsi="宋体"/>
          <w:spacing w:val="-4"/>
        </w:rPr>
        <w:t xml:space="preserve">1.7 </w:t>
      </w:r>
      <w:r>
        <w:rPr>
          <w:rFonts w:hint="eastAsia" w:hAnsi="宋体"/>
          <w:szCs w:val="24"/>
        </w:rPr>
        <w:t xml:space="preserve"> 投标方应在应标技术部分按本技术规范书的要求如实详细的填写应标设备的标准配置表，并在应标商务部分按此标准配置进行报价，如发现二者有矛盾之处，将对评标工作有不同程度的影响。</w:t>
      </w:r>
    </w:p>
    <w:p>
      <w:pPr>
        <w:adjustRightInd w:val="0"/>
        <w:snapToGrid w:val="0"/>
        <w:spacing w:line="360" w:lineRule="auto"/>
        <w:rPr>
          <w:rFonts w:ascii="宋体" w:hAnsi="宋体"/>
        </w:rPr>
      </w:pPr>
      <w:r>
        <w:rPr>
          <w:rFonts w:hint="eastAsia" w:ascii="宋体" w:hAnsi="宋体"/>
          <w:spacing w:val="-4"/>
          <w:szCs w:val="21"/>
        </w:rPr>
        <w:t>1.8</w:t>
      </w:r>
      <w:r>
        <w:rPr>
          <w:rFonts w:hint="eastAsia" w:ascii="宋体" w:hAnsi="宋体"/>
        </w:rPr>
        <w:t xml:space="preserve">  投标方应充分理解本技术规范书并按本技术规范书的具体条款、格式要求填写应标的技术文件，如发现应标的技术文件条款、格式不符合本技术规范书的要求，则认为应标不严肃，在评标时将有不同程度的扣分。</w:t>
      </w:r>
    </w:p>
    <w:p>
      <w:pPr>
        <w:pStyle w:val="2"/>
        <w:numPr>
          <w:ilvl w:val="0"/>
          <w:numId w:val="0"/>
        </w:numPr>
        <w:rPr>
          <w:rFonts w:ascii="宋体" w:hAnsi="宋体" w:eastAsia="宋体"/>
          <w:b/>
          <w:sz w:val="21"/>
          <w:szCs w:val="21"/>
        </w:rPr>
      </w:pPr>
      <w:bookmarkStart w:id="407" w:name="_Toc279695347"/>
      <w:bookmarkStart w:id="408" w:name="_Toc494551122"/>
      <w:bookmarkStart w:id="409" w:name="_Toc276492358"/>
      <w:bookmarkStart w:id="410" w:name="_Toc276490890"/>
      <w:bookmarkStart w:id="411" w:name="_Toc271281204"/>
      <w:bookmarkStart w:id="412" w:name="_Toc384340976"/>
      <w:bookmarkStart w:id="413" w:name="_Toc112756677"/>
      <w:bookmarkStart w:id="414" w:name="_Toc246216316"/>
      <w:bookmarkStart w:id="415" w:name="_Toc241911995"/>
      <w:bookmarkStart w:id="416" w:name="_Toc155114607"/>
      <w:r>
        <w:rPr>
          <w:rFonts w:hint="eastAsia" w:ascii="宋体" w:hAnsi="宋体" w:eastAsia="宋体"/>
          <w:b/>
          <w:sz w:val="21"/>
          <w:szCs w:val="21"/>
        </w:rPr>
        <w:t>二 工作范围</w:t>
      </w:r>
      <w:bookmarkEnd w:id="407"/>
      <w:bookmarkEnd w:id="408"/>
      <w:bookmarkEnd w:id="409"/>
      <w:bookmarkEnd w:id="410"/>
      <w:bookmarkEnd w:id="411"/>
      <w:bookmarkEnd w:id="412"/>
      <w:bookmarkEnd w:id="413"/>
      <w:bookmarkEnd w:id="414"/>
    </w:p>
    <w:p>
      <w:pPr>
        <w:pStyle w:val="3"/>
        <w:numPr>
          <w:ilvl w:val="0"/>
          <w:numId w:val="0"/>
        </w:numPr>
        <w:adjustRightInd w:val="0"/>
        <w:snapToGrid w:val="0"/>
        <w:spacing w:line="360" w:lineRule="auto"/>
        <w:rPr>
          <w:rFonts w:ascii="宋体" w:hAnsi="宋体" w:eastAsia="宋体"/>
        </w:rPr>
      </w:pPr>
      <w:bookmarkStart w:id="417" w:name="_Toc494551123"/>
      <w:bookmarkStart w:id="418" w:name="_Toc384340977"/>
      <w:r>
        <w:rPr>
          <w:rFonts w:hint="eastAsia" w:ascii="宋体" w:hAnsi="宋体" w:eastAsia="宋体"/>
        </w:rPr>
        <w:t>2</w:t>
      </w:r>
      <w:r>
        <w:rPr>
          <w:rFonts w:ascii="宋体" w:hAnsi="宋体" w:eastAsia="宋体"/>
        </w:rPr>
        <w:t>.1</w:t>
      </w:r>
      <w:r>
        <w:rPr>
          <w:rFonts w:hint="eastAsia" w:ascii="宋体" w:hAnsi="宋体" w:eastAsia="宋体"/>
        </w:rPr>
        <w:t xml:space="preserve"> 工程概况</w:t>
      </w:r>
      <w:bookmarkEnd w:id="417"/>
      <w:bookmarkEnd w:id="418"/>
    </w:p>
    <w:p>
      <w:pPr>
        <w:pStyle w:val="145"/>
        <w:spacing w:line="360" w:lineRule="auto"/>
        <w:rPr>
          <w:rFonts w:ascii="宋体" w:hAnsi="宋体" w:eastAsia="宋体"/>
        </w:rPr>
      </w:pPr>
      <w:r>
        <w:rPr>
          <w:rFonts w:hint="eastAsia" w:ascii="宋体" w:hAnsi="宋体" w:eastAsia="宋体"/>
        </w:rPr>
        <w:t>本技术规范书采购的设备适用的工程概</w:t>
      </w:r>
      <w:r>
        <w:rPr>
          <w:rFonts w:ascii="宋体" w:hAnsi="宋体" w:eastAsia="宋体"/>
        </w:rPr>
        <w:t>况</w:t>
      </w:r>
      <w:r>
        <w:rPr>
          <w:rFonts w:hint="eastAsia" w:ascii="宋体" w:hAnsi="宋体" w:eastAsia="宋体"/>
        </w:rPr>
        <w:t>详见专用部分。</w:t>
      </w:r>
    </w:p>
    <w:p>
      <w:pPr>
        <w:pStyle w:val="3"/>
        <w:numPr>
          <w:ilvl w:val="0"/>
          <w:numId w:val="0"/>
        </w:numPr>
        <w:adjustRightInd w:val="0"/>
        <w:snapToGrid w:val="0"/>
        <w:spacing w:before="156" w:beforeLines="50" w:line="360" w:lineRule="auto"/>
        <w:rPr>
          <w:rFonts w:ascii="宋体" w:hAnsi="宋体" w:eastAsia="宋体"/>
        </w:rPr>
      </w:pPr>
      <w:bookmarkStart w:id="419" w:name="_Toc494551124"/>
      <w:bookmarkStart w:id="420" w:name="_Toc384340978"/>
      <w:r>
        <w:rPr>
          <w:rFonts w:ascii="宋体" w:hAnsi="宋体" w:eastAsia="宋体"/>
        </w:rPr>
        <w:t>2.</w:t>
      </w:r>
      <w:r>
        <w:rPr>
          <w:rFonts w:hint="eastAsia" w:ascii="宋体" w:hAnsi="宋体" w:eastAsia="宋体"/>
        </w:rPr>
        <w:t>2</w:t>
      </w:r>
      <w:r>
        <w:rPr>
          <w:rFonts w:ascii="宋体" w:hAnsi="宋体" w:eastAsia="宋体"/>
        </w:rPr>
        <w:t xml:space="preserve"> 范围和界限</w:t>
      </w:r>
      <w:bookmarkEnd w:id="419"/>
      <w:bookmarkEnd w:id="420"/>
    </w:p>
    <w:p>
      <w:pPr>
        <w:adjustRightInd w:val="0"/>
        <w:snapToGrid w:val="0"/>
        <w:spacing w:line="360" w:lineRule="auto"/>
        <w:ind w:firstLine="420" w:firstLineChars="200"/>
        <w:rPr>
          <w:rFonts w:ascii="宋体" w:hAnsi="宋体"/>
        </w:rPr>
      </w:pPr>
      <w:r>
        <w:rPr>
          <w:rFonts w:ascii="宋体" w:hAnsi="宋体"/>
        </w:rPr>
        <w:t>1）本规范书适应于</w:t>
      </w:r>
      <w:r>
        <w:rPr>
          <w:rFonts w:hint="eastAsia" w:ascii="宋体" w:hAnsi="宋体"/>
        </w:rPr>
        <w:t>南方电网公司</w:t>
      </w:r>
      <w:r>
        <w:rPr>
          <w:rFonts w:ascii="宋体" w:hAnsi="宋体"/>
        </w:rPr>
        <w:t>所属变电站（发电厂）新建、扩建及改造工程，</w:t>
      </w:r>
      <w:r>
        <w:rPr>
          <w:rFonts w:hint="eastAsia" w:ascii="宋体" w:hAnsi="宋体"/>
        </w:rPr>
        <w:t>安装在户内或户外并运行在频率50Hz、35kV电压等级的电流互感器及其附属设备的</w:t>
      </w:r>
      <w:r>
        <w:rPr>
          <w:rFonts w:ascii="宋体" w:hAnsi="宋体"/>
        </w:rPr>
        <w:t>设计</w:t>
      </w:r>
      <w:r>
        <w:rPr>
          <w:rFonts w:hint="eastAsia" w:ascii="宋体" w:hAnsi="宋体"/>
        </w:rPr>
        <w:t>，</w:t>
      </w:r>
      <w:r>
        <w:rPr>
          <w:rFonts w:ascii="宋体" w:hAnsi="宋体"/>
        </w:rPr>
        <w:t>制造</w:t>
      </w:r>
      <w:r>
        <w:rPr>
          <w:rFonts w:hint="eastAsia" w:ascii="宋体" w:hAnsi="宋体"/>
        </w:rPr>
        <w:t>，</w:t>
      </w:r>
      <w:r>
        <w:rPr>
          <w:rFonts w:ascii="宋体" w:hAnsi="宋体"/>
        </w:rPr>
        <w:t>装配</w:t>
      </w:r>
      <w:r>
        <w:rPr>
          <w:rFonts w:hint="eastAsia" w:ascii="宋体" w:hAnsi="宋体"/>
        </w:rPr>
        <w:t>，</w:t>
      </w:r>
      <w:r>
        <w:rPr>
          <w:rFonts w:ascii="宋体" w:hAnsi="宋体"/>
        </w:rPr>
        <w:t>工厂试验</w:t>
      </w:r>
      <w:r>
        <w:rPr>
          <w:rFonts w:hint="eastAsia" w:ascii="宋体" w:hAnsi="宋体"/>
        </w:rPr>
        <w:t>，</w:t>
      </w:r>
      <w:r>
        <w:rPr>
          <w:rFonts w:ascii="宋体" w:hAnsi="宋体"/>
        </w:rPr>
        <w:t>交付</w:t>
      </w:r>
      <w:r>
        <w:rPr>
          <w:rFonts w:hint="eastAsia" w:ascii="宋体" w:hAnsi="宋体"/>
        </w:rPr>
        <w:t>，</w:t>
      </w:r>
      <w:r>
        <w:rPr>
          <w:rFonts w:ascii="宋体" w:hAnsi="宋体"/>
        </w:rPr>
        <w:t>现场安装和试验的指导、监督以及试运行工作。</w:t>
      </w:r>
    </w:p>
    <w:p>
      <w:pPr>
        <w:adjustRightInd w:val="0"/>
        <w:snapToGrid w:val="0"/>
        <w:spacing w:line="360" w:lineRule="auto"/>
        <w:ind w:firstLine="420" w:firstLineChars="200"/>
        <w:rPr>
          <w:rFonts w:ascii="宋体" w:hAnsi="宋体"/>
        </w:rPr>
      </w:pPr>
      <w:r>
        <w:rPr>
          <w:rFonts w:ascii="宋体" w:hAnsi="宋体"/>
        </w:rPr>
        <w:t>2）运输</w:t>
      </w:r>
    </w:p>
    <w:p>
      <w:pPr>
        <w:adjustRightInd w:val="0"/>
        <w:snapToGrid w:val="0"/>
        <w:spacing w:line="360" w:lineRule="auto"/>
        <w:ind w:firstLine="420" w:firstLineChars="200"/>
        <w:rPr>
          <w:rFonts w:ascii="宋体" w:hAnsi="宋体"/>
        </w:rPr>
      </w:pPr>
      <w:r>
        <w:rPr>
          <w:rFonts w:hint="eastAsia" w:ascii="宋体" w:hAnsi="宋体"/>
        </w:rPr>
        <w:t>运输条件详见专用部分。</w:t>
      </w:r>
    </w:p>
    <w:p>
      <w:pPr>
        <w:adjustRightInd w:val="0"/>
        <w:snapToGrid w:val="0"/>
        <w:spacing w:line="360" w:lineRule="auto"/>
        <w:ind w:firstLine="420" w:firstLineChars="200"/>
        <w:rPr>
          <w:rFonts w:ascii="宋体" w:hAnsi="宋体"/>
        </w:rPr>
      </w:pPr>
      <w:r>
        <w:rPr>
          <w:rFonts w:ascii="宋体" w:hAnsi="宋体"/>
        </w:rPr>
        <w:t>3）现场安装和试验在投标方的技术指导和监督下由招标方完成。</w:t>
      </w:r>
    </w:p>
    <w:p>
      <w:pPr>
        <w:adjustRightInd w:val="0"/>
        <w:snapToGrid w:val="0"/>
        <w:spacing w:line="360" w:lineRule="auto"/>
        <w:ind w:firstLine="420" w:firstLineChars="200"/>
        <w:rPr>
          <w:rFonts w:ascii="宋体" w:hAnsi="宋体"/>
        </w:rPr>
      </w:pPr>
      <w:r>
        <w:rPr>
          <w:rFonts w:hint="eastAsia" w:ascii="宋体" w:hAnsi="宋体"/>
        </w:rPr>
        <w:t>4）</w:t>
      </w:r>
      <w:r>
        <w:rPr>
          <w:rFonts w:ascii="宋体" w:hAnsi="宋体"/>
        </w:rPr>
        <w:t>本规范书未说明</w:t>
      </w:r>
      <w:r>
        <w:rPr>
          <w:rFonts w:hint="eastAsia" w:ascii="宋体" w:hAnsi="宋体"/>
        </w:rPr>
        <w:t>，</w:t>
      </w:r>
      <w:r>
        <w:rPr>
          <w:rFonts w:ascii="宋体" w:hAnsi="宋体"/>
        </w:rPr>
        <w:t>但又与设计、制造、装配、试验、运输、包装、保管、安装和运行维护有关的技术要求</w:t>
      </w:r>
      <w:r>
        <w:rPr>
          <w:rFonts w:hint="eastAsia" w:ascii="宋体" w:hAnsi="宋体"/>
        </w:rPr>
        <w:t>，</w:t>
      </w:r>
      <w:r>
        <w:rPr>
          <w:rFonts w:ascii="宋体" w:hAnsi="宋体"/>
        </w:rPr>
        <w:t>按条款3所规定的有关标准执行。</w:t>
      </w:r>
    </w:p>
    <w:p>
      <w:pPr>
        <w:pStyle w:val="3"/>
        <w:numPr>
          <w:ilvl w:val="0"/>
          <w:numId w:val="0"/>
        </w:numPr>
        <w:adjustRightInd w:val="0"/>
        <w:snapToGrid w:val="0"/>
        <w:spacing w:line="360" w:lineRule="auto"/>
        <w:rPr>
          <w:rFonts w:ascii="宋体" w:hAnsi="宋体" w:eastAsia="宋体"/>
        </w:rPr>
      </w:pPr>
      <w:bookmarkStart w:id="421" w:name="_Toc494551125"/>
      <w:bookmarkStart w:id="422" w:name="_Toc384340979"/>
      <w:r>
        <w:rPr>
          <w:rFonts w:ascii="宋体" w:hAnsi="宋体" w:eastAsia="宋体"/>
        </w:rPr>
        <w:t>2.</w:t>
      </w:r>
      <w:r>
        <w:rPr>
          <w:rFonts w:hint="eastAsia" w:ascii="宋体" w:hAnsi="宋体" w:eastAsia="宋体"/>
        </w:rPr>
        <w:t>3</w:t>
      </w:r>
      <w:r>
        <w:rPr>
          <w:rFonts w:ascii="宋体" w:hAnsi="宋体" w:eastAsia="宋体"/>
        </w:rPr>
        <w:t xml:space="preserve"> 服务范围</w:t>
      </w:r>
      <w:bookmarkEnd w:id="421"/>
      <w:bookmarkEnd w:id="422"/>
    </w:p>
    <w:p>
      <w:pPr>
        <w:adjustRightInd w:val="0"/>
        <w:snapToGrid w:val="0"/>
        <w:spacing w:line="360" w:lineRule="auto"/>
        <w:ind w:firstLine="420" w:firstLineChars="200"/>
        <w:rPr>
          <w:rFonts w:ascii="宋体" w:hAnsi="宋体"/>
        </w:rPr>
      </w:pPr>
      <w:r>
        <w:rPr>
          <w:rFonts w:ascii="宋体" w:hAnsi="宋体"/>
        </w:rPr>
        <w:t>1）投标方应按本规范书的要求提供台全新的、合格的35kV</w:t>
      </w:r>
      <w:r>
        <w:rPr>
          <w:rFonts w:hint="eastAsia" w:ascii="宋体" w:hAnsi="宋体"/>
        </w:rPr>
        <w:t>电压等级的电流互感器</w:t>
      </w:r>
      <w:r>
        <w:rPr>
          <w:rFonts w:ascii="宋体" w:hAnsi="宋体"/>
        </w:rPr>
        <w:t>及其附属设备、备品备件、专用工具和仪器。</w:t>
      </w:r>
    </w:p>
    <w:p>
      <w:pPr>
        <w:adjustRightInd w:val="0"/>
        <w:snapToGrid w:val="0"/>
        <w:spacing w:line="360" w:lineRule="auto"/>
        <w:ind w:firstLine="420" w:firstLineChars="200"/>
        <w:rPr>
          <w:rFonts w:ascii="宋体" w:hAnsi="宋体"/>
        </w:rPr>
      </w:pPr>
      <w:r>
        <w:rPr>
          <w:rFonts w:ascii="宋体" w:hAnsi="宋体"/>
        </w:rPr>
        <w:t>投标方所提供的组件或附件如需向第三方外购时</w:t>
      </w:r>
      <w:r>
        <w:rPr>
          <w:rFonts w:hint="eastAsia" w:ascii="宋体" w:hAnsi="宋体"/>
        </w:rPr>
        <w:t>，投标方</w:t>
      </w:r>
      <w:r>
        <w:rPr>
          <w:rFonts w:ascii="宋体" w:hAnsi="宋体"/>
        </w:rPr>
        <w:t>应对质量向招标方负责</w:t>
      </w:r>
      <w:r>
        <w:rPr>
          <w:rFonts w:hint="eastAsia" w:ascii="宋体" w:hAnsi="宋体"/>
        </w:rPr>
        <w:t>，</w:t>
      </w:r>
      <w:r>
        <w:rPr>
          <w:rFonts w:ascii="宋体" w:hAnsi="宋体"/>
        </w:rPr>
        <w:t>并提供相应出厂和验收证明。</w:t>
      </w:r>
    </w:p>
    <w:p>
      <w:pPr>
        <w:adjustRightInd w:val="0"/>
        <w:snapToGrid w:val="0"/>
        <w:spacing w:line="360" w:lineRule="auto"/>
        <w:ind w:firstLine="420" w:firstLineChars="200"/>
        <w:rPr>
          <w:rFonts w:ascii="宋体" w:hAnsi="宋体"/>
        </w:rPr>
      </w:pPr>
      <w:r>
        <w:rPr>
          <w:rFonts w:hint="eastAsia" w:ascii="宋体" w:hAnsi="宋体"/>
        </w:rPr>
        <w:t>2）供货范围</w:t>
      </w:r>
      <w:bookmarkStart w:id="423" w:name="_Toc282433715"/>
      <w:bookmarkStart w:id="424" w:name="_Toc283142589"/>
      <w:bookmarkStart w:id="425" w:name="_Toc283011667"/>
      <w:r>
        <w:rPr>
          <w:rFonts w:hint="eastAsia" w:ascii="宋体" w:hAnsi="宋体"/>
        </w:rPr>
        <w:t>一览表</w:t>
      </w:r>
      <w:bookmarkEnd w:id="423"/>
      <w:bookmarkEnd w:id="424"/>
      <w:bookmarkEnd w:id="425"/>
    </w:p>
    <w:p>
      <w:pPr>
        <w:pStyle w:val="145"/>
        <w:adjustRightInd w:val="0"/>
        <w:snapToGrid w:val="0"/>
        <w:spacing w:before="120" w:line="360" w:lineRule="auto"/>
        <w:rPr>
          <w:rFonts w:ascii="宋体" w:hAnsi="宋体" w:eastAsia="宋体"/>
          <w:color w:val="000000"/>
        </w:rPr>
      </w:pPr>
      <w:r>
        <w:rPr>
          <w:rFonts w:ascii="宋体" w:hAnsi="宋体" w:eastAsia="宋体"/>
          <w:color w:val="000000"/>
        </w:rPr>
        <w:t>供货范围包括</w:t>
      </w:r>
      <w:r>
        <w:rPr>
          <w:rFonts w:hint="eastAsia" w:ascii="宋体" w:hAnsi="宋体" w:eastAsia="宋体"/>
          <w:color w:val="000000"/>
        </w:rPr>
        <w:t>：</w:t>
      </w:r>
    </w:p>
    <w:p>
      <w:pPr>
        <w:adjustRightInd w:val="0"/>
        <w:snapToGrid w:val="0"/>
        <w:spacing w:line="360" w:lineRule="auto"/>
        <w:ind w:firstLine="420" w:firstLineChars="200"/>
        <w:rPr>
          <w:rFonts w:ascii="宋体" w:hAnsi="宋体"/>
          <w:color w:val="000000"/>
        </w:rPr>
      </w:pPr>
      <w:r>
        <w:rPr>
          <w:rFonts w:ascii="宋体" w:hAnsi="宋体"/>
          <w:color w:val="000000"/>
        </w:rPr>
        <w:t>a.</w:t>
      </w:r>
      <w:r>
        <w:rPr>
          <w:rFonts w:hint="eastAsia" w:ascii="宋体" w:hAnsi="宋体"/>
          <w:color w:val="000000"/>
        </w:rPr>
        <w:t>电流互感器本体</w:t>
      </w:r>
    </w:p>
    <w:p>
      <w:pPr>
        <w:adjustRightInd w:val="0"/>
        <w:snapToGrid w:val="0"/>
        <w:spacing w:line="360" w:lineRule="auto"/>
        <w:ind w:firstLine="420" w:firstLineChars="200"/>
        <w:rPr>
          <w:rFonts w:ascii="宋体" w:hAnsi="宋体"/>
          <w:color w:val="000000"/>
        </w:rPr>
      </w:pPr>
      <w:r>
        <w:rPr>
          <w:rFonts w:ascii="宋体" w:hAnsi="宋体"/>
          <w:color w:val="000000"/>
        </w:rPr>
        <w:t>b.</w:t>
      </w:r>
      <w:r>
        <w:rPr>
          <w:rFonts w:hint="eastAsia" w:ascii="宋体" w:hAnsi="宋体"/>
          <w:color w:val="000000"/>
        </w:rPr>
        <w:t>备品备件及专用工具等详见专用条款</w:t>
      </w:r>
    </w:p>
    <w:p>
      <w:pPr>
        <w:adjustRightInd w:val="0"/>
        <w:snapToGrid w:val="0"/>
        <w:spacing w:line="360" w:lineRule="auto"/>
        <w:ind w:firstLine="420" w:firstLineChars="200"/>
        <w:rPr>
          <w:rFonts w:ascii="宋体" w:hAnsi="宋体"/>
        </w:rPr>
      </w:pPr>
      <w:r>
        <w:rPr>
          <w:rFonts w:hint="eastAsia" w:ascii="宋体" w:hAnsi="宋体"/>
        </w:rPr>
        <w:t>3）工厂试验由投标方在生产厂家内完成，但应有招标方代表参加，参加工厂验收的人数及天数等规定详见规范书商务部分。</w:t>
      </w:r>
    </w:p>
    <w:p>
      <w:pPr>
        <w:adjustRightInd w:val="0"/>
        <w:snapToGrid w:val="0"/>
        <w:spacing w:line="360" w:lineRule="auto"/>
        <w:ind w:firstLine="420" w:firstLineChars="200"/>
        <w:rPr>
          <w:rFonts w:ascii="宋体" w:hAnsi="宋体"/>
        </w:rPr>
      </w:pPr>
      <w:r>
        <w:rPr>
          <w:rFonts w:hint="eastAsia" w:ascii="宋体" w:hAnsi="宋体"/>
        </w:rPr>
        <w:t>4）现场安装和试验在投标方的技术指导下由招标方完成，投标方协助招标方按标准检查安装质量，处理调试投运过程中出现的问题，并提供备品、备件，做好销售服务工作。投标方应选派有经验的技术人员，对安装和运行人员免费培训。安装督导的工作范围及人数和天数等规定详见规范书商务部分。</w:t>
      </w:r>
    </w:p>
    <w:p>
      <w:pPr>
        <w:adjustRightInd w:val="0"/>
        <w:snapToGrid w:val="0"/>
        <w:spacing w:line="360" w:lineRule="auto"/>
        <w:ind w:firstLine="420" w:firstLineChars="200"/>
        <w:rPr>
          <w:rFonts w:ascii="宋体" w:hAnsi="宋体"/>
        </w:rPr>
      </w:pPr>
      <w:r>
        <w:rPr>
          <w:rFonts w:hint="eastAsia" w:ascii="宋体" w:hAnsi="宋体"/>
        </w:rPr>
        <w:t>5）投标方应协助招标方解决设备运行中出现的问题。</w:t>
      </w:r>
    </w:p>
    <w:p>
      <w:pPr>
        <w:adjustRightInd w:val="0"/>
        <w:snapToGrid w:val="0"/>
        <w:spacing w:line="360" w:lineRule="auto"/>
        <w:ind w:firstLine="420" w:firstLineChars="200"/>
        <w:rPr>
          <w:rFonts w:ascii="宋体" w:hAnsi="宋体"/>
        </w:rPr>
      </w:pPr>
      <w:r>
        <w:rPr>
          <w:rFonts w:hint="eastAsia" w:ascii="宋体" w:hAnsi="宋体"/>
        </w:rPr>
        <w:t>6）设计联络会议的地点及招标方参加人员的人数和天数等规定详见规范书商务部分。</w:t>
      </w:r>
    </w:p>
    <w:p>
      <w:pPr>
        <w:adjustRightInd w:val="0"/>
        <w:snapToGrid w:val="0"/>
        <w:spacing w:line="360" w:lineRule="auto"/>
        <w:ind w:firstLine="420" w:firstLineChars="200"/>
        <w:rPr>
          <w:rFonts w:ascii="宋体" w:hAnsi="宋体"/>
        </w:rPr>
      </w:pPr>
      <w:r>
        <w:rPr>
          <w:rFonts w:hint="eastAsia" w:ascii="宋体" w:hAnsi="宋体"/>
        </w:rPr>
        <w:t>7）设备安装、调试和性能试验合格后方可投运。设备投运并稳定运行后，投标方和招标方（业主）双方应根据相关法律、法规和公司管理制度签署合同设备的验收证明书。该证明书共两份，双方各执一份。</w:t>
      </w:r>
    </w:p>
    <w:p>
      <w:pPr>
        <w:adjustRightInd w:val="0"/>
        <w:snapToGrid w:val="0"/>
        <w:spacing w:line="360" w:lineRule="auto"/>
        <w:ind w:firstLine="420" w:firstLineChars="200"/>
        <w:rPr>
          <w:rFonts w:ascii="宋体" w:hAnsi="宋体"/>
        </w:rPr>
      </w:pPr>
      <w:r>
        <w:rPr>
          <w:rFonts w:hint="eastAsia" w:ascii="宋体" w:hAnsi="宋体"/>
        </w:rPr>
        <w:t>8）如果安装、调试、性能试验、试运行及质保期内技术指标一项或多项不能满足合同技术部分要求，买卖双方共同分析原因，分清责任，如属制造方面的原因，或涉及索赔部分，按商务部分有关条款执行。</w:t>
      </w:r>
    </w:p>
    <w:bookmarkEnd w:id="415"/>
    <w:bookmarkEnd w:id="416"/>
    <w:p>
      <w:pPr>
        <w:pStyle w:val="2"/>
        <w:numPr>
          <w:ilvl w:val="0"/>
          <w:numId w:val="0"/>
        </w:numPr>
        <w:rPr>
          <w:rFonts w:ascii="黑体" w:hAnsi="黑体" w:eastAsia="黑体"/>
          <w:b/>
          <w:sz w:val="21"/>
          <w:szCs w:val="21"/>
        </w:rPr>
      </w:pPr>
      <w:r>
        <w:rPr>
          <w:rFonts w:hint="eastAsia" w:ascii="黑体" w:hAnsi="黑体" w:eastAsia="黑体"/>
          <w:b/>
          <w:sz w:val="21"/>
          <w:szCs w:val="21"/>
        </w:rPr>
        <w:t>三</w:t>
      </w:r>
      <w:r>
        <w:rPr>
          <w:rFonts w:ascii="黑体" w:hAnsi="黑体" w:eastAsia="黑体"/>
          <w:b/>
          <w:sz w:val="21"/>
          <w:szCs w:val="21"/>
        </w:rPr>
        <w:t>、工程</w:t>
      </w:r>
      <w:r>
        <w:rPr>
          <w:rFonts w:hint="eastAsia" w:ascii="黑体" w:hAnsi="黑体" w:eastAsia="黑体"/>
          <w:b/>
          <w:sz w:val="21"/>
          <w:szCs w:val="21"/>
        </w:rPr>
        <w:t>概述</w:t>
      </w:r>
      <w:bookmarkEnd w:id="394"/>
      <w:bookmarkEnd w:id="395"/>
    </w:p>
    <w:p>
      <w:pPr>
        <w:pStyle w:val="3"/>
        <w:numPr>
          <w:ilvl w:val="0"/>
          <w:numId w:val="0"/>
        </w:numPr>
        <w:spacing w:line="360" w:lineRule="auto"/>
        <w:rPr>
          <w:szCs w:val="21"/>
        </w:rPr>
      </w:pPr>
      <w:bookmarkStart w:id="426" w:name="_Toc500256297"/>
      <w:bookmarkStart w:id="427" w:name="_Toc470168811"/>
      <w:r>
        <w:rPr>
          <w:szCs w:val="21"/>
        </w:rPr>
        <w:t>3.1</w:t>
      </w:r>
      <w:r>
        <w:rPr>
          <w:rFonts w:hint="eastAsia"/>
          <w:szCs w:val="21"/>
        </w:rPr>
        <w:t>工程概况</w:t>
      </w:r>
      <w:bookmarkEnd w:id="426"/>
      <w:bookmarkEnd w:id="427"/>
    </w:p>
    <w:p>
      <w:pPr>
        <w:pStyle w:val="145"/>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本技术规范书采购的设备适用的工程概</w:t>
      </w:r>
      <w:r>
        <w:rPr>
          <w:rFonts w:ascii="宋体" w:hAnsi="宋体" w:eastAsia="宋体"/>
          <w:szCs w:val="21"/>
        </w:rPr>
        <w:t>况</w:t>
      </w:r>
      <w:r>
        <w:rPr>
          <w:rFonts w:hint="eastAsia" w:ascii="宋体" w:hAnsi="宋体" w:eastAsia="宋体"/>
          <w:szCs w:val="21"/>
        </w:rPr>
        <w:t>如下：</w:t>
      </w:r>
    </w:p>
    <w:p>
      <w:pPr>
        <w:pStyle w:val="122"/>
        <w:spacing w:line="360" w:lineRule="auto"/>
        <w:ind w:firstLine="0" w:firstLineChars="0"/>
        <w:jc w:val="center"/>
        <w:rPr>
          <w:rFonts w:hAnsi="宋体"/>
          <w:szCs w:val="21"/>
        </w:rPr>
      </w:pPr>
      <w:r>
        <w:rPr>
          <w:rFonts w:hint="eastAsia" w:hAnsi="宋体"/>
          <w:szCs w:val="21"/>
        </w:rPr>
        <w:t>表</w:t>
      </w:r>
      <w:r>
        <w:rPr>
          <w:rFonts w:hAnsi="宋体"/>
          <w:szCs w:val="21"/>
        </w:rPr>
        <w:t>3</w:t>
      </w:r>
      <w:r>
        <w:rPr>
          <w:rFonts w:hint="eastAsia" w:hAnsi="宋体"/>
          <w:szCs w:val="21"/>
        </w:rPr>
        <w:t>.</w:t>
      </w:r>
      <w:r>
        <w:rPr>
          <w:rFonts w:hAnsi="宋体"/>
          <w:szCs w:val="21"/>
        </w:rPr>
        <w:t>1</w:t>
      </w:r>
      <w:r>
        <w:rPr>
          <w:rFonts w:hint="eastAsia" w:hAnsi="宋体"/>
          <w:szCs w:val="21"/>
        </w:rPr>
        <w:t>工程概况一览表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3964"/>
        <w:gridCol w:w="4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vAlign w:val="center"/>
          </w:tcPr>
          <w:p>
            <w:pPr>
              <w:jc w:val="center"/>
              <w:rPr>
                <w:szCs w:val="21"/>
              </w:rPr>
            </w:pPr>
            <w:r>
              <w:rPr>
                <w:rFonts w:hint="eastAsia"/>
                <w:szCs w:val="21"/>
              </w:rPr>
              <w:t>序号</w:t>
            </w:r>
          </w:p>
        </w:tc>
        <w:tc>
          <w:tcPr>
            <w:tcW w:w="3964" w:type="dxa"/>
            <w:vAlign w:val="center"/>
          </w:tcPr>
          <w:p>
            <w:pPr>
              <w:jc w:val="center"/>
              <w:rPr>
                <w:szCs w:val="21"/>
              </w:rPr>
            </w:pPr>
            <w:r>
              <w:rPr>
                <w:rFonts w:hint="eastAsia"/>
                <w:szCs w:val="21"/>
              </w:rPr>
              <w:t>名称</w:t>
            </w:r>
          </w:p>
        </w:tc>
        <w:tc>
          <w:tcPr>
            <w:tcW w:w="4560" w:type="dxa"/>
            <w:vAlign w:val="center"/>
          </w:tcPr>
          <w:p>
            <w:pPr>
              <w:ind w:left="101"/>
              <w:jc w:val="center"/>
              <w:rPr>
                <w:szCs w:val="21"/>
              </w:rPr>
            </w:pPr>
            <w:r>
              <w:rPr>
                <w:rFonts w:hint="eastAsia"/>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62" w:type="dxa"/>
            <w:vAlign w:val="center"/>
          </w:tcPr>
          <w:p>
            <w:pPr>
              <w:jc w:val="center"/>
              <w:rPr>
                <w:szCs w:val="21"/>
              </w:rPr>
            </w:pPr>
            <w:r>
              <w:rPr>
                <w:rFonts w:hint="eastAsia"/>
                <w:szCs w:val="21"/>
              </w:rPr>
              <w:t>1</w:t>
            </w:r>
          </w:p>
        </w:tc>
        <w:tc>
          <w:tcPr>
            <w:tcW w:w="3964" w:type="dxa"/>
            <w:vAlign w:val="center"/>
          </w:tcPr>
          <w:p>
            <w:pPr>
              <w:jc w:val="center"/>
              <w:rPr>
                <w:szCs w:val="21"/>
              </w:rPr>
            </w:pPr>
            <w:r>
              <w:rPr>
                <w:rFonts w:hint="eastAsia"/>
                <w:szCs w:val="21"/>
              </w:rPr>
              <w:t>工程名称</w:t>
            </w:r>
          </w:p>
        </w:tc>
        <w:tc>
          <w:tcPr>
            <w:tcW w:w="4560" w:type="dxa"/>
            <w:vAlign w:val="center"/>
          </w:tcPr>
          <w:p>
            <w:pPr>
              <w:jc w:val="center"/>
              <w:rPr>
                <w:color w:val="FF0000"/>
              </w:rPr>
            </w:pPr>
            <w:r>
              <w:rPr>
                <w:rFonts w:hint="eastAsia"/>
                <w:color w:val="FF0000"/>
              </w:rPr>
              <w:t>500kV耿马输变电工程-</w:t>
            </w:r>
            <w:r>
              <w:rPr>
                <w:rFonts w:hint="eastAsia"/>
              </w:rPr>
              <w:t xml:space="preserve"> </w:t>
            </w:r>
            <w:r>
              <w:rPr>
                <w:rFonts w:hint="eastAsia"/>
                <w:color w:val="FF0000"/>
              </w:rPr>
              <w:t>500kV 耿马站新建工程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62" w:type="dxa"/>
            <w:vAlign w:val="center"/>
          </w:tcPr>
          <w:p>
            <w:pPr>
              <w:jc w:val="center"/>
              <w:rPr>
                <w:szCs w:val="21"/>
              </w:rPr>
            </w:pPr>
            <w:r>
              <w:rPr>
                <w:rFonts w:hint="eastAsia"/>
                <w:szCs w:val="21"/>
              </w:rPr>
              <w:t>2</w:t>
            </w:r>
          </w:p>
        </w:tc>
        <w:tc>
          <w:tcPr>
            <w:tcW w:w="3964" w:type="dxa"/>
            <w:vAlign w:val="center"/>
          </w:tcPr>
          <w:p>
            <w:pPr>
              <w:jc w:val="center"/>
              <w:rPr>
                <w:szCs w:val="21"/>
              </w:rPr>
            </w:pPr>
            <w:r>
              <w:rPr>
                <w:rFonts w:hint="eastAsia"/>
                <w:szCs w:val="21"/>
              </w:rPr>
              <w:t>工程建设单位</w:t>
            </w:r>
          </w:p>
        </w:tc>
        <w:tc>
          <w:tcPr>
            <w:tcW w:w="4560" w:type="dxa"/>
            <w:vAlign w:val="center"/>
          </w:tcPr>
          <w:p>
            <w:pPr>
              <w:jc w:val="center"/>
              <w:rPr>
                <w:color w:val="FF0000"/>
              </w:rPr>
            </w:pPr>
            <w:r>
              <w:rPr>
                <w:rFonts w:hint="eastAsia"/>
                <w:color w:val="FF0000"/>
              </w:rPr>
              <w:t>云南电网有限责任公司建设分公司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3</w:t>
            </w:r>
          </w:p>
        </w:tc>
        <w:tc>
          <w:tcPr>
            <w:tcW w:w="3964" w:type="dxa"/>
            <w:vAlign w:val="center"/>
          </w:tcPr>
          <w:p>
            <w:pPr>
              <w:jc w:val="center"/>
              <w:rPr>
                <w:szCs w:val="21"/>
              </w:rPr>
            </w:pPr>
            <w:r>
              <w:rPr>
                <w:rFonts w:hint="eastAsia"/>
                <w:szCs w:val="21"/>
              </w:rPr>
              <w:t>工程地址</w:t>
            </w:r>
          </w:p>
        </w:tc>
        <w:tc>
          <w:tcPr>
            <w:tcW w:w="4560" w:type="dxa"/>
            <w:vAlign w:val="center"/>
          </w:tcPr>
          <w:p>
            <w:pPr>
              <w:jc w:val="center"/>
              <w:rPr>
                <w:color w:val="FF0000"/>
              </w:rPr>
            </w:pPr>
            <w:r>
              <w:rPr>
                <w:rFonts w:hint="eastAsia"/>
                <w:color w:val="FF0000"/>
              </w:rPr>
              <w:t>云南省临沧市耿马县勐简乡小芒弄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4</w:t>
            </w:r>
          </w:p>
        </w:tc>
        <w:tc>
          <w:tcPr>
            <w:tcW w:w="3964" w:type="dxa"/>
            <w:vAlign w:val="center"/>
          </w:tcPr>
          <w:p>
            <w:pPr>
              <w:jc w:val="center"/>
              <w:rPr>
                <w:szCs w:val="21"/>
              </w:rPr>
            </w:pPr>
            <w:r>
              <w:rPr>
                <w:rFonts w:hint="eastAsia"/>
                <w:szCs w:val="21"/>
              </w:rPr>
              <w:t>是否为扩建工程（是/否）</w:t>
            </w:r>
          </w:p>
        </w:tc>
        <w:tc>
          <w:tcPr>
            <w:tcW w:w="4560" w:type="dxa"/>
            <w:vAlign w:val="center"/>
          </w:tcPr>
          <w:p>
            <w:pPr>
              <w:jc w:val="center"/>
              <w:rPr>
                <w:color w:val="FF0000"/>
              </w:rPr>
            </w:pPr>
            <w:r>
              <w:rPr>
                <w:rFonts w:hint="eastAsia"/>
                <w:color w:val="FF000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5</w:t>
            </w:r>
          </w:p>
        </w:tc>
        <w:tc>
          <w:tcPr>
            <w:tcW w:w="3964" w:type="dxa"/>
            <w:vAlign w:val="center"/>
          </w:tcPr>
          <w:p>
            <w:pPr>
              <w:jc w:val="center"/>
              <w:rPr>
                <w:szCs w:val="21"/>
              </w:rPr>
            </w:pPr>
            <w:r>
              <w:rPr>
                <w:rFonts w:hint="eastAsia"/>
                <w:szCs w:val="21"/>
              </w:rPr>
              <w:t>运输条件</w:t>
            </w:r>
          </w:p>
        </w:tc>
        <w:tc>
          <w:tcPr>
            <w:tcW w:w="4560" w:type="dxa"/>
            <w:vAlign w:val="center"/>
          </w:tcPr>
          <w:p>
            <w:pPr>
              <w:jc w:val="center"/>
              <w:rPr>
                <w:szCs w:val="21"/>
              </w:rPr>
            </w:pPr>
            <w:r>
              <w:rPr>
                <w:rFonts w:hint="eastAsia" w:ascii="宋体" w:hAnsi="宋体"/>
                <w:color w:val="00B0F0"/>
              </w:rPr>
              <w:t>“</w:t>
            </w:r>
            <w:r>
              <w:rPr>
                <w:rFonts w:ascii="宋体" w:hAnsi="宋体"/>
                <w:color w:val="00B0F0"/>
              </w:rPr>
              <w:t>铁路＋公路”联运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7</w:t>
            </w:r>
          </w:p>
        </w:tc>
        <w:tc>
          <w:tcPr>
            <w:tcW w:w="3964" w:type="dxa"/>
            <w:vAlign w:val="center"/>
          </w:tcPr>
          <w:p>
            <w:pPr>
              <w:jc w:val="center"/>
              <w:rPr>
                <w:szCs w:val="21"/>
              </w:rPr>
            </w:pPr>
            <w:r>
              <w:rPr>
                <w:rFonts w:hint="eastAsia"/>
                <w:szCs w:val="21"/>
              </w:rPr>
              <w:t>安装点短路电流</w:t>
            </w:r>
          </w:p>
        </w:tc>
        <w:tc>
          <w:tcPr>
            <w:tcW w:w="4560" w:type="dxa"/>
            <w:vAlign w:val="center"/>
          </w:tcPr>
          <w:p>
            <w:pPr>
              <w:jc w:val="center"/>
              <w:rPr>
                <w:szCs w:val="21"/>
              </w:rPr>
            </w:pPr>
            <w:r>
              <w:rPr>
                <w:color w:val="0070C0"/>
                <w:szCs w:val="21"/>
              </w:rPr>
              <w:t>40kA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8</w:t>
            </w:r>
          </w:p>
        </w:tc>
        <w:tc>
          <w:tcPr>
            <w:tcW w:w="3964" w:type="dxa"/>
            <w:vAlign w:val="center"/>
          </w:tcPr>
          <w:p>
            <w:pPr>
              <w:jc w:val="center"/>
              <w:rPr>
                <w:szCs w:val="21"/>
              </w:rPr>
            </w:pPr>
            <w:r>
              <w:rPr>
                <w:szCs w:val="21"/>
              </w:rPr>
              <w:t>系统标称电压</w:t>
            </w:r>
          </w:p>
        </w:tc>
        <w:tc>
          <w:tcPr>
            <w:tcW w:w="4560" w:type="dxa"/>
            <w:vAlign w:val="center"/>
          </w:tcPr>
          <w:p>
            <w:pPr>
              <w:jc w:val="center"/>
              <w:rPr>
                <w:szCs w:val="21"/>
              </w:rPr>
            </w:pPr>
            <w:r>
              <w:rPr>
                <w:szCs w:val="21"/>
              </w:rPr>
              <w:t>0.38</w:t>
            </w:r>
            <w:r>
              <w:rPr>
                <w:rFonts w:hint="eastAsia"/>
                <w:szCs w:val="21"/>
              </w:rPr>
              <w:t>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9</w:t>
            </w:r>
          </w:p>
        </w:tc>
        <w:tc>
          <w:tcPr>
            <w:tcW w:w="3964" w:type="dxa"/>
            <w:vAlign w:val="center"/>
          </w:tcPr>
          <w:p>
            <w:pPr>
              <w:jc w:val="center"/>
              <w:rPr>
                <w:szCs w:val="21"/>
              </w:rPr>
            </w:pPr>
            <w:r>
              <w:rPr>
                <w:szCs w:val="21"/>
              </w:rPr>
              <w:t>系统最高电压</w:t>
            </w:r>
          </w:p>
        </w:tc>
        <w:tc>
          <w:tcPr>
            <w:tcW w:w="4560" w:type="dxa"/>
            <w:vAlign w:val="center"/>
          </w:tcPr>
          <w:p>
            <w:pPr>
              <w:jc w:val="center"/>
              <w:rPr>
                <w:szCs w:val="21"/>
              </w:rPr>
            </w:pPr>
            <w:r>
              <w:rPr>
                <w:szCs w:val="21"/>
              </w:rPr>
              <w:t>0.66</w:t>
            </w:r>
            <w:r>
              <w:rPr>
                <w:rFonts w:hint="eastAsia"/>
                <w:szCs w:val="21"/>
              </w:rPr>
              <w:t>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10</w:t>
            </w:r>
          </w:p>
        </w:tc>
        <w:tc>
          <w:tcPr>
            <w:tcW w:w="3964" w:type="dxa"/>
            <w:vAlign w:val="center"/>
          </w:tcPr>
          <w:p>
            <w:pPr>
              <w:jc w:val="center"/>
              <w:rPr>
                <w:szCs w:val="21"/>
              </w:rPr>
            </w:pPr>
            <w:r>
              <w:rPr>
                <w:szCs w:val="21"/>
              </w:rPr>
              <w:t>系统额定频率</w:t>
            </w:r>
          </w:p>
        </w:tc>
        <w:tc>
          <w:tcPr>
            <w:tcW w:w="4560" w:type="dxa"/>
            <w:vAlign w:val="center"/>
          </w:tcPr>
          <w:p>
            <w:pPr>
              <w:jc w:val="center"/>
              <w:rPr>
                <w:szCs w:val="21"/>
              </w:rPr>
            </w:pPr>
            <w:r>
              <w:rPr>
                <w:rFonts w:hint="eastAsia"/>
                <w:szCs w:val="21"/>
              </w:rPr>
              <w:t>50Hz</w:t>
            </w:r>
          </w:p>
        </w:tc>
      </w:tr>
    </w:tbl>
    <w:p>
      <w:pPr>
        <w:pStyle w:val="3"/>
        <w:numPr>
          <w:ilvl w:val="0"/>
          <w:numId w:val="0"/>
        </w:numPr>
        <w:spacing w:line="360" w:lineRule="auto"/>
        <w:rPr>
          <w:szCs w:val="21"/>
        </w:rPr>
      </w:pPr>
      <w:bookmarkStart w:id="428" w:name="_Toc500256298"/>
      <w:bookmarkStart w:id="429" w:name="_Toc470168812"/>
      <w:r>
        <w:rPr>
          <w:szCs w:val="21"/>
        </w:rPr>
        <w:t>3.2</w:t>
      </w:r>
      <w:r>
        <w:rPr>
          <w:rFonts w:hint="eastAsia"/>
          <w:szCs w:val="21"/>
        </w:rPr>
        <w:t>使用条件</w:t>
      </w:r>
      <w:bookmarkEnd w:id="428"/>
      <w:bookmarkEnd w:id="429"/>
    </w:p>
    <w:p>
      <w:pPr>
        <w:adjustRightInd w:val="0"/>
        <w:snapToGrid w:val="0"/>
        <w:spacing w:line="360" w:lineRule="auto"/>
        <w:ind w:firstLine="420" w:firstLineChars="200"/>
        <w:rPr>
          <w:rFonts w:ascii="宋体" w:hAnsi="宋体"/>
        </w:rPr>
      </w:pPr>
      <w:r>
        <w:rPr>
          <w:rFonts w:hint="eastAsia" w:ascii="宋体" w:hAnsi="宋体"/>
        </w:rPr>
        <w:t>本技术规范书要采购的35kV电压等级的</w:t>
      </w:r>
      <w:r>
        <w:rPr>
          <w:rFonts w:ascii="宋体" w:hAnsi="宋体"/>
        </w:rPr>
        <w:t>SF6</w:t>
      </w:r>
      <w:r>
        <w:rPr>
          <w:rFonts w:hint="eastAsia" w:ascii="宋体" w:hAnsi="宋体"/>
        </w:rPr>
        <w:t>式、油浸式、干式电流互感器，</w:t>
      </w:r>
      <w:r>
        <w:rPr>
          <w:rFonts w:ascii="宋体" w:hAnsi="宋体"/>
        </w:rPr>
        <w:t>其安装地点的实际外部条件</w:t>
      </w:r>
      <w:r>
        <w:rPr>
          <w:rFonts w:hint="eastAsia" w:ascii="宋体" w:hAnsi="宋体"/>
        </w:rPr>
        <w:t>详见专用部分</w:t>
      </w:r>
      <w:r>
        <w:rPr>
          <w:rFonts w:ascii="宋体" w:hAnsi="宋体"/>
        </w:rPr>
        <w:t>。</w:t>
      </w:r>
      <w:r>
        <w:rPr>
          <w:rFonts w:hint="eastAsia" w:ascii="宋体" w:hAnsi="宋体"/>
        </w:rPr>
        <w:t>投标方应对所提供的设备绝缘水平、温升等相关性能参数在工程实际外部条件下进行校验、核对，使所供设备满足实际外部条件要求及全工况运行要求。</w:t>
      </w:r>
    </w:p>
    <w:p>
      <w:pPr>
        <w:pStyle w:val="3"/>
        <w:numPr>
          <w:ilvl w:val="0"/>
          <w:numId w:val="0"/>
        </w:numPr>
        <w:adjustRightInd w:val="0"/>
        <w:snapToGrid w:val="0"/>
        <w:spacing w:line="360" w:lineRule="auto"/>
        <w:rPr>
          <w:rFonts w:ascii="宋体" w:hAnsi="宋体" w:eastAsia="宋体"/>
        </w:rPr>
      </w:pPr>
      <w:bookmarkStart w:id="430" w:name="_Toc384340982"/>
      <w:bookmarkStart w:id="431" w:name="_Toc494551128"/>
      <w:bookmarkStart w:id="432" w:name="_Toc282993251"/>
      <w:bookmarkStart w:id="433" w:name="_Toc279695711"/>
      <w:r>
        <w:rPr>
          <w:rFonts w:ascii="宋体" w:hAnsi="宋体" w:eastAsia="宋体"/>
        </w:rPr>
        <w:t>3.2</w:t>
      </w:r>
      <w:r>
        <w:rPr>
          <w:rFonts w:hint="eastAsia" w:ascii="宋体" w:hAnsi="宋体" w:eastAsia="宋体"/>
        </w:rPr>
        <w:t>.1正常使用条件</w:t>
      </w:r>
      <w:bookmarkEnd w:id="430"/>
      <w:bookmarkEnd w:id="431"/>
      <w:bookmarkEnd w:id="432"/>
      <w:bookmarkEnd w:id="433"/>
    </w:p>
    <w:p>
      <w:pPr>
        <w:adjustRightInd w:val="0"/>
        <w:snapToGrid w:val="0"/>
        <w:spacing w:line="360" w:lineRule="auto"/>
        <w:rPr>
          <w:rFonts w:ascii="宋体" w:hAnsi="宋体"/>
        </w:rPr>
      </w:pPr>
      <w:r>
        <w:rPr>
          <w:rFonts w:ascii="宋体" w:hAnsi="宋体"/>
        </w:rPr>
        <w:t>3.2</w:t>
      </w:r>
      <w:r>
        <w:rPr>
          <w:rFonts w:hint="eastAsia" w:ascii="宋体" w:hAnsi="宋体"/>
        </w:rPr>
        <w:t>.1.1 海拔高度：</w:t>
      </w:r>
      <w:r>
        <w:rPr>
          <w:rFonts w:ascii="宋体" w:hAnsi="宋体"/>
        </w:rPr>
        <w:t>≤1000m</w:t>
      </w:r>
    </w:p>
    <w:p>
      <w:pPr>
        <w:adjustRightInd w:val="0"/>
        <w:snapToGrid w:val="0"/>
        <w:spacing w:line="360" w:lineRule="auto"/>
        <w:rPr>
          <w:rFonts w:ascii="宋体" w:hAnsi="宋体"/>
        </w:rPr>
      </w:pPr>
      <w:r>
        <w:rPr>
          <w:rFonts w:ascii="宋体" w:hAnsi="宋体"/>
        </w:rPr>
        <w:t>3.2</w:t>
      </w:r>
      <w:r>
        <w:rPr>
          <w:rFonts w:hint="eastAsia" w:ascii="宋体" w:hAnsi="宋体"/>
        </w:rPr>
        <w:t>.1.2环境温度</w:t>
      </w:r>
    </w:p>
    <w:p>
      <w:pPr>
        <w:adjustRightInd w:val="0"/>
        <w:snapToGrid w:val="0"/>
        <w:spacing w:line="360" w:lineRule="auto"/>
        <w:ind w:left="1680" w:firstLine="420" w:firstLineChars="200"/>
        <w:rPr>
          <w:rFonts w:ascii="宋体" w:hAnsi="宋体"/>
        </w:rPr>
      </w:pPr>
      <w:r>
        <w:rPr>
          <w:rFonts w:ascii="宋体" w:hAnsi="宋体"/>
        </w:rPr>
        <w:t>最高温度</w:t>
      </w:r>
      <w:r>
        <w:rPr>
          <w:rFonts w:hint="eastAsia" w:ascii="宋体" w:hAnsi="宋体"/>
        </w:rPr>
        <w:t>：+</w:t>
      </w:r>
      <w:r>
        <w:rPr>
          <w:rFonts w:ascii="宋体" w:hAnsi="宋体"/>
        </w:rPr>
        <w:t>4</w:t>
      </w:r>
      <w:r>
        <w:rPr>
          <w:rFonts w:hint="eastAsia" w:ascii="宋体" w:hAnsi="宋体"/>
        </w:rPr>
        <w:t>0</w:t>
      </w:r>
      <w:r>
        <w:rPr>
          <w:rFonts w:ascii="宋体" w:hAnsi="宋体"/>
        </w:rPr>
        <w:t>℃</w:t>
      </w:r>
    </w:p>
    <w:p>
      <w:pPr>
        <w:adjustRightInd w:val="0"/>
        <w:snapToGrid w:val="0"/>
        <w:spacing w:line="360" w:lineRule="auto"/>
        <w:ind w:left="1680" w:firstLine="420" w:firstLineChars="200"/>
        <w:rPr>
          <w:rFonts w:ascii="宋体" w:hAnsi="宋体"/>
        </w:rPr>
      </w:pPr>
      <w:r>
        <w:rPr>
          <w:rFonts w:ascii="宋体" w:hAnsi="宋体"/>
        </w:rPr>
        <w:t>最</w:t>
      </w:r>
      <w:r>
        <w:rPr>
          <w:rFonts w:hint="eastAsia" w:ascii="宋体" w:hAnsi="宋体"/>
        </w:rPr>
        <w:t>热月平均</w:t>
      </w:r>
      <w:r>
        <w:rPr>
          <w:rFonts w:ascii="宋体" w:hAnsi="宋体"/>
        </w:rPr>
        <w:t>温度</w:t>
      </w:r>
      <w:r>
        <w:rPr>
          <w:rFonts w:hint="eastAsia" w:ascii="宋体" w:hAnsi="宋体"/>
        </w:rPr>
        <w:t>：+30</w:t>
      </w:r>
      <w:r>
        <w:rPr>
          <w:rFonts w:ascii="宋体" w:hAnsi="宋体"/>
        </w:rPr>
        <w:t>℃</w:t>
      </w:r>
    </w:p>
    <w:p>
      <w:pPr>
        <w:adjustRightInd w:val="0"/>
        <w:snapToGrid w:val="0"/>
        <w:spacing w:line="360" w:lineRule="auto"/>
        <w:ind w:left="1680" w:firstLine="420" w:firstLineChars="200"/>
        <w:rPr>
          <w:rFonts w:ascii="宋体" w:hAnsi="宋体"/>
        </w:rPr>
      </w:pPr>
      <w:r>
        <w:rPr>
          <w:rFonts w:ascii="宋体" w:hAnsi="宋体"/>
        </w:rPr>
        <w:t>最高</w:t>
      </w:r>
      <w:r>
        <w:rPr>
          <w:rFonts w:hint="eastAsia" w:ascii="宋体" w:hAnsi="宋体"/>
        </w:rPr>
        <w:t>年</w:t>
      </w:r>
      <w:r>
        <w:rPr>
          <w:rFonts w:ascii="宋体" w:hAnsi="宋体"/>
        </w:rPr>
        <w:t>平均温度：</w:t>
      </w:r>
      <w:r>
        <w:rPr>
          <w:rFonts w:hint="eastAsia" w:ascii="宋体" w:hAnsi="宋体"/>
        </w:rPr>
        <w:t>+20</w:t>
      </w:r>
      <w:r>
        <w:rPr>
          <w:rFonts w:ascii="宋体" w:hAnsi="宋体"/>
        </w:rPr>
        <w:t>℃</w:t>
      </w:r>
    </w:p>
    <w:p>
      <w:pPr>
        <w:adjustRightInd w:val="0"/>
        <w:snapToGrid w:val="0"/>
        <w:spacing w:line="360" w:lineRule="auto"/>
        <w:ind w:left="1680" w:firstLine="420" w:firstLineChars="200"/>
        <w:rPr>
          <w:rFonts w:ascii="宋体" w:hAnsi="宋体"/>
        </w:rPr>
      </w:pPr>
      <w:r>
        <w:rPr>
          <w:rFonts w:ascii="宋体" w:hAnsi="宋体"/>
        </w:rPr>
        <w:t>最</w:t>
      </w:r>
      <w:r>
        <w:rPr>
          <w:rFonts w:hint="eastAsia" w:ascii="宋体" w:hAnsi="宋体"/>
        </w:rPr>
        <w:t>低气温：-25</w:t>
      </w:r>
      <w:r>
        <w:rPr>
          <w:rFonts w:ascii="宋体" w:hAnsi="宋体"/>
        </w:rPr>
        <w:t>℃</w:t>
      </w:r>
      <w:r>
        <w:rPr>
          <w:rFonts w:hint="eastAsia" w:ascii="宋体" w:hAnsi="宋体"/>
        </w:rPr>
        <w:t>（户外）</w:t>
      </w:r>
    </w:p>
    <w:p>
      <w:pPr>
        <w:adjustRightInd w:val="0"/>
        <w:snapToGrid w:val="0"/>
        <w:spacing w:line="360" w:lineRule="auto"/>
        <w:rPr>
          <w:rFonts w:ascii="宋体" w:hAnsi="宋体"/>
        </w:rPr>
      </w:pPr>
      <w:r>
        <w:rPr>
          <w:rFonts w:ascii="宋体" w:hAnsi="宋体"/>
        </w:rPr>
        <w:t>3.2</w:t>
      </w:r>
      <w:r>
        <w:rPr>
          <w:rFonts w:hint="eastAsia" w:ascii="宋体" w:hAnsi="宋体"/>
        </w:rPr>
        <w:t>.1.3太阳辐射强度：</w:t>
      </w:r>
      <w:r>
        <w:rPr>
          <w:rFonts w:ascii="宋体" w:hAnsi="宋体"/>
        </w:rPr>
        <w:t>0.1W/cm</w:t>
      </w:r>
      <w:r>
        <w:rPr>
          <w:rFonts w:ascii="宋体" w:hAnsi="宋体"/>
          <w:vertAlign w:val="superscript"/>
        </w:rPr>
        <w:t>2</w:t>
      </w:r>
    </w:p>
    <w:p>
      <w:pPr>
        <w:adjustRightInd w:val="0"/>
        <w:snapToGrid w:val="0"/>
        <w:spacing w:line="360" w:lineRule="auto"/>
        <w:rPr>
          <w:rFonts w:ascii="宋体" w:hAnsi="宋体"/>
        </w:rPr>
      </w:pPr>
      <w:r>
        <w:rPr>
          <w:rFonts w:ascii="宋体" w:hAnsi="宋体"/>
        </w:rPr>
        <w:t>3.2</w:t>
      </w:r>
      <w:r>
        <w:rPr>
          <w:rFonts w:hint="eastAsia" w:ascii="宋体" w:hAnsi="宋体"/>
        </w:rPr>
        <w:t>.1.4</w:t>
      </w:r>
      <w:r>
        <w:rPr>
          <w:rFonts w:ascii="宋体" w:hAnsi="宋体"/>
        </w:rPr>
        <w:t>耐地震能力</w:t>
      </w:r>
    </w:p>
    <w:p>
      <w:pPr>
        <w:adjustRightInd w:val="0"/>
        <w:snapToGrid w:val="0"/>
        <w:spacing w:line="360" w:lineRule="auto"/>
        <w:ind w:firstLine="420" w:firstLineChars="200"/>
        <w:rPr>
          <w:rFonts w:ascii="宋体" w:hAnsi="宋体"/>
        </w:rPr>
      </w:pPr>
      <w:r>
        <w:rPr>
          <w:rFonts w:hint="eastAsia" w:ascii="宋体" w:hAnsi="宋体"/>
        </w:rPr>
        <w:t>地震烈度</w:t>
      </w:r>
      <w:r>
        <w:rPr>
          <w:rFonts w:hint="eastAsia" w:ascii="宋体" w:hAnsi="宋体"/>
          <w:lang w:val="en-US" w:eastAsia="zh-CN"/>
        </w:rPr>
        <w:t>9</w:t>
      </w:r>
      <w:r>
        <w:rPr>
          <w:rFonts w:hint="eastAsia" w:ascii="宋体" w:hAnsi="宋体"/>
        </w:rPr>
        <w:t>度：</w:t>
      </w:r>
    </w:p>
    <w:p>
      <w:pPr>
        <w:adjustRightInd w:val="0"/>
        <w:snapToGrid w:val="0"/>
        <w:spacing w:line="360" w:lineRule="auto"/>
        <w:ind w:left="1680" w:firstLine="420"/>
        <w:rPr>
          <w:rFonts w:ascii="宋体" w:hAnsi="宋体"/>
        </w:rPr>
      </w:pPr>
      <w:r>
        <w:rPr>
          <w:rFonts w:ascii="宋体" w:hAnsi="宋体"/>
        </w:rPr>
        <w:t>地面水平加速度</w:t>
      </w:r>
      <w:r>
        <w:rPr>
          <w:rFonts w:hint="eastAsia" w:ascii="宋体" w:hAnsi="宋体"/>
        </w:rPr>
        <w:t>3m/s</w:t>
      </w:r>
      <w:r>
        <w:rPr>
          <w:rFonts w:hint="eastAsia" w:ascii="宋体" w:hAnsi="宋体"/>
          <w:vertAlign w:val="superscript"/>
        </w:rPr>
        <w:t>2</w:t>
      </w:r>
    </w:p>
    <w:p>
      <w:pPr>
        <w:adjustRightInd w:val="0"/>
        <w:snapToGrid w:val="0"/>
        <w:spacing w:line="360" w:lineRule="auto"/>
        <w:ind w:left="1680" w:firstLine="420"/>
        <w:rPr>
          <w:rFonts w:ascii="宋体" w:hAnsi="宋体"/>
        </w:rPr>
      </w:pPr>
      <w:r>
        <w:rPr>
          <w:rFonts w:ascii="宋体" w:hAnsi="宋体"/>
        </w:rPr>
        <w:t>地面</w:t>
      </w:r>
      <w:r>
        <w:rPr>
          <w:rFonts w:hint="eastAsia" w:ascii="宋体" w:hAnsi="宋体"/>
        </w:rPr>
        <w:t>垂直</w:t>
      </w:r>
      <w:r>
        <w:rPr>
          <w:rFonts w:ascii="宋体" w:hAnsi="宋体"/>
        </w:rPr>
        <w:t>加速度</w:t>
      </w:r>
      <w:r>
        <w:rPr>
          <w:rFonts w:hint="eastAsia" w:ascii="宋体" w:hAnsi="宋体"/>
        </w:rPr>
        <w:t>1.5m/s</w:t>
      </w:r>
      <w:r>
        <w:rPr>
          <w:rFonts w:hint="eastAsia" w:ascii="宋体" w:hAnsi="宋体"/>
          <w:vertAlign w:val="superscript"/>
        </w:rPr>
        <w:t>2</w:t>
      </w:r>
    </w:p>
    <w:p>
      <w:pPr>
        <w:adjustRightInd w:val="0"/>
        <w:snapToGrid w:val="0"/>
        <w:spacing w:line="360" w:lineRule="auto"/>
        <w:ind w:firstLine="418" w:firstLineChars="203"/>
        <w:rPr>
          <w:rFonts w:ascii="宋体" w:hAnsi="宋体"/>
        </w:rPr>
      </w:pPr>
      <w:r>
        <w:rPr>
          <w:rFonts w:hint="eastAsia" w:ascii="宋体" w:hAnsi="宋体"/>
          <w:spacing w:val="-2"/>
          <w:szCs w:val="21"/>
        </w:rPr>
        <w:t>共振、正弦拍波试验法，激振</w:t>
      </w:r>
      <w:r>
        <w:rPr>
          <w:rFonts w:ascii="宋体" w:hAnsi="宋体"/>
          <w:spacing w:val="-2"/>
          <w:szCs w:val="21"/>
        </w:rPr>
        <w:t>5</w:t>
      </w:r>
      <w:r>
        <w:rPr>
          <w:rFonts w:hint="eastAsia" w:ascii="宋体" w:hAnsi="宋体"/>
          <w:spacing w:val="-2"/>
          <w:szCs w:val="21"/>
        </w:rPr>
        <w:t>次，每次持续时间</w:t>
      </w:r>
      <w:r>
        <w:rPr>
          <w:rFonts w:ascii="宋体" w:hAnsi="宋体"/>
          <w:spacing w:val="-2"/>
          <w:szCs w:val="21"/>
        </w:rPr>
        <w:t>5</w:t>
      </w:r>
      <w:r>
        <w:rPr>
          <w:rFonts w:hint="eastAsia" w:ascii="宋体" w:hAnsi="宋体"/>
          <w:spacing w:val="-2"/>
          <w:szCs w:val="21"/>
        </w:rPr>
        <w:t>个周波，各次间隔</w:t>
      </w:r>
      <w:r>
        <w:rPr>
          <w:rFonts w:ascii="宋体" w:hAnsi="宋体"/>
          <w:spacing w:val="-2"/>
          <w:szCs w:val="21"/>
        </w:rPr>
        <w:t>2s</w:t>
      </w:r>
      <w:r>
        <w:rPr>
          <w:rFonts w:hint="eastAsia" w:ascii="宋体" w:hAnsi="宋体"/>
          <w:spacing w:val="-2"/>
          <w:szCs w:val="21"/>
        </w:rPr>
        <w:t>，并考虑其端部连接导线振动和导线张力的影响。安全系数不小于</w:t>
      </w:r>
      <w:r>
        <w:rPr>
          <w:rFonts w:ascii="宋体" w:hAnsi="宋体"/>
          <w:spacing w:val="-2"/>
          <w:szCs w:val="21"/>
        </w:rPr>
        <w:t>1.67</w:t>
      </w:r>
      <w:r>
        <w:rPr>
          <w:rFonts w:hint="eastAsia" w:ascii="宋体" w:hAnsi="宋体"/>
          <w:spacing w:val="-2"/>
          <w:szCs w:val="21"/>
        </w:rPr>
        <w:t>。设备本体水平加速度应计及设备支架的动力放大系数</w:t>
      </w:r>
      <w:r>
        <w:rPr>
          <w:rFonts w:ascii="宋体" w:hAnsi="宋体"/>
          <w:spacing w:val="-2"/>
          <w:szCs w:val="21"/>
        </w:rPr>
        <w:t>1.2</w:t>
      </w:r>
      <w:r>
        <w:rPr>
          <w:rFonts w:hint="eastAsia" w:ascii="宋体" w:hAnsi="宋体"/>
          <w:spacing w:val="-2"/>
          <w:szCs w:val="21"/>
        </w:rPr>
        <w:t>。</w:t>
      </w:r>
    </w:p>
    <w:p>
      <w:pPr>
        <w:adjustRightInd w:val="0"/>
        <w:snapToGrid w:val="0"/>
        <w:spacing w:line="360" w:lineRule="auto"/>
        <w:rPr>
          <w:rFonts w:ascii="宋体" w:hAnsi="宋体"/>
        </w:rPr>
      </w:pPr>
      <w:r>
        <w:rPr>
          <w:rFonts w:ascii="宋体" w:hAnsi="宋体"/>
        </w:rPr>
        <w:t>3.</w:t>
      </w:r>
      <w:r>
        <w:rPr>
          <w:rFonts w:hint="eastAsia" w:ascii="宋体" w:hAnsi="宋体"/>
        </w:rPr>
        <w:t>2.1.5湿度</w:t>
      </w:r>
    </w:p>
    <w:p>
      <w:pPr>
        <w:adjustRightInd w:val="0"/>
        <w:snapToGrid w:val="0"/>
        <w:spacing w:line="360" w:lineRule="auto"/>
        <w:ind w:firstLine="420" w:firstLineChars="200"/>
        <w:rPr>
          <w:rFonts w:ascii="宋体" w:hAnsi="宋体"/>
        </w:rPr>
      </w:pPr>
      <w:r>
        <w:rPr>
          <w:rFonts w:hint="eastAsia" w:ascii="宋体" w:hAnsi="宋体"/>
        </w:rPr>
        <w:t>日相对湿度平均值100%</w:t>
      </w:r>
    </w:p>
    <w:p>
      <w:pPr>
        <w:adjustRightInd w:val="0"/>
        <w:snapToGrid w:val="0"/>
        <w:spacing w:line="360" w:lineRule="auto"/>
        <w:rPr>
          <w:rFonts w:ascii="宋体" w:hAnsi="宋体"/>
        </w:rPr>
      </w:pPr>
      <w:r>
        <w:rPr>
          <w:rFonts w:ascii="宋体" w:hAnsi="宋体"/>
        </w:rPr>
        <w:t>3.2</w:t>
      </w:r>
      <w:r>
        <w:rPr>
          <w:rFonts w:hint="eastAsia" w:ascii="宋体" w:hAnsi="宋体"/>
        </w:rPr>
        <w:t>.1.6 污秽等级</w:t>
      </w:r>
    </w:p>
    <w:p>
      <w:pPr>
        <w:adjustRightInd w:val="0"/>
        <w:snapToGrid w:val="0"/>
        <w:spacing w:line="360" w:lineRule="auto"/>
        <w:ind w:firstLine="420" w:firstLineChars="200"/>
        <w:rPr>
          <w:rFonts w:ascii="宋体" w:hAnsi="宋体"/>
        </w:rPr>
      </w:pPr>
      <w:r>
        <w:rPr>
          <w:rFonts w:hint="eastAsia" w:ascii="宋体" w:hAnsi="宋体"/>
        </w:rPr>
        <w:t>对于d级以下</w:t>
      </w:r>
      <w:r>
        <w:rPr>
          <w:rFonts w:ascii="宋体" w:hAnsi="宋体"/>
        </w:rPr>
        <w:t>污</w:t>
      </w:r>
      <w:r>
        <w:rPr>
          <w:rFonts w:hint="eastAsia" w:ascii="宋体" w:hAnsi="宋体"/>
        </w:rPr>
        <w:t>秽等级的地区统一按d级防污选取设备的爬电比距。d级污秽地区及以上</w:t>
      </w:r>
      <w:r>
        <w:rPr>
          <w:rFonts w:ascii="宋体" w:hAnsi="宋体"/>
        </w:rPr>
        <w:t>污</w:t>
      </w:r>
      <w:r>
        <w:rPr>
          <w:rFonts w:hint="eastAsia" w:ascii="宋体" w:hAnsi="宋体"/>
        </w:rPr>
        <w:t>秽等级的地区统一按e级防污选取设备的爬电比距。</w:t>
      </w:r>
    </w:p>
    <w:p>
      <w:pPr>
        <w:adjustRightInd w:val="0"/>
        <w:snapToGrid w:val="0"/>
        <w:spacing w:line="360" w:lineRule="auto"/>
        <w:rPr>
          <w:rFonts w:ascii="宋体" w:hAnsi="宋体"/>
        </w:rPr>
      </w:pPr>
      <w:r>
        <w:rPr>
          <w:rFonts w:ascii="宋体" w:hAnsi="宋体"/>
        </w:rPr>
        <w:t>3.2</w:t>
      </w:r>
      <w:r>
        <w:rPr>
          <w:rFonts w:hint="eastAsia" w:ascii="宋体" w:hAnsi="宋体"/>
        </w:rPr>
        <w:t>.1.7 风速</w:t>
      </w:r>
    </w:p>
    <w:p>
      <w:pPr>
        <w:adjustRightInd w:val="0"/>
        <w:snapToGrid w:val="0"/>
        <w:spacing w:line="360" w:lineRule="auto"/>
        <w:ind w:firstLine="420" w:firstLineChars="200"/>
        <w:rPr>
          <w:rFonts w:ascii="宋体" w:hAnsi="宋体"/>
        </w:rPr>
      </w:pPr>
      <w:r>
        <w:rPr>
          <w:rFonts w:hint="eastAsia" w:ascii="宋体" w:hAnsi="宋体"/>
        </w:rPr>
        <w:t xml:space="preserve">35m/s（离地面高10m处，持续10min的100年平均最大风速）。 </w:t>
      </w:r>
    </w:p>
    <w:p>
      <w:pPr>
        <w:adjustRightInd w:val="0"/>
        <w:snapToGrid w:val="0"/>
        <w:spacing w:line="360" w:lineRule="auto"/>
        <w:rPr>
          <w:rFonts w:ascii="宋体" w:hAnsi="宋体"/>
        </w:rPr>
      </w:pPr>
      <w:r>
        <w:rPr>
          <w:rFonts w:ascii="宋体" w:hAnsi="宋体"/>
        </w:rPr>
        <w:t>3.2</w:t>
      </w:r>
      <w:r>
        <w:rPr>
          <w:rFonts w:hint="eastAsia" w:ascii="宋体" w:hAnsi="宋体"/>
        </w:rPr>
        <w:t>.1.8 直流偏磁</w:t>
      </w:r>
    </w:p>
    <w:p>
      <w:pPr>
        <w:adjustRightInd w:val="0"/>
        <w:snapToGrid w:val="0"/>
        <w:spacing w:line="360" w:lineRule="auto"/>
        <w:ind w:firstLine="420" w:firstLineChars="200"/>
        <w:rPr>
          <w:rFonts w:ascii="宋体" w:hAnsi="宋体"/>
        </w:rPr>
      </w:pPr>
      <w:r>
        <w:rPr>
          <w:rFonts w:hint="eastAsia" w:ascii="宋体" w:hAnsi="宋体"/>
        </w:rPr>
        <w:t>变压器运行工况长期存在三相10</w:t>
      </w:r>
      <w:r>
        <w:rPr>
          <w:rFonts w:ascii="宋体" w:hAnsi="宋体"/>
        </w:rPr>
        <w:t>A</w:t>
      </w:r>
      <w:r>
        <w:rPr>
          <w:rFonts w:hint="eastAsia" w:ascii="宋体" w:hAnsi="宋体"/>
        </w:rPr>
        <w:t>的直流偏磁。</w:t>
      </w:r>
    </w:p>
    <w:p>
      <w:pPr>
        <w:adjustRightInd w:val="0"/>
        <w:snapToGrid w:val="0"/>
        <w:spacing w:line="360" w:lineRule="auto"/>
        <w:rPr>
          <w:rFonts w:ascii="宋体" w:hAnsi="宋体"/>
        </w:rPr>
      </w:pPr>
      <w:r>
        <w:rPr>
          <w:rFonts w:ascii="宋体" w:hAnsi="宋体"/>
        </w:rPr>
        <w:t>3</w:t>
      </w:r>
      <w:r>
        <w:rPr>
          <w:rFonts w:hint="eastAsia" w:ascii="宋体" w:hAnsi="宋体"/>
        </w:rPr>
        <w:t>.2.1.9 覆冰厚度：20mm</w:t>
      </w:r>
    </w:p>
    <w:p>
      <w:pPr>
        <w:pStyle w:val="3"/>
        <w:numPr>
          <w:ilvl w:val="0"/>
          <w:numId w:val="0"/>
        </w:numPr>
        <w:adjustRightInd w:val="0"/>
        <w:snapToGrid w:val="0"/>
        <w:spacing w:line="360" w:lineRule="auto"/>
        <w:rPr>
          <w:rFonts w:ascii="宋体" w:hAnsi="宋体" w:eastAsia="宋体"/>
        </w:rPr>
      </w:pPr>
      <w:bookmarkStart w:id="434" w:name="_Toc279695713"/>
      <w:bookmarkEnd w:id="434"/>
      <w:bookmarkStart w:id="435" w:name="_Toc279695714"/>
      <w:bookmarkEnd w:id="435"/>
      <w:bookmarkStart w:id="436" w:name="_Toc279695715"/>
      <w:bookmarkEnd w:id="436"/>
      <w:bookmarkStart w:id="437" w:name="_Toc278728920"/>
      <w:bookmarkEnd w:id="437"/>
      <w:bookmarkStart w:id="438" w:name="_Toc279695712"/>
      <w:bookmarkEnd w:id="438"/>
      <w:bookmarkStart w:id="439" w:name="_Toc279695716"/>
      <w:bookmarkEnd w:id="439"/>
      <w:bookmarkStart w:id="440" w:name="_Toc278728921"/>
      <w:bookmarkEnd w:id="440"/>
      <w:bookmarkStart w:id="441" w:name="_Toc278728919"/>
      <w:bookmarkEnd w:id="441"/>
      <w:bookmarkStart w:id="442" w:name="_Toc279695717"/>
      <w:bookmarkStart w:id="443" w:name="_Toc384340983"/>
      <w:bookmarkStart w:id="444" w:name="_Toc282993252"/>
      <w:bookmarkStart w:id="445" w:name="_Toc494551129"/>
      <w:r>
        <w:rPr>
          <w:rFonts w:ascii="宋体" w:hAnsi="宋体" w:eastAsia="宋体"/>
        </w:rPr>
        <w:t>3.2</w:t>
      </w:r>
      <w:r>
        <w:rPr>
          <w:rFonts w:hint="eastAsia" w:ascii="宋体" w:hAnsi="宋体" w:eastAsia="宋体"/>
        </w:rPr>
        <w:t>.2特殊使用条件</w:t>
      </w:r>
      <w:bookmarkEnd w:id="442"/>
      <w:bookmarkEnd w:id="443"/>
      <w:bookmarkEnd w:id="444"/>
      <w:bookmarkEnd w:id="445"/>
    </w:p>
    <w:p>
      <w:pPr>
        <w:adjustRightInd w:val="0"/>
        <w:snapToGrid w:val="0"/>
        <w:spacing w:line="360" w:lineRule="auto"/>
        <w:ind w:firstLine="420" w:firstLineChars="200"/>
        <w:rPr>
          <w:rFonts w:ascii="宋体" w:hAnsi="宋体"/>
        </w:rPr>
      </w:pPr>
      <w:r>
        <w:rPr>
          <w:rFonts w:hint="eastAsia" w:ascii="宋体" w:hAnsi="宋体"/>
        </w:rPr>
        <w:t>凡不满足4.1条正常使用条件之外的特殊条件，如环境温度、海拔、污秽等级等条件，项目单位应在下述特殊使用条件的规定中选取。</w:t>
      </w:r>
    </w:p>
    <w:p>
      <w:pPr>
        <w:adjustRightInd w:val="0"/>
        <w:snapToGrid w:val="0"/>
        <w:spacing w:line="360" w:lineRule="auto"/>
        <w:ind w:firstLine="420" w:firstLineChars="200"/>
        <w:rPr>
          <w:rFonts w:ascii="宋体" w:hAnsi="宋体"/>
        </w:rPr>
      </w:pPr>
      <w:r>
        <w:rPr>
          <w:rFonts w:hint="eastAsia" w:ascii="宋体" w:hAnsi="宋体"/>
        </w:rPr>
        <w:t>特殊使用条件按如下规定。</w:t>
      </w:r>
    </w:p>
    <w:p>
      <w:pPr>
        <w:adjustRightInd w:val="0"/>
        <w:snapToGrid w:val="0"/>
        <w:spacing w:line="360" w:lineRule="auto"/>
        <w:rPr>
          <w:rFonts w:ascii="宋体" w:hAnsi="宋体"/>
        </w:rPr>
      </w:pPr>
      <w:bookmarkStart w:id="446" w:name="OLE_LINK2"/>
      <w:r>
        <w:rPr>
          <w:rFonts w:ascii="宋体" w:hAnsi="宋体"/>
        </w:rPr>
        <w:t>3.2</w:t>
      </w:r>
      <w:r>
        <w:rPr>
          <w:rFonts w:hint="eastAsia" w:ascii="宋体" w:hAnsi="宋体"/>
        </w:rPr>
        <w:t>.2.1 湿热型环境条件</w:t>
      </w:r>
    </w:p>
    <w:p>
      <w:pPr>
        <w:adjustRightInd w:val="0"/>
        <w:snapToGrid w:val="0"/>
        <w:spacing w:line="360" w:lineRule="auto"/>
        <w:ind w:firstLine="420"/>
        <w:jc w:val="left"/>
        <w:rPr>
          <w:rFonts w:ascii="宋体" w:hAnsi="宋体"/>
        </w:rPr>
      </w:pPr>
      <w:r>
        <w:rPr>
          <w:rFonts w:ascii="宋体" w:hAnsi="宋体"/>
        </w:rPr>
        <w:t>最高温度</w:t>
      </w:r>
      <w:r>
        <w:rPr>
          <w:rFonts w:hint="eastAsia" w:ascii="宋体" w:hAnsi="宋体"/>
        </w:rPr>
        <w:t>：+</w:t>
      </w:r>
      <w:r>
        <w:rPr>
          <w:rFonts w:ascii="宋体" w:hAnsi="宋体"/>
        </w:rPr>
        <w:t>4</w:t>
      </w:r>
      <w:r>
        <w:rPr>
          <w:rFonts w:hint="eastAsia" w:ascii="宋体" w:hAnsi="宋体"/>
        </w:rPr>
        <w:t>5</w:t>
      </w:r>
      <w:r>
        <w:rPr>
          <w:rFonts w:ascii="宋体" w:hAnsi="宋体"/>
        </w:rPr>
        <w:t>℃</w:t>
      </w:r>
    </w:p>
    <w:p>
      <w:pPr>
        <w:adjustRightInd w:val="0"/>
        <w:snapToGrid w:val="0"/>
        <w:spacing w:line="360" w:lineRule="auto"/>
        <w:ind w:firstLine="420"/>
        <w:jc w:val="left"/>
        <w:rPr>
          <w:rFonts w:ascii="宋体" w:hAnsi="宋体"/>
        </w:rPr>
      </w:pPr>
      <w:r>
        <w:rPr>
          <w:rFonts w:ascii="宋体" w:hAnsi="宋体"/>
        </w:rPr>
        <w:t>最高</w:t>
      </w:r>
      <w:r>
        <w:rPr>
          <w:rFonts w:hint="eastAsia" w:ascii="宋体" w:hAnsi="宋体"/>
        </w:rPr>
        <w:t>月</w:t>
      </w:r>
      <w:r>
        <w:rPr>
          <w:rFonts w:ascii="宋体" w:hAnsi="宋体"/>
        </w:rPr>
        <w:t>平均温度：</w:t>
      </w:r>
      <w:r>
        <w:rPr>
          <w:rFonts w:hint="eastAsia" w:ascii="宋体" w:hAnsi="宋体"/>
        </w:rPr>
        <w:t>+40</w:t>
      </w:r>
      <w:r>
        <w:rPr>
          <w:rFonts w:ascii="宋体" w:hAnsi="宋体"/>
        </w:rPr>
        <w:t>℃</w:t>
      </w:r>
    </w:p>
    <w:p>
      <w:pPr>
        <w:adjustRightInd w:val="0"/>
        <w:snapToGrid w:val="0"/>
        <w:spacing w:line="360" w:lineRule="auto"/>
        <w:ind w:firstLine="420"/>
        <w:jc w:val="left"/>
        <w:rPr>
          <w:rFonts w:ascii="宋体" w:hAnsi="宋体"/>
        </w:rPr>
      </w:pPr>
      <w:r>
        <w:rPr>
          <w:rFonts w:hint="eastAsia" w:ascii="宋体" w:hAnsi="宋体"/>
        </w:rPr>
        <w:t>年平均温度：25℃</w:t>
      </w:r>
    </w:p>
    <w:p>
      <w:pPr>
        <w:adjustRightInd w:val="0"/>
        <w:snapToGrid w:val="0"/>
        <w:spacing w:line="360" w:lineRule="auto"/>
        <w:ind w:firstLine="420"/>
        <w:jc w:val="left"/>
        <w:rPr>
          <w:rFonts w:ascii="宋体" w:hAnsi="宋体"/>
        </w:rPr>
      </w:pPr>
      <w:r>
        <w:rPr>
          <w:rFonts w:ascii="宋体" w:hAnsi="宋体"/>
        </w:rPr>
        <w:t>最</w:t>
      </w:r>
      <w:r>
        <w:rPr>
          <w:rFonts w:hint="eastAsia" w:ascii="宋体" w:hAnsi="宋体"/>
        </w:rPr>
        <w:t>低平均温度：-10</w:t>
      </w:r>
      <w:r>
        <w:rPr>
          <w:rFonts w:ascii="宋体" w:hAnsi="宋体"/>
        </w:rPr>
        <w:t>℃</w:t>
      </w:r>
      <w:r>
        <w:rPr>
          <w:rFonts w:hint="eastAsia" w:ascii="宋体" w:hAnsi="宋体"/>
        </w:rPr>
        <w:t>（户外）</w:t>
      </w:r>
    </w:p>
    <w:p>
      <w:pPr>
        <w:adjustRightInd w:val="0"/>
        <w:snapToGrid w:val="0"/>
        <w:spacing w:line="360" w:lineRule="auto"/>
        <w:ind w:firstLine="420"/>
        <w:jc w:val="left"/>
        <w:rPr>
          <w:rFonts w:ascii="宋体" w:hAnsi="宋体"/>
        </w:rPr>
      </w:pPr>
      <w:r>
        <w:rPr>
          <w:rFonts w:hint="eastAsia" w:ascii="宋体" w:hAnsi="宋体"/>
        </w:rPr>
        <w:t>空气相对湿度100%时的最高温度：25</w:t>
      </w:r>
      <w:r>
        <w:rPr>
          <w:rFonts w:ascii="宋体" w:hAnsi="宋体"/>
        </w:rPr>
        <w:t>℃</w:t>
      </w:r>
    </w:p>
    <w:p>
      <w:pPr>
        <w:adjustRightInd w:val="0"/>
        <w:snapToGrid w:val="0"/>
        <w:spacing w:line="360" w:lineRule="auto"/>
        <w:ind w:firstLine="420"/>
        <w:jc w:val="left"/>
        <w:rPr>
          <w:rFonts w:ascii="宋体" w:hAnsi="宋体"/>
        </w:rPr>
      </w:pPr>
      <w:r>
        <w:rPr>
          <w:rFonts w:hint="eastAsia" w:ascii="宋体" w:hAnsi="宋体"/>
        </w:rPr>
        <w:t>有凝露、有结冰和结霜、有有害生物。</w:t>
      </w:r>
    </w:p>
    <w:bookmarkEnd w:id="446"/>
    <w:p>
      <w:pPr>
        <w:adjustRightInd w:val="0"/>
        <w:snapToGrid w:val="0"/>
        <w:spacing w:line="360" w:lineRule="auto"/>
        <w:rPr>
          <w:rFonts w:ascii="宋体" w:hAnsi="宋体"/>
        </w:rPr>
      </w:pPr>
      <w:r>
        <w:rPr>
          <w:rFonts w:ascii="宋体" w:hAnsi="宋体"/>
        </w:rPr>
        <w:t>3.2</w:t>
      </w:r>
      <w:r>
        <w:rPr>
          <w:rFonts w:hint="eastAsia" w:ascii="宋体" w:hAnsi="宋体"/>
        </w:rPr>
        <w:t>.2.2 地震烈度</w:t>
      </w:r>
    </w:p>
    <w:p>
      <w:pPr>
        <w:adjustRightInd w:val="0"/>
        <w:snapToGrid w:val="0"/>
        <w:spacing w:line="360" w:lineRule="auto"/>
        <w:ind w:firstLine="420" w:firstLineChars="200"/>
        <w:rPr>
          <w:rFonts w:ascii="宋体" w:hAnsi="宋体"/>
        </w:rPr>
      </w:pPr>
      <w:r>
        <w:rPr>
          <w:rFonts w:hint="eastAsia" w:ascii="宋体" w:hAnsi="宋体"/>
        </w:rPr>
        <w:t>地震烈度</w:t>
      </w:r>
      <w:r>
        <w:rPr>
          <w:rFonts w:ascii="宋体" w:hAnsi="宋体"/>
        </w:rPr>
        <w:t>9</w:t>
      </w:r>
      <w:r>
        <w:rPr>
          <w:rFonts w:hint="eastAsia" w:ascii="宋体" w:hAnsi="宋体"/>
        </w:rPr>
        <w:t>度地区：</w:t>
      </w:r>
    </w:p>
    <w:p>
      <w:pPr>
        <w:adjustRightInd w:val="0"/>
        <w:snapToGrid w:val="0"/>
        <w:spacing w:line="360" w:lineRule="auto"/>
        <w:ind w:left="1680" w:firstLine="420"/>
        <w:rPr>
          <w:rFonts w:ascii="宋体" w:hAnsi="宋体"/>
        </w:rPr>
      </w:pPr>
      <w:r>
        <w:rPr>
          <w:rFonts w:hint="eastAsia" w:ascii="宋体" w:hAnsi="宋体"/>
        </w:rPr>
        <w:t>地面水平加速度</w:t>
      </w:r>
      <w:r>
        <w:rPr>
          <w:rFonts w:ascii="宋体" w:hAnsi="宋体"/>
        </w:rPr>
        <w:t>4</w:t>
      </w:r>
      <w:r>
        <w:rPr>
          <w:rFonts w:hint="eastAsia" w:ascii="宋体" w:hAnsi="宋体"/>
        </w:rPr>
        <w:t>m/s</w:t>
      </w:r>
      <w:r>
        <w:rPr>
          <w:rFonts w:hint="eastAsia" w:ascii="宋体" w:hAnsi="宋体"/>
          <w:vertAlign w:val="superscript"/>
        </w:rPr>
        <w:t>2</w:t>
      </w:r>
    </w:p>
    <w:p>
      <w:pPr>
        <w:adjustRightInd w:val="0"/>
        <w:snapToGrid w:val="0"/>
        <w:spacing w:line="360" w:lineRule="auto"/>
        <w:ind w:left="1680" w:firstLine="420"/>
        <w:rPr>
          <w:rFonts w:ascii="宋体" w:hAnsi="宋体"/>
        </w:rPr>
      </w:pPr>
      <w:r>
        <w:rPr>
          <w:rFonts w:hint="eastAsia" w:ascii="宋体" w:hAnsi="宋体"/>
        </w:rPr>
        <w:t>地面垂直加速度2m/s</w:t>
      </w:r>
      <w:r>
        <w:rPr>
          <w:rFonts w:hint="eastAsia" w:ascii="宋体" w:hAnsi="宋体"/>
          <w:vertAlign w:val="superscript"/>
        </w:rPr>
        <w:t>2</w:t>
      </w:r>
    </w:p>
    <w:p>
      <w:pPr>
        <w:adjustRightInd w:val="0"/>
        <w:snapToGrid w:val="0"/>
        <w:spacing w:line="360" w:lineRule="auto"/>
        <w:rPr>
          <w:rFonts w:ascii="宋体" w:hAnsi="宋体"/>
        </w:rPr>
      </w:pPr>
      <w:r>
        <w:rPr>
          <w:rFonts w:ascii="宋体" w:hAnsi="宋体"/>
        </w:rPr>
        <w:t>3.2</w:t>
      </w:r>
      <w:r>
        <w:rPr>
          <w:rFonts w:hint="eastAsia" w:ascii="宋体" w:hAnsi="宋体"/>
        </w:rPr>
        <w:t xml:space="preserve">.2.3 海拔高度与外绝缘 </w:t>
      </w:r>
    </w:p>
    <w:p>
      <w:pPr>
        <w:adjustRightInd w:val="0"/>
        <w:snapToGrid w:val="0"/>
        <w:spacing w:line="360" w:lineRule="auto"/>
        <w:ind w:firstLine="420" w:firstLineChars="200"/>
        <w:rPr>
          <w:rFonts w:ascii="宋体" w:hAnsi="宋体"/>
        </w:rPr>
      </w:pPr>
      <w:r>
        <w:rPr>
          <w:rFonts w:hint="eastAsia" w:ascii="宋体" w:hAnsi="宋体"/>
        </w:rPr>
        <w:t>海拔高度高于1000m时，按下列要求确定：</w:t>
      </w:r>
    </w:p>
    <w:p>
      <w:pPr>
        <w:adjustRightInd w:val="0"/>
        <w:snapToGrid w:val="0"/>
        <w:spacing w:line="360" w:lineRule="auto"/>
        <w:ind w:firstLine="630" w:firstLineChars="300"/>
        <w:rPr>
          <w:rFonts w:ascii="宋体" w:hAnsi="宋体"/>
        </w:rPr>
      </w:pPr>
      <w:r>
        <w:rPr>
          <w:rFonts w:hint="eastAsia" w:ascii="宋体" w:hAnsi="宋体"/>
        </w:rPr>
        <w:t>a.海拔在1000-2000m范围，设备外绝缘水平按2000m海拔修正，修正系数取1.13</w:t>
      </w:r>
    </w:p>
    <w:p>
      <w:pPr>
        <w:adjustRightInd w:val="0"/>
        <w:snapToGrid w:val="0"/>
        <w:spacing w:line="360" w:lineRule="auto"/>
        <w:ind w:firstLine="630" w:firstLineChars="300"/>
        <w:rPr>
          <w:rFonts w:ascii="宋体" w:hAnsi="宋体"/>
        </w:rPr>
      </w:pPr>
      <w:r>
        <w:rPr>
          <w:rFonts w:hint="eastAsia" w:ascii="宋体" w:hAnsi="宋体"/>
        </w:rPr>
        <w:t>b.海拔在2000-2500m范围，设备外绝缘水平按2500m海拔修正，修正系数取1.20</w:t>
      </w:r>
    </w:p>
    <w:p>
      <w:pPr>
        <w:adjustRightInd w:val="0"/>
        <w:snapToGrid w:val="0"/>
        <w:spacing w:line="360" w:lineRule="auto"/>
        <w:ind w:firstLine="630" w:firstLineChars="300"/>
        <w:rPr>
          <w:rFonts w:ascii="宋体" w:hAnsi="宋体"/>
        </w:rPr>
      </w:pPr>
      <w:r>
        <w:rPr>
          <w:rFonts w:hint="eastAsia" w:ascii="宋体" w:hAnsi="宋体"/>
        </w:rPr>
        <w:t>c.海拔在2500-3000m范围，设备外绝缘水平按3000m海拔修正，修正系数取1.28</w:t>
      </w:r>
    </w:p>
    <w:p>
      <w:pPr>
        <w:adjustRightInd w:val="0"/>
        <w:snapToGrid w:val="0"/>
        <w:spacing w:line="360" w:lineRule="auto"/>
        <w:ind w:firstLine="630" w:firstLineChars="300"/>
        <w:rPr>
          <w:rFonts w:ascii="宋体" w:hAnsi="宋体"/>
        </w:rPr>
      </w:pPr>
      <w:r>
        <w:rPr>
          <w:rFonts w:hint="eastAsia" w:ascii="宋体" w:hAnsi="宋体"/>
        </w:rPr>
        <w:t>d.海拔高于3000m，应考虑实际运行地点的环境，经专题研究后确定。</w:t>
      </w:r>
    </w:p>
    <w:p>
      <w:pPr>
        <w:adjustRightInd w:val="0"/>
        <w:snapToGrid w:val="0"/>
        <w:spacing w:line="360" w:lineRule="auto"/>
        <w:rPr>
          <w:rFonts w:ascii="宋体" w:hAnsi="宋体"/>
        </w:rPr>
      </w:pPr>
      <w:r>
        <w:rPr>
          <w:rFonts w:ascii="宋体" w:hAnsi="宋体"/>
        </w:rPr>
        <w:t>3.2</w:t>
      </w:r>
      <w:r>
        <w:rPr>
          <w:rFonts w:hint="eastAsia" w:ascii="宋体" w:hAnsi="宋体"/>
        </w:rPr>
        <w:t>.2.4 温升</w:t>
      </w:r>
    </w:p>
    <w:p>
      <w:pPr>
        <w:adjustRightInd w:val="0"/>
        <w:snapToGrid w:val="0"/>
        <w:spacing w:line="360" w:lineRule="auto"/>
        <w:ind w:firstLine="420" w:firstLineChars="200"/>
        <w:rPr>
          <w:rFonts w:ascii="宋体" w:hAnsi="宋体"/>
        </w:rPr>
      </w:pPr>
      <w:r>
        <w:rPr>
          <w:rFonts w:hint="eastAsia" w:ascii="宋体" w:hAnsi="宋体"/>
        </w:rPr>
        <w:t>1）环境温度与温升</w:t>
      </w:r>
    </w:p>
    <w:p>
      <w:pPr>
        <w:adjustRightInd w:val="0"/>
        <w:snapToGrid w:val="0"/>
        <w:spacing w:line="360" w:lineRule="auto"/>
        <w:ind w:firstLine="420" w:firstLineChars="200"/>
        <w:rPr>
          <w:rFonts w:ascii="宋体" w:hAnsi="宋体"/>
        </w:rPr>
      </w:pPr>
      <w:r>
        <w:rPr>
          <w:rFonts w:hint="eastAsia" w:ascii="宋体" w:hAnsi="宋体"/>
        </w:rPr>
        <w:t>当环境温度高于正常使用环境条件时，则对互感器的温升限值应按超过部分的数值减少并应修约到最接近温度的整数值。</w:t>
      </w:r>
    </w:p>
    <w:p>
      <w:pPr>
        <w:adjustRightInd w:val="0"/>
        <w:snapToGrid w:val="0"/>
        <w:spacing w:line="360" w:lineRule="auto"/>
        <w:ind w:firstLine="420" w:firstLineChars="200"/>
        <w:rPr>
          <w:rFonts w:ascii="宋体" w:hAnsi="宋体"/>
        </w:rPr>
      </w:pPr>
      <w:r>
        <w:rPr>
          <w:rFonts w:hint="eastAsia" w:ascii="宋体" w:hAnsi="宋体"/>
        </w:rPr>
        <w:t>2）海拔高度与温升</w:t>
      </w:r>
    </w:p>
    <w:p>
      <w:pPr>
        <w:adjustRightInd w:val="0"/>
        <w:snapToGrid w:val="0"/>
        <w:spacing w:line="360" w:lineRule="auto"/>
        <w:ind w:firstLine="420" w:firstLineChars="200"/>
        <w:rPr>
          <w:rFonts w:ascii="宋体" w:hAnsi="宋体"/>
          <w:color w:val="000000"/>
        </w:rPr>
      </w:pPr>
      <w:r>
        <w:rPr>
          <w:rFonts w:ascii="宋体" w:hAnsi="宋体"/>
          <w:color w:val="000000"/>
        </w:rPr>
        <w:t>安装场所海拔高于1000m，而试验场地低于1000m时，油浸式互感器绕组平均温升限值应按海拔每增加100m降低0.4%来计算； SF6</w:t>
      </w:r>
      <w:r>
        <w:rPr>
          <w:rFonts w:hint="eastAsia" w:ascii="宋体" w:hAnsi="宋体"/>
          <w:color w:val="000000"/>
        </w:rPr>
        <w:t>和干式</w:t>
      </w:r>
      <w:r>
        <w:rPr>
          <w:rFonts w:ascii="宋体" w:hAnsi="宋体"/>
          <w:color w:val="000000"/>
        </w:rPr>
        <w:t>互感器绕组平均温升限值应按海拔每增加100m降低0.5%来计算。</w:t>
      </w:r>
    </w:p>
    <w:p>
      <w:pPr>
        <w:adjustRightInd w:val="0"/>
        <w:snapToGrid w:val="0"/>
        <w:spacing w:line="360" w:lineRule="auto"/>
        <w:ind w:firstLine="420" w:firstLineChars="200"/>
        <w:rPr>
          <w:rFonts w:ascii="宋体" w:hAnsi="宋体"/>
        </w:rPr>
      </w:pPr>
      <w:r>
        <w:rPr>
          <w:rFonts w:ascii="宋体" w:hAnsi="宋体"/>
          <w:color w:val="000000"/>
        </w:rPr>
        <w:t>试验场地海拔高于1000m，而安装场所却低于1000m时，温升限值应作相应的增加值进行修正。因海拔而作的温升修正值，均应修约到最接近的温度的整数值。</w:t>
      </w: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szCs w:val="21"/>
        </w:rPr>
      </w:pPr>
    </w:p>
    <w:p>
      <w:pPr>
        <w:pStyle w:val="145"/>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本技术规范书采购的设备适用的外部条件如下：</w:t>
      </w:r>
    </w:p>
    <w:p>
      <w:pPr>
        <w:pStyle w:val="122"/>
        <w:ind w:firstLine="1680" w:firstLineChars="800"/>
        <w:rPr>
          <w:rFonts w:hAnsi="宋体"/>
          <w:szCs w:val="21"/>
        </w:rPr>
      </w:pPr>
      <w:r>
        <w:rPr>
          <w:rFonts w:hint="eastAsia" w:hAnsi="宋体"/>
          <w:szCs w:val="21"/>
        </w:rPr>
        <w:t>表1.</w:t>
      </w:r>
      <w:r>
        <w:rPr>
          <w:rFonts w:hAnsi="宋体"/>
          <w:szCs w:val="21"/>
        </w:rPr>
        <w:t>2</w:t>
      </w:r>
      <w:r>
        <w:rPr>
          <w:rFonts w:hint="eastAsia" w:hAnsi="宋体"/>
          <w:szCs w:val="21"/>
        </w:rPr>
        <w:t>设备外部条件一览表 （项目单位填写）</w:t>
      </w:r>
      <w:bookmarkStart w:id="447" w:name="_Toc500256299"/>
      <w:bookmarkStart w:id="448" w:name="_Toc470168813"/>
    </w:p>
    <w:p>
      <w:pPr>
        <w:pStyle w:val="122"/>
        <w:ind w:firstLine="420"/>
        <w:rPr>
          <w:rFonts w:hAnsi="宋体"/>
          <w:szCs w:val="21"/>
        </w:rPr>
      </w:pPr>
    </w:p>
    <w:tbl>
      <w:tblPr>
        <w:tblStyle w:val="84"/>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2023"/>
        <w:gridCol w:w="1078"/>
        <w:gridCol w:w="940"/>
        <w:gridCol w:w="1077"/>
        <w:gridCol w:w="942"/>
        <w:gridCol w:w="672"/>
        <w:gridCol w:w="1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31" w:type="dxa"/>
            <w:shd w:val="clear" w:color="auto" w:fill="auto"/>
            <w:vAlign w:val="center"/>
          </w:tcPr>
          <w:p>
            <w:pPr>
              <w:pStyle w:val="122"/>
              <w:ind w:firstLine="420"/>
              <w:rPr>
                <w:rFonts w:hAnsi="宋体"/>
                <w:bCs/>
                <w:szCs w:val="21"/>
              </w:rPr>
            </w:pPr>
            <w:r>
              <w:rPr>
                <w:rFonts w:hint="eastAsia" w:hAnsi="宋体"/>
                <w:bCs/>
                <w:szCs w:val="21"/>
              </w:rPr>
              <w:t>序号</w:t>
            </w:r>
          </w:p>
        </w:tc>
        <w:tc>
          <w:tcPr>
            <w:tcW w:w="2023" w:type="dxa"/>
            <w:shd w:val="clear" w:color="auto" w:fill="auto"/>
            <w:vAlign w:val="center"/>
          </w:tcPr>
          <w:p>
            <w:pPr>
              <w:pStyle w:val="122"/>
              <w:ind w:firstLine="420"/>
              <w:rPr>
                <w:rFonts w:hAnsi="宋体"/>
                <w:bCs/>
                <w:szCs w:val="21"/>
              </w:rPr>
            </w:pPr>
            <w:r>
              <w:rPr>
                <w:rFonts w:hint="eastAsia" w:hAnsi="宋体"/>
                <w:bCs/>
                <w:szCs w:val="21"/>
              </w:rPr>
              <w:t>参数类型</w:t>
            </w:r>
          </w:p>
        </w:tc>
        <w:tc>
          <w:tcPr>
            <w:tcW w:w="1078" w:type="dxa"/>
            <w:shd w:val="clear" w:color="auto" w:fill="auto"/>
            <w:vAlign w:val="center"/>
          </w:tcPr>
          <w:p>
            <w:pPr>
              <w:pStyle w:val="122"/>
              <w:ind w:firstLine="420"/>
              <w:rPr>
                <w:rFonts w:hAnsi="宋体"/>
                <w:bCs/>
                <w:szCs w:val="21"/>
              </w:rPr>
            </w:pPr>
            <w:r>
              <w:rPr>
                <w:rFonts w:hint="eastAsia" w:hAnsi="宋体"/>
                <w:bCs/>
                <w:szCs w:val="21"/>
              </w:rPr>
              <w:t>单位</w:t>
            </w:r>
          </w:p>
        </w:tc>
        <w:tc>
          <w:tcPr>
            <w:tcW w:w="940" w:type="dxa"/>
            <w:shd w:val="clear" w:color="auto" w:fill="auto"/>
            <w:vAlign w:val="center"/>
          </w:tcPr>
          <w:p>
            <w:pPr>
              <w:pStyle w:val="122"/>
              <w:ind w:firstLine="0" w:firstLineChars="0"/>
              <w:rPr>
                <w:rFonts w:hAnsi="宋体"/>
                <w:bCs/>
                <w:szCs w:val="21"/>
              </w:rPr>
            </w:pPr>
            <w:r>
              <w:rPr>
                <w:rFonts w:hint="eastAsia" w:hAnsi="宋体"/>
                <w:bCs/>
                <w:szCs w:val="21"/>
              </w:rPr>
              <w:t>正常使用条件</w:t>
            </w:r>
          </w:p>
        </w:tc>
        <w:tc>
          <w:tcPr>
            <w:tcW w:w="1077" w:type="dxa"/>
            <w:shd w:val="clear" w:color="auto" w:fill="auto"/>
            <w:vAlign w:val="center"/>
          </w:tcPr>
          <w:p>
            <w:pPr>
              <w:pStyle w:val="122"/>
              <w:ind w:firstLine="0" w:firstLineChars="0"/>
              <w:rPr>
                <w:rFonts w:hAnsi="宋体"/>
                <w:bCs/>
                <w:szCs w:val="21"/>
              </w:rPr>
            </w:pPr>
            <w:r>
              <w:rPr>
                <w:rFonts w:hint="eastAsia" w:hAnsi="宋体"/>
                <w:bCs/>
                <w:szCs w:val="21"/>
              </w:rPr>
              <w:t>特殊使用条件</w:t>
            </w:r>
          </w:p>
        </w:tc>
        <w:tc>
          <w:tcPr>
            <w:tcW w:w="942" w:type="dxa"/>
            <w:shd w:val="clear" w:color="auto" w:fill="auto"/>
            <w:vAlign w:val="center"/>
          </w:tcPr>
          <w:p>
            <w:pPr>
              <w:pStyle w:val="122"/>
              <w:ind w:firstLine="0" w:firstLineChars="0"/>
              <w:rPr>
                <w:rFonts w:hAnsi="宋体"/>
                <w:bCs/>
                <w:szCs w:val="21"/>
              </w:rPr>
            </w:pPr>
            <w:r>
              <w:rPr>
                <w:rFonts w:hint="eastAsia" w:hAnsi="宋体"/>
                <w:bCs/>
                <w:szCs w:val="21"/>
              </w:rPr>
              <w:t>项目需求值或表述</w:t>
            </w:r>
          </w:p>
        </w:tc>
        <w:tc>
          <w:tcPr>
            <w:tcW w:w="672" w:type="dxa"/>
            <w:shd w:val="clear" w:color="auto" w:fill="auto"/>
            <w:vAlign w:val="center"/>
          </w:tcPr>
          <w:p>
            <w:pPr>
              <w:pStyle w:val="122"/>
              <w:ind w:firstLine="420"/>
              <w:rPr>
                <w:rFonts w:hAnsi="宋体"/>
                <w:bCs/>
                <w:szCs w:val="21"/>
              </w:rPr>
            </w:pPr>
            <w:r>
              <w:rPr>
                <w:rFonts w:hint="eastAsia" w:hAnsi="宋体"/>
                <w:bCs/>
                <w:szCs w:val="21"/>
              </w:rPr>
              <w:t>投标人保证值</w:t>
            </w:r>
          </w:p>
        </w:tc>
        <w:tc>
          <w:tcPr>
            <w:tcW w:w="1265" w:type="dxa"/>
            <w:shd w:val="clear" w:color="auto" w:fill="auto"/>
            <w:vAlign w:val="center"/>
          </w:tcPr>
          <w:p>
            <w:pPr>
              <w:pStyle w:val="122"/>
              <w:ind w:firstLine="0" w:firstLineChars="0"/>
              <w:rPr>
                <w:rFonts w:hAnsi="宋体"/>
                <w:bCs/>
                <w:szCs w:val="21"/>
              </w:rPr>
            </w:pPr>
            <w:r>
              <w:rPr>
                <w:rFonts w:hint="eastAsia" w:hAnsi="宋体"/>
                <w:bCs/>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center"/>
          </w:tcPr>
          <w:p>
            <w:pPr>
              <w:pStyle w:val="122"/>
              <w:ind w:firstLine="199" w:firstLineChars="95"/>
              <w:rPr>
                <w:rFonts w:hAnsi="宋体"/>
                <w:bCs/>
                <w:szCs w:val="21"/>
              </w:rPr>
            </w:pPr>
            <w:r>
              <w:rPr>
                <w:rFonts w:hint="eastAsia" w:hAnsi="宋体"/>
                <w:bCs/>
                <w:szCs w:val="21"/>
              </w:rPr>
              <w:t>1</w:t>
            </w:r>
          </w:p>
        </w:tc>
        <w:tc>
          <w:tcPr>
            <w:tcW w:w="7997" w:type="dxa"/>
            <w:gridSpan w:val="7"/>
            <w:shd w:val="clear" w:color="auto" w:fill="auto"/>
            <w:vAlign w:val="center"/>
          </w:tcPr>
          <w:p>
            <w:pPr>
              <w:pStyle w:val="122"/>
              <w:ind w:firstLine="420"/>
              <w:rPr>
                <w:rFonts w:hAnsi="宋体"/>
                <w:szCs w:val="21"/>
              </w:rPr>
            </w:pPr>
            <w:r>
              <w:rPr>
                <w:rFonts w:hint="eastAsia" w:hAnsi="宋体"/>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center"/>
          </w:tcPr>
          <w:p>
            <w:pPr>
              <w:pStyle w:val="122"/>
              <w:ind w:firstLine="0" w:firstLineChars="0"/>
              <w:rPr>
                <w:rFonts w:hAnsi="宋体"/>
                <w:szCs w:val="21"/>
              </w:rPr>
            </w:pPr>
            <w:r>
              <w:rPr>
                <w:rFonts w:hint="eastAsia" w:hAnsi="宋体"/>
                <w:szCs w:val="21"/>
              </w:rPr>
              <w:t>1.1</w:t>
            </w:r>
          </w:p>
        </w:tc>
        <w:tc>
          <w:tcPr>
            <w:tcW w:w="2023" w:type="dxa"/>
            <w:shd w:val="clear" w:color="auto" w:fill="auto"/>
            <w:vAlign w:val="center"/>
          </w:tcPr>
          <w:p>
            <w:pPr>
              <w:pStyle w:val="122"/>
              <w:ind w:firstLine="420"/>
              <w:rPr>
                <w:rFonts w:hAnsi="宋体"/>
                <w:szCs w:val="21"/>
              </w:rPr>
            </w:pPr>
            <w:r>
              <w:rPr>
                <w:rFonts w:hint="eastAsia" w:hAnsi="宋体"/>
                <w:szCs w:val="21"/>
              </w:rPr>
              <w:t>最高日温度</w:t>
            </w:r>
          </w:p>
        </w:tc>
        <w:tc>
          <w:tcPr>
            <w:tcW w:w="1078" w:type="dxa"/>
            <w:shd w:val="clear" w:color="auto" w:fill="auto"/>
            <w:vAlign w:val="center"/>
          </w:tcPr>
          <w:p>
            <w:pPr>
              <w:pStyle w:val="122"/>
              <w:ind w:firstLine="420"/>
              <w:rPr>
                <w:rFonts w:hAnsi="宋体"/>
                <w:szCs w:val="21"/>
              </w:rPr>
            </w:pPr>
            <w:r>
              <w:rPr>
                <w:rFonts w:hint="eastAsia" w:hAnsi="宋体"/>
                <w:szCs w:val="21"/>
              </w:rPr>
              <w:t>℃</w:t>
            </w:r>
          </w:p>
        </w:tc>
        <w:tc>
          <w:tcPr>
            <w:tcW w:w="940" w:type="dxa"/>
            <w:shd w:val="clear" w:color="auto" w:fill="auto"/>
            <w:vAlign w:val="center"/>
          </w:tcPr>
          <w:p>
            <w:pPr>
              <w:pStyle w:val="122"/>
              <w:ind w:firstLine="199" w:firstLineChars="95"/>
              <w:rPr>
                <w:rFonts w:hAnsi="宋体"/>
                <w:szCs w:val="21"/>
              </w:rPr>
            </w:pPr>
            <w:r>
              <w:rPr>
                <w:rFonts w:hint="eastAsia" w:hAnsi="宋体"/>
                <w:szCs w:val="21"/>
              </w:rPr>
              <w:t>4</w:t>
            </w:r>
            <w:r>
              <w:rPr>
                <w:rFonts w:hAnsi="宋体"/>
                <w:szCs w:val="21"/>
              </w:rPr>
              <w:t>0</w:t>
            </w:r>
          </w:p>
        </w:tc>
        <w:tc>
          <w:tcPr>
            <w:tcW w:w="1077" w:type="dxa"/>
            <w:shd w:val="clear" w:color="auto" w:fill="auto"/>
            <w:vAlign w:val="center"/>
          </w:tcPr>
          <w:p>
            <w:pPr>
              <w:pStyle w:val="122"/>
              <w:ind w:firstLine="420"/>
              <w:rPr>
                <w:rFonts w:hAnsi="宋体"/>
                <w:szCs w:val="21"/>
              </w:rPr>
            </w:pPr>
          </w:p>
        </w:tc>
        <w:tc>
          <w:tcPr>
            <w:tcW w:w="942" w:type="dxa"/>
            <w:shd w:val="clear" w:color="auto" w:fill="auto"/>
            <w:vAlign w:val="center"/>
          </w:tcPr>
          <w:p>
            <w:pPr>
              <w:jc w:val="center"/>
              <w:rPr>
                <w:color w:val="FF0000"/>
              </w:rPr>
            </w:pPr>
            <w:r>
              <w:rPr>
                <w:rFonts w:hint="eastAsia" w:ascii="宋体" w:hAnsi="宋体"/>
                <w:bCs/>
                <w:color w:val="00B0F0"/>
                <w:kern w:val="0"/>
                <w:szCs w:val="21"/>
              </w:rPr>
              <w:t>36.6</w:t>
            </w:r>
          </w:p>
        </w:tc>
        <w:tc>
          <w:tcPr>
            <w:tcW w:w="672" w:type="dxa"/>
            <w:shd w:val="clear" w:color="auto" w:fill="auto"/>
            <w:vAlign w:val="center"/>
          </w:tcPr>
          <w:p>
            <w:pPr>
              <w:rPr>
                <w:color w:val="FF0000"/>
              </w:rPr>
            </w:pPr>
          </w:p>
        </w:tc>
        <w:tc>
          <w:tcPr>
            <w:tcW w:w="1265" w:type="dxa"/>
            <w:shd w:val="clear" w:color="auto" w:fill="auto"/>
            <w:vAlign w:val="center"/>
          </w:tcPr>
          <w:p>
            <w:pPr>
              <w:jc w:val="center"/>
              <w:rPr>
                <w:b/>
                <w:color w:val="FF0000"/>
              </w:rPr>
            </w:pPr>
            <w:r>
              <w:rPr>
                <w:rFonts w:hint="eastAsia" w:ascii="宋体" w:hAnsi="宋体"/>
                <w:bCs/>
                <w:color w:val="00B0F0"/>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31" w:type="dxa"/>
            <w:shd w:val="clear" w:color="auto" w:fill="auto"/>
            <w:vAlign w:val="center"/>
          </w:tcPr>
          <w:p>
            <w:pPr>
              <w:pStyle w:val="122"/>
              <w:ind w:firstLine="0" w:firstLineChars="0"/>
              <w:rPr>
                <w:rFonts w:hAnsi="宋体"/>
                <w:szCs w:val="21"/>
              </w:rPr>
            </w:pPr>
            <w:r>
              <w:rPr>
                <w:rFonts w:hint="eastAsia" w:hAnsi="宋体"/>
                <w:szCs w:val="21"/>
              </w:rPr>
              <w:t>1.2</w:t>
            </w:r>
          </w:p>
        </w:tc>
        <w:tc>
          <w:tcPr>
            <w:tcW w:w="2023" w:type="dxa"/>
            <w:shd w:val="clear" w:color="auto" w:fill="auto"/>
            <w:vAlign w:val="center"/>
          </w:tcPr>
          <w:p>
            <w:pPr>
              <w:pStyle w:val="122"/>
              <w:ind w:firstLine="420"/>
              <w:rPr>
                <w:rFonts w:hAnsi="宋体"/>
                <w:szCs w:val="21"/>
              </w:rPr>
            </w:pPr>
            <w:r>
              <w:rPr>
                <w:rFonts w:hint="eastAsia" w:hAnsi="宋体"/>
                <w:szCs w:val="21"/>
              </w:rPr>
              <w:t>最低日温度</w:t>
            </w:r>
          </w:p>
        </w:tc>
        <w:tc>
          <w:tcPr>
            <w:tcW w:w="1078" w:type="dxa"/>
            <w:shd w:val="clear" w:color="auto" w:fill="auto"/>
            <w:vAlign w:val="bottom"/>
          </w:tcPr>
          <w:p>
            <w:pPr>
              <w:pStyle w:val="122"/>
              <w:ind w:firstLine="420"/>
              <w:rPr>
                <w:rFonts w:hAnsi="宋体"/>
                <w:szCs w:val="21"/>
              </w:rPr>
            </w:pPr>
            <w:r>
              <w:rPr>
                <w:rFonts w:hint="eastAsia" w:hAnsi="宋体"/>
                <w:szCs w:val="21"/>
              </w:rPr>
              <w:t>℃</w:t>
            </w:r>
          </w:p>
        </w:tc>
        <w:tc>
          <w:tcPr>
            <w:tcW w:w="940" w:type="dxa"/>
            <w:shd w:val="clear" w:color="auto" w:fill="auto"/>
            <w:vAlign w:val="bottom"/>
          </w:tcPr>
          <w:p>
            <w:pPr>
              <w:pStyle w:val="122"/>
              <w:ind w:firstLine="0" w:firstLineChars="0"/>
              <w:rPr>
                <w:rFonts w:hAnsi="宋体"/>
                <w:szCs w:val="21"/>
              </w:rPr>
            </w:pPr>
            <w:r>
              <w:rPr>
                <w:rFonts w:hint="eastAsia" w:hAnsi="宋体"/>
                <w:szCs w:val="21"/>
              </w:rPr>
              <w:t>-</w:t>
            </w:r>
            <w:r>
              <w:rPr>
                <w:rFonts w:hAnsi="宋体"/>
                <w:szCs w:val="21"/>
              </w:rPr>
              <w:t>10</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jc w:val="center"/>
              <w:rPr>
                <w:color w:val="FF0000"/>
              </w:rPr>
            </w:pPr>
            <w:r>
              <w:rPr>
                <w:rFonts w:hint="eastAsia" w:ascii="宋体" w:hAnsi="宋体"/>
                <w:bCs/>
                <w:color w:val="00B0F0"/>
                <w:kern w:val="0"/>
                <w:szCs w:val="21"/>
              </w:rPr>
              <w:t>-3.2</w:t>
            </w:r>
          </w:p>
        </w:tc>
        <w:tc>
          <w:tcPr>
            <w:tcW w:w="672" w:type="dxa"/>
            <w:shd w:val="clear" w:color="auto" w:fill="auto"/>
            <w:vAlign w:val="center"/>
          </w:tcPr>
          <w:p>
            <w:pPr>
              <w:rPr>
                <w:color w:val="FF0000"/>
              </w:rPr>
            </w:pPr>
          </w:p>
        </w:tc>
        <w:tc>
          <w:tcPr>
            <w:tcW w:w="1265" w:type="dxa"/>
            <w:shd w:val="clear" w:color="auto" w:fill="auto"/>
            <w:vAlign w:val="center"/>
          </w:tcPr>
          <w:p>
            <w:pPr>
              <w:jc w:val="center"/>
              <w:rPr>
                <w:color w:val="FF0000"/>
              </w:rPr>
            </w:pPr>
            <w:r>
              <w:rPr>
                <w:rFonts w:hint="eastAsia" w:ascii="宋体" w:hAnsi="宋体"/>
                <w:bCs/>
                <w:color w:val="00B0F0"/>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center"/>
          </w:tcPr>
          <w:p>
            <w:pPr>
              <w:pStyle w:val="122"/>
              <w:ind w:firstLine="0" w:firstLineChars="0"/>
              <w:rPr>
                <w:rFonts w:hAnsi="宋体"/>
                <w:szCs w:val="21"/>
              </w:rPr>
            </w:pPr>
            <w:r>
              <w:rPr>
                <w:rFonts w:hint="eastAsia" w:hAnsi="宋体"/>
                <w:szCs w:val="21"/>
              </w:rPr>
              <w:t>1.3</w:t>
            </w:r>
          </w:p>
        </w:tc>
        <w:tc>
          <w:tcPr>
            <w:tcW w:w="2023" w:type="dxa"/>
            <w:shd w:val="clear" w:color="auto" w:fill="auto"/>
            <w:vAlign w:val="center"/>
          </w:tcPr>
          <w:p>
            <w:pPr>
              <w:pStyle w:val="122"/>
              <w:ind w:firstLine="420"/>
              <w:rPr>
                <w:rFonts w:hAnsi="宋体"/>
                <w:szCs w:val="21"/>
              </w:rPr>
            </w:pPr>
            <w:r>
              <w:rPr>
                <w:rFonts w:hint="eastAsia" w:hAnsi="宋体"/>
                <w:szCs w:val="21"/>
              </w:rPr>
              <w:t>最大日温差</w:t>
            </w:r>
          </w:p>
        </w:tc>
        <w:tc>
          <w:tcPr>
            <w:tcW w:w="1078" w:type="dxa"/>
            <w:shd w:val="clear" w:color="auto" w:fill="auto"/>
            <w:vAlign w:val="bottom"/>
          </w:tcPr>
          <w:p>
            <w:pPr>
              <w:pStyle w:val="122"/>
              <w:ind w:firstLine="420"/>
              <w:rPr>
                <w:rFonts w:hAnsi="宋体"/>
                <w:szCs w:val="21"/>
              </w:rPr>
            </w:pPr>
            <w:r>
              <w:rPr>
                <w:rFonts w:hint="eastAsia" w:hAnsi="宋体"/>
                <w:szCs w:val="21"/>
              </w:rPr>
              <w:t>℃</w:t>
            </w:r>
          </w:p>
        </w:tc>
        <w:tc>
          <w:tcPr>
            <w:tcW w:w="940" w:type="dxa"/>
            <w:shd w:val="clear" w:color="auto" w:fill="auto"/>
            <w:vAlign w:val="bottom"/>
          </w:tcPr>
          <w:p>
            <w:pPr>
              <w:pStyle w:val="122"/>
              <w:ind w:firstLine="199" w:firstLineChars="95"/>
              <w:rPr>
                <w:rFonts w:hAnsi="宋体"/>
                <w:szCs w:val="21"/>
              </w:rPr>
            </w:pPr>
            <w:r>
              <w:rPr>
                <w:rFonts w:hint="eastAsia" w:hAnsi="宋体"/>
                <w:szCs w:val="21"/>
              </w:rPr>
              <w:t>2</w:t>
            </w:r>
            <w:r>
              <w:rPr>
                <w:rFonts w:hAnsi="宋体"/>
                <w:szCs w:val="21"/>
              </w:rPr>
              <w:t>5</w:t>
            </w:r>
          </w:p>
        </w:tc>
        <w:tc>
          <w:tcPr>
            <w:tcW w:w="1077" w:type="dxa"/>
            <w:shd w:val="clear" w:color="auto" w:fill="auto"/>
            <w:vAlign w:val="bottom"/>
          </w:tcPr>
          <w:p>
            <w:pPr>
              <w:pStyle w:val="122"/>
              <w:ind w:firstLine="199" w:firstLineChars="95"/>
              <w:rPr>
                <w:rFonts w:hAnsi="宋体"/>
                <w:szCs w:val="21"/>
              </w:rPr>
            </w:pPr>
            <w:r>
              <w:rPr>
                <w:rFonts w:hint="eastAsia" w:hAnsi="宋体"/>
                <w:color w:val="FF0000"/>
                <w:szCs w:val="21"/>
              </w:rPr>
              <w:t>＞2</w:t>
            </w:r>
            <w:r>
              <w:rPr>
                <w:rFonts w:hAnsi="宋体"/>
                <w:color w:val="FF0000"/>
                <w:szCs w:val="21"/>
              </w:rPr>
              <w:t>5</w:t>
            </w:r>
          </w:p>
        </w:tc>
        <w:tc>
          <w:tcPr>
            <w:tcW w:w="942" w:type="dxa"/>
            <w:shd w:val="clear" w:color="auto" w:fill="auto"/>
            <w:vAlign w:val="center"/>
          </w:tcPr>
          <w:p>
            <w:pPr>
              <w:jc w:val="center"/>
              <w:rPr>
                <w:color w:val="FF0000"/>
              </w:rPr>
            </w:pPr>
            <w:r>
              <w:rPr>
                <w:rFonts w:hint="eastAsia" w:ascii="宋体" w:hAnsi="宋体"/>
                <w:bCs/>
                <w:color w:val="00B0F0"/>
                <w:kern w:val="0"/>
                <w:szCs w:val="21"/>
              </w:rPr>
              <w:t>27.1</w:t>
            </w:r>
          </w:p>
        </w:tc>
        <w:tc>
          <w:tcPr>
            <w:tcW w:w="672" w:type="dxa"/>
            <w:shd w:val="clear" w:color="auto" w:fill="auto"/>
            <w:vAlign w:val="center"/>
          </w:tcPr>
          <w:p>
            <w:pPr>
              <w:rPr>
                <w:color w:val="FF0000"/>
              </w:rPr>
            </w:pPr>
          </w:p>
        </w:tc>
        <w:tc>
          <w:tcPr>
            <w:tcW w:w="1265" w:type="dxa"/>
            <w:shd w:val="clear" w:color="auto" w:fill="auto"/>
            <w:vAlign w:val="center"/>
          </w:tcPr>
          <w:p>
            <w:pPr>
              <w:jc w:val="center"/>
              <w:rPr>
                <w:color w:val="FF0000"/>
              </w:rPr>
            </w:pPr>
            <w:r>
              <w:rPr>
                <w:rFonts w:hint="eastAsia" w:ascii="宋体" w:hAnsi="宋体"/>
                <w:bCs/>
                <w:color w:val="00B0F0"/>
                <w:kern w:val="0"/>
                <w:szCs w:val="21"/>
              </w:rPr>
              <w:t>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31" w:type="dxa"/>
            <w:shd w:val="clear" w:color="auto" w:fill="auto"/>
            <w:vAlign w:val="center"/>
          </w:tcPr>
          <w:p>
            <w:pPr>
              <w:pStyle w:val="122"/>
              <w:ind w:firstLine="0" w:firstLineChars="0"/>
              <w:rPr>
                <w:rFonts w:hAnsi="宋体"/>
                <w:szCs w:val="21"/>
              </w:rPr>
            </w:pPr>
            <w:r>
              <w:rPr>
                <w:rFonts w:hint="eastAsia" w:hAnsi="宋体"/>
                <w:szCs w:val="21"/>
              </w:rPr>
              <w:t>1.4</w:t>
            </w:r>
          </w:p>
        </w:tc>
        <w:tc>
          <w:tcPr>
            <w:tcW w:w="2023" w:type="dxa"/>
            <w:shd w:val="clear" w:color="auto" w:fill="auto"/>
            <w:vAlign w:val="center"/>
          </w:tcPr>
          <w:p>
            <w:pPr>
              <w:pStyle w:val="122"/>
              <w:ind w:firstLine="420"/>
              <w:rPr>
                <w:rFonts w:hAnsi="宋体"/>
                <w:szCs w:val="21"/>
              </w:rPr>
            </w:pPr>
            <w:r>
              <w:rPr>
                <w:rFonts w:hint="eastAsia" w:hAnsi="宋体"/>
                <w:szCs w:val="21"/>
              </w:rPr>
              <w:t>年平均温度</w:t>
            </w:r>
          </w:p>
        </w:tc>
        <w:tc>
          <w:tcPr>
            <w:tcW w:w="1078" w:type="dxa"/>
            <w:shd w:val="clear" w:color="auto" w:fill="auto"/>
            <w:vAlign w:val="bottom"/>
          </w:tcPr>
          <w:p>
            <w:pPr>
              <w:pStyle w:val="122"/>
              <w:ind w:firstLine="420"/>
              <w:rPr>
                <w:rFonts w:hAnsi="宋体"/>
                <w:szCs w:val="21"/>
              </w:rPr>
            </w:pPr>
            <w:r>
              <w:rPr>
                <w:rFonts w:hint="eastAsia" w:hAnsi="宋体"/>
                <w:szCs w:val="21"/>
              </w:rPr>
              <w:t>℃</w:t>
            </w:r>
          </w:p>
        </w:tc>
        <w:tc>
          <w:tcPr>
            <w:tcW w:w="940" w:type="dxa"/>
            <w:shd w:val="clear" w:color="auto" w:fill="auto"/>
            <w:vAlign w:val="bottom"/>
          </w:tcPr>
          <w:p>
            <w:pPr>
              <w:pStyle w:val="122"/>
              <w:ind w:firstLine="0" w:firstLineChars="0"/>
              <w:rPr>
                <w:rFonts w:hAnsi="宋体"/>
                <w:szCs w:val="21"/>
              </w:rPr>
            </w:pPr>
            <w:r>
              <w:rPr>
                <w:rFonts w:hint="eastAsia" w:hAnsi="宋体"/>
                <w:szCs w:val="21"/>
              </w:rPr>
              <w:t>≤</w:t>
            </w:r>
            <w:r>
              <w:rPr>
                <w:rFonts w:hAnsi="宋体"/>
                <w:szCs w:val="21"/>
              </w:rPr>
              <w:t>35</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jc w:val="center"/>
              <w:rPr>
                <w:color w:val="FF0000"/>
              </w:rPr>
            </w:pPr>
            <w:r>
              <w:rPr>
                <w:rFonts w:hint="eastAsia" w:ascii="宋体" w:hAnsi="宋体"/>
                <w:bCs/>
                <w:color w:val="00B0F0"/>
                <w:kern w:val="0"/>
                <w:szCs w:val="21"/>
              </w:rPr>
              <w:t>19.1</w:t>
            </w:r>
          </w:p>
        </w:tc>
        <w:tc>
          <w:tcPr>
            <w:tcW w:w="672" w:type="dxa"/>
            <w:shd w:val="clear" w:color="auto" w:fill="auto"/>
            <w:vAlign w:val="center"/>
          </w:tcPr>
          <w:p>
            <w:pPr>
              <w:rPr>
                <w:color w:val="FF0000"/>
              </w:rPr>
            </w:pPr>
          </w:p>
        </w:tc>
        <w:tc>
          <w:tcPr>
            <w:tcW w:w="1265" w:type="dxa"/>
            <w:shd w:val="clear" w:color="auto" w:fill="auto"/>
            <w:vAlign w:val="center"/>
          </w:tcPr>
          <w:p>
            <w:pPr>
              <w:jc w:val="center"/>
              <w:rPr>
                <w:color w:val="FF0000"/>
              </w:rPr>
            </w:pPr>
            <w:r>
              <w:rPr>
                <w:rFonts w:hint="eastAsia" w:ascii="宋体" w:hAnsi="宋体"/>
                <w:bCs/>
                <w:color w:val="00B0F0"/>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199" w:firstLineChars="95"/>
              <w:rPr>
                <w:rFonts w:hAnsi="宋体"/>
                <w:szCs w:val="21"/>
              </w:rPr>
            </w:pPr>
            <w:r>
              <w:rPr>
                <w:rFonts w:hAnsi="宋体"/>
                <w:szCs w:val="21"/>
              </w:rPr>
              <w:t>2</w:t>
            </w:r>
          </w:p>
        </w:tc>
        <w:tc>
          <w:tcPr>
            <w:tcW w:w="2023" w:type="dxa"/>
            <w:shd w:val="clear" w:color="auto" w:fill="auto"/>
            <w:vAlign w:val="bottom"/>
          </w:tcPr>
          <w:p>
            <w:pPr>
              <w:pStyle w:val="122"/>
              <w:ind w:firstLine="0" w:firstLineChars="0"/>
              <w:jc w:val="center"/>
              <w:rPr>
                <w:rFonts w:hAnsi="宋体"/>
                <w:szCs w:val="21"/>
              </w:rPr>
            </w:pPr>
            <w:r>
              <w:rPr>
                <w:rFonts w:hint="eastAsia" w:hAnsi="宋体"/>
                <w:szCs w:val="21"/>
              </w:rPr>
              <w:t>海拔</w:t>
            </w:r>
          </w:p>
        </w:tc>
        <w:tc>
          <w:tcPr>
            <w:tcW w:w="1078" w:type="dxa"/>
            <w:shd w:val="clear" w:color="auto" w:fill="auto"/>
            <w:vAlign w:val="bottom"/>
          </w:tcPr>
          <w:p>
            <w:pPr>
              <w:pStyle w:val="122"/>
              <w:ind w:firstLine="420"/>
              <w:rPr>
                <w:rFonts w:hAnsi="宋体"/>
                <w:szCs w:val="21"/>
              </w:rPr>
            </w:pPr>
            <w:r>
              <w:rPr>
                <w:rFonts w:hint="eastAsia" w:hAnsi="宋体"/>
                <w:szCs w:val="21"/>
              </w:rPr>
              <w:t>m</w:t>
            </w:r>
          </w:p>
        </w:tc>
        <w:tc>
          <w:tcPr>
            <w:tcW w:w="940" w:type="dxa"/>
            <w:shd w:val="clear" w:color="auto" w:fill="auto"/>
            <w:vAlign w:val="bottom"/>
          </w:tcPr>
          <w:p>
            <w:pPr>
              <w:pStyle w:val="122"/>
              <w:ind w:firstLine="0" w:firstLineChars="0"/>
              <w:rPr>
                <w:rFonts w:hAnsi="宋体"/>
                <w:szCs w:val="21"/>
              </w:rPr>
            </w:pPr>
            <w:r>
              <w:rPr>
                <w:rFonts w:hint="eastAsia" w:hAnsi="宋体"/>
                <w:szCs w:val="21"/>
              </w:rPr>
              <w:t>≤</w:t>
            </w:r>
            <w:r>
              <w:rPr>
                <w:rFonts w:hAnsi="宋体"/>
                <w:szCs w:val="21"/>
              </w:rPr>
              <w:t>1000</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bCs/>
                <w:color w:val="0070C0"/>
                <w:kern w:val="0"/>
                <w:szCs w:val="21"/>
              </w:rPr>
              <w:t>630</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ascii="宋体" w:hAnsi="宋体"/>
                <w:bCs/>
                <w:color w:val="0070C0"/>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31" w:type="dxa"/>
            <w:shd w:val="clear" w:color="auto" w:fill="auto"/>
            <w:vAlign w:val="bottom"/>
          </w:tcPr>
          <w:p>
            <w:pPr>
              <w:pStyle w:val="122"/>
              <w:ind w:firstLine="199" w:firstLineChars="95"/>
              <w:rPr>
                <w:rFonts w:hAnsi="宋体"/>
                <w:szCs w:val="21"/>
              </w:rPr>
            </w:pPr>
            <w:r>
              <w:rPr>
                <w:rFonts w:hAnsi="宋体"/>
                <w:szCs w:val="21"/>
              </w:rPr>
              <w:t>3</w:t>
            </w:r>
          </w:p>
        </w:tc>
        <w:tc>
          <w:tcPr>
            <w:tcW w:w="2023" w:type="dxa"/>
            <w:shd w:val="clear" w:color="auto" w:fill="auto"/>
            <w:vAlign w:val="bottom"/>
          </w:tcPr>
          <w:p>
            <w:pPr>
              <w:pStyle w:val="122"/>
              <w:ind w:firstLine="420"/>
              <w:rPr>
                <w:rFonts w:hAnsi="宋体"/>
                <w:szCs w:val="21"/>
              </w:rPr>
            </w:pPr>
            <w:r>
              <w:rPr>
                <w:rFonts w:hint="eastAsia" w:hAnsi="宋体"/>
                <w:szCs w:val="21"/>
              </w:rPr>
              <w:t>太阳辐射强度</w:t>
            </w:r>
          </w:p>
        </w:tc>
        <w:tc>
          <w:tcPr>
            <w:tcW w:w="1078" w:type="dxa"/>
            <w:shd w:val="clear" w:color="auto" w:fill="auto"/>
            <w:vAlign w:val="bottom"/>
          </w:tcPr>
          <w:p>
            <w:pPr>
              <w:pStyle w:val="122"/>
              <w:ind w:firstLine="420"/>
              <w:rPr>
                <w:rFonts w:hAnsi="宋体"/>
                <w:szCs w:val="21"/>
              </w:rPr>
            </w:pPr>
            <w:r>
              <w:rPr>
                <w:rFonts w:hint="eastAsia" w:hAnsi="宋体"/>
                <w:szCs w:val="21"/>
              </w:rPr>
              <w:t>W/cm2</w:t>
            </w:r>
          </w:p>
        </w:tc>
        <w:tc>
          <w:tcPr>
            <w:tcW w:w="940" w:type="dxa"/>
            <w:shd w:val="clear" w:color="auto" w:fill="auto"/>
            <w:vAlign w:val="bottom"/>
          </w:tcPr>
          <w:p>
            <w:pPr>
              <w:pStyle w:val="122"/>
              <w:ind w:firstLine="0" w:firstLineChars="0"/>
              <w:rPr>
                <w:rFonts w:hAnsi="宋体"/>
                <w:szCs w:val="21"/>
              </w:rPr>
            </w:pPr>
            <w:r>
              <w:rPr>
                <w:rFonts w:hAnsi="宋体"/>
                <w:szCs w:val="21"/>
              </w:rPr>
              <w:t>0.1</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color w:val="0070C0"/>
                <w:kern w:val="0"/>
                <w:szCs w:val="21"/>
              </w:rPr>
              <w:t>1000</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color w:val="0070C0"/>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199" w:firstLineChars="95"/>
              <w:rPr>
                <w:rFonts w:hAnsi="宋体"/>
                <w:szCs w:val="21"/>
              </w:rPr>
            </w:pPr>
            <w:r>
              <w:rPr>
                <w:rFonts w:hAnsi="宋体"/>
                <w:szCs w:val="21"/>
              </w:rPr>
              <w:t>4</w:t>
            </w:r>
          </w:p>
        </w:tc>
        <w:tc>
          <w:tcPr>
            <w:tcW w:w="2023" w:type="dxa"/>
            <w:shd w:val="clear" w:color="auto" w:fill="auto"/>
            <w:vAlign w:val="bottom"/>
          </w:tcPr>
          <w:p>
            <w:pPr>
              <w:pStyle w:val="122"/>
              <w:ind w:firstLine="420"/>
              <w:rPr>
                <w:rFonts w:hAnsi="宋体"/>
                <w:szCs w:val="21"/>
              </w:rPr>
            </w:pPr>
            <w:r>
              <w:rPr>
                <w:rFonts w:hint="eastAsia" w:hAnsi="宋体"/>
                <w:szCs w:val="21"/>
              </w:rPr>
              <w:t>污秽等级</w:t>
            </w:r>
          </w:p>
        </w:tc>
        <w:tc>
          <w:tcPr>
            <w:tcW w:w="1078" w:type="dxa"/>
            <w:shd w:val="clear" w:color="auto" w:fill="auto"/>
            <w:vAlign w:val="bottom"/>
          </w:tcPr>
          <w:p>
            <w:pPr>
              <w:pStyle w:val="122"/>
              <w:ind w:firstLine="420"/>
              <w:rPr>
                <w:rFonts w:hAnsi="宋体"/>
                <w:szCs w:val="21"/>
              </w:rPr>
            </w:pPr>
            <w:r>
              <w:rPr>
                <w:rFonts w:hint="eastAsia" w:hAnsi="宋体"/>
                <w:szCs w:val="21"/>
              </w:rPr>
              <w:t> </w:t>
            </w:r>
          </w:p>
        </w:tc>
        <w:tc>
          <w:tcPr>
            <w:tcW w:w="940" w:type="dxa"/>
            <w:shd w:val="clear" w:color="auto" w:fill="auto"/>
            <w:vAlign w:val="bottom"/>
          </w:tcPr>
          <w:p>
            <w:pPr>
              <w:pStyle w:val="122"/>
              <w:ind w:firstLine="0" w:firstLineChars="0"/>
              <w:rPr>
                <w:rFonts w:hAnsi="宋体"/>
                <w:szCs w:val="21"/>
              </w:rPr>
            </w:pPr>
            <w:r>
              <w:rPr>
                <w:rFonts w:hint="eastAsia" w:hAnsi="宋体"/>
                <w:szCs w:val="21"/>
              </w:rPr>
              <w:t>e级</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color w:val="0070C0"/>
                <w:kern w:val="0"/>
                <w:szCs w:val="21"/>
              </w:rPr>
              <w:t>e</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color w:val="0070C0"/>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199" w:firstLineChars="95"/>
              <w:rPr>
                <w:rFonts w:hAnsi="宋体"/>
                <w:szCs w:val="21"/>
              </w:rPr>
            </w:pPr>
            <w:r>
              <w:rPr>
                <w:rFonts w:hAnsi="宋体"/>
                <w:szCs w:val="21"/>
              </w:rPr>
              <w:t>5</w:t>
            </w:r>
          </w:p>
        </w:tc>
        <w:tc>
          <w:tcPr>
            <w:tcW w:w="2023" w:type="dxa"/>
            <w:shd w:val="clear" w:color="auto" w:fill="auto"/>
            <w:vAlign w:val="bottom"/>
          </w:tcPr>
          <w:p>
            <w:pPr>
              <w:pStyle w:val="122"/>
              <w:ind w:firstLine="420"/>
              <w:rPr>
                <w:rFonts w:hAnsi="宋体"/>
                <w:szCs w:val="21"/>
              </w:rPr>
            </w:pPr>
            <w:r>
              <w:rPr>
                <w:rFonts w:hint="eastAsia" w:hAnsi="宋体"/>
                <w:szCs w:val="21"/>
              </w:rPr>
              <w:t>覆冰厚度</w:t>
            </w:r>
          </w:p>
        </w:tc>
        <w:tc>
          <w:tcPr>
            <w:tcW w:w="1078" w:type="dxa"/>
            <w:shd w:val="clear" w:color="auto" w:fill="auto"/>
            <w:vAlign w:val="bottom"/>
          </w:tcPr>
          <w:p>
            <w:pPr>
              <w:pStyle w:val="122"/>
              <w:ind w:firstLine="420"/>
              <w:rPr>
                <w:rFonts w:hAnsi="宋体"/>
                <w:szCs w:val="21"/>
              </w:rPr>
            </w:pPr>
            <w:r>
              <w:rPr>
                <w:rFonts w:hint="eastAsia" w:hAnsi="宋体"/>
                <w:szCs w:val="21"/>
              </w:rPr>
              <w:t>mm</w:t>
            </w:r>
          </w:p>
        </w:tc>
        <w:tc>
          <w:tcPr>
            <w:tcW w:w="940" w:type="dxa"/>
            <w:shd w:val="clear" w:color="auto" w:fill="auto"/>
            <w:vAlign w:val="bottom"/>
          </w:tcPr>
          <w:p>
            <w:pPr>
              <w:pStyle w:val="122"/>
              <w:ind w:firstLine="199" w:firstLineChars="95"/>
              <w:rPr>
                <w:rFonts w:hAnsi="宋体"/>
                <w:szCs w:val="21"/>
              </w:rPr>
            </w:pPr>
            <w:r>
              <w:rPr>
                <w:rFonts w:hint="eastAsia" w:hAnsi="宋体"/>
                <w:szCs w:val="21"/>
              </w:rPr>
              <w:t>10</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color w:val="0070C0"/>
                <w:kern w:val="0"/>
                <w:szCs w:val="21"/>
              </w:rPr>
              <w:t>5</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color w:val="0070C0"/>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199" w:firstLineChars="95"/>
              <w:rPr>
                <w:rFonts w:hAnsi="宋体"/>
                <w:szCs w:val="21"/>
              </w:rPr>
            </w:pPr>
            <w:r>
              <w:rPr>
                <w:rFonts w:hAnsi="宋体"/>
                <w:szCs w:val="21"/>
              </w:rPr>
              <w:t>6</w:t>
            </w:r>
          </w:p>
        </w:tc>
        <w:tc>
          <w:tcPr>
            <w:tcW w:w="2023" w:type="dxa"/>
            <w:shd w:val="clear" w:color="auto" w:fill="auto"/>
            <w:vAlign w:val="bottom"/>
          </w:tcPr>
          <w:p>
            <w:pPr>
              <w:pStyle w:val="122"/>
              <w:ind w:firstLine="420"/>
              <w:rPr>
                <w:rFonts w:hAnsi="宋体"/>
                <w:szCs w:val="21"/>
              </w:rPr>
            </w:pPr>
            <w:r>
              <w:rPr>
                <w:rFonts w:hint="eastAsia" w:hAnsi="宋体"/>
                <w:szCs w:val="21"/>
              </w:rPr>
              <w:t>风速</w:t>
            </w:r>
          </w:p>
        </w:tc>
        <w:tc>
          <w:tcPr>
            <w:tcW w:w="1078" w:type="dxa"/>
            <w:shd w:val="clear" w:color="auto" w:fill="auto"/>
            <w:vAlign w:val="bottom"/>
          </w:tcPr>
          <w:p>
            <w:pPr>
              <w:pStyle w:val="122"/>
              <w:ind w:firstLine="420"/>
              <w:rPr>
                <w:rFonts w:hAnsi="宋体"/>
                <w:szCs w:val="21"/>
              </w:rPr>
            </w:pPr>
            <w:r>
              <w:rPr>
                <w:rFonts w:hint="eastAsia" w:hAnsi="宋体"/>
                <w:szCs w:val="21"/>
              </w:rPr>
              <w:t>m/s</w:t>
            </w:r>
          </w:p>
        </w:tc>
        <w:tc>
          <w:tcPr>
            <w:tcW w:w="940" w:type="dxa"/>
            <w:shd w:val="clear" w:color="auto" w:fill="auto"/>
            <w:vAlign w:val="bottom"/>
          </w:tcPr>
          <w:p>
            <w:pPr>
              <w:pStyle w:val="122"/>
              <w:ind w:firstLine="199" w:firstLineChars="95"/>
              <w:rPr>
                <w:rFonts w:hAnsi="宋体"/>
                <w:szCs w:val="21"/>
              </w:rPr>
            </w:pPr>
            <w:r>
              <w:rPr>
                <w:rFonts w:hint="eastAsia" w:hAnsi="宋体"/>
                <w:szCs w:val="21"/>
              </w:rPr>
              <w:t>35</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color w:val="0070C0"/>
                <w:kern w:val="0"/>
                <w:szCs w:val="21"/>
              </w:rPr>
              <w:t>2</w:t>
            </w:r>
            <w:r>
              <w:rPr>
                <w:rFonts w:ascii="宋体" w:hAnsi="宋体"/>
                <w:color w:val="0070C0"/>
                <w:kern w:val="0"/>
                <w:szCs w:val="21"/>
              </w:rPr>
              <w:t>7</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color w:val="0070C0"/>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199" w:firstLineChars="95"/>
              <w:rPr>
                <w:rFonts w:hAnsi="宋体"/>
                <w:szCs w:val="21"/>
              </w:rPr>
            </w:pPr>
            <w:r>
              <w:rPr>
                <w:rFonts w:hAnsi="宋体"/>
                <w:szCs w:val="21"/>
              </w:rPr>
              <w:t>7</w:t>
            </w:r>
          </w:p>
        </w:tc>
        <w:tc>
          <w:tcPr>
            <w:tcW w:w="2023" w:type="dxa"/>
            <w:shd w:val="clear" w:color="auto" w:fill="auto"/>
            <w:vAlign w:val="bottom"/>
          </w:tcPr>
          <w:p>
            <w:pPr>
              <w:pStyle w:val="122"/>
              <w:ind w:firstLine="420"/>
              <w:rPr>
                <w:rFonts w:hAnsi="宋体"/>
                <w:szCs w:val="21"/>
              </w:rPr>
            </w:pPr>
            <w:r>
              <w:rPr>
                <w:rFonts w:hAnsi="宋体"/>
                <w:szCs w:val="21"/>
              </w:rPr>
              <w:t>相对湿度</w:t>
            </w:r>
          </w:p>
        </w:tc>
        <w:tc>
          <w:tcPr>
            <w:tcW w:w="1078" w:type="dxa"/>
            <w:shd w:val="clear" w:color="auto" w:fill="auto"/>
            <w:vAlign w:val="bottom"/>
          </w:tcPr>
          <w:p>
            <w:pPr>
              <w:pStyle w:val="122"/>
              <w:ind w:firstLine="420"/>
              <w:rPr>
                <w:rFonts w:hAnsi="宋体"/>
                <w:szCs w:val="21"/>
              </w:rPr>
            </w:pPr>
          </w:p>
        </w:tc>
        <w:tc>
          <w:tcPr>
            <w:tcW w:w="940" w:type="dxa"/>
            <w:shd w:val="clear" w:color="auto" w:fill="auto"/>
            <w:vAlign w:val="bottom"/>
          </w:tcPr>
          <w:p>
            <w:pPr>
              <w:pStyle w:val="122"/>
              <w:ind w:firstLine="0" w:firstLineChars="0"/>
              <w:rPr>
                <w:rFonts w:hAnsi="宋体"/>
                <w:szCs w:val="21"/>
              </w:rPr>
            </w:pPr>
            <w:r>
              <w:rPr>
                <w:rFonts w:hint="eastAsia" w:hAnsi="宋体"/>
                <w:szCs w:val="21"/>
              </w:rPr>
              <w:t>≤100</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color w:val="0070C0"/>
                <w:kern w:val="0"/>
                <w:szCs w:val="21"/>
              </w:rPr>
              <w:t>1</w:t>
            </w:r>
            <w:r>
              <w:rPr>
                <w:rFonts w:ascii="宋体" w:hAnsi="宋体"/>
                <w:color w:val="0070C0"/>
                <w:kern w:val="0"/>
                <w:szCs w:val="21"/>
              </w:rPr>
              <w:t>00</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color w:val="0070C0"/>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7.1</w:t>
            </w:r>
          </w:p>
        </w:tc>
        <w:tc>
          <w:tcPr>
            <w:tcW w:w="2023" w:type="dxa"/>
            <w:shd w:val="clear" w:color="auto" w:fill="auto"/>
            <w:vAlign w:val="bottom"/>
          </w:tcPr>
          <w:p>
            <w:pPr>
              <w:pStyle w:val="122"/>
              <w:ind w:firstLine="0" w:firstLineChars="0"/>
              <w:rPr>
                <w:rFonts w:hAnsi="宋体"/>
                <w:szCs w:val="21"/>
              </w:rPr>
            </w:pPr>
            <w:r>
              <w:rPr>
                <w:rFonts w:hint="eastAsia" w:hAnsi="宋体"/>
                <w:szCs w:val="21"/>
              </w:rPr>
              <w:t>最大日相对湿度</w:t>
            </w:r>
          </w:p>
        </w:tc>
        <w:tc>
          <w:tcPr>
            <w:tcW w:w="1078" w:type="dxa"/>
            <w:shd w:val="clear" w:color="auto" w:fill="auto"/>
            <w:vAlign w:val="bottom"/>
          </w:tcPr>
          <w:p>
            <w:pPr>
              <w:pStyle w:val="122"/>
              <w:ind w:firstLine="420"/>
              <w:rPr>
                <w:rFonts w:hAnsi="宋体"/>
                <w:szCs w:val="21"/>
              </w:rPr>
            </w:pPr>
            <w:r>
              <w:rPr>
                <w:rFonts w:hint="eastAsia" w:hAnsi="宋体"/>
                <w:szCs w:val="21"/>
              </w:rPr>
              <w:t>%</w:t>
            </w:r>
          </w:p>
        </w:tc>
        <w:tc>
          <w:tcPr>
            <w:tcW w:w="940" w:type="dxa"/>
            <w:shd w:val="clear" w:color="auto" w:fill="auto"/>
            <w:vAlign w:val="bottom"/>
          </w:tcPr>
          <w:p>
            <w:pPr>
              <w:pStyle w:val="122"/>
              <w:ind w:firstLine="0" w:firstLineChars="0"/>
              <w:rPr>
                <w:rFonts w:hAnsi="宋体"/>
                <w:szCs w:val="21"/>
              </w:rPr>
            </w:pPr>
            <w:r>
              <w:rPr>
                <w:rFonts w:hint="eastAsia" w:hAnsi="宋体"/>
                <w:szCs w:val="21"/>
              </w:rPr>
              <w:t>≤100</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color w:val="0070C0"/>
                <w:kern w:val="0"/>
                <w:szCs w:val="21"/>
              </w:rPr>
              <w:t>1</w:t>
            </w:r>
            <w:r>
              <w:rPr>
                <w:rFonts w:ascii="宋体" w:hAnsi="宋体"/>
                <w:color w:val="0070C0"/>
                <w:kern w:val="0"/>
                <w:szCs w:val="21"/>
              </w:rPr>
              <w:t>00</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color w:val="0070C0"/>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7.2</w:t>
            </w:r>
          </w:p>
        </w:tc>
        <w:tc>
          <w:tcPr>
            <w:tcW w:w="2023" w:type="dxa"/>
            <w:shd w:val="clear" w:color="auto" w:fill="auto"/>
            <w:vAlign w:val="bottom"/>
          </w:tcPr>
          <w:p>
            <w:pPr>
              <w:pStyle w:val="122"/>
              <w:ind w:firstLine="0" w:firstLineChars="0"/>
              <w:rPr>
                <w:rFonts w:hAnsi="宋体"/>
                <w:szCs w:val="21"/>
              </w:rPr>
            </w:pPr>
            <w:r>
              <w:rPr>
                <w:rFonts w:hint="eastAsia" w:hAnsi="宋体"/>
                <w:szCs w:val="21"/>
              </w:rPr>
              <w:t>最大月平均相对湿度</w:t>
            </w:r>
          </w:p>
        </w:tc>
        <w:tc>
          <w:tcPr>
            <w:tcW w:w="1078" w:type="dxa"/>
            <w:shd w:val="clear" w:color="auto" w:fill="auto"/>
            <w:vAlign w:val="bottom"/>
          </w:tcPr>
          <w:p>
            <w:pPr>
              <w:pStyle w:val="122"/>
              <w:ind w:firstLine="420"/>
              <w:rPr>
                <w:rFonts w:hAnsi="宋体"/>
                <w:szCs w:val="21"/>
              </w:rPr>
            </w:pPr>
            <w:r>
              <w:rPr>
                <w:rFonts w:hint="eastAsia" w:hAnsi="宋体"/>
                <w:szCs w:val="21"/>
              </w:rPr>
              <w:t>%</w:t>
            </w:r>
          </w:p>
        </w:tc>
        <w:tc>
          <w:tcPr>
            <w:tcW w:w="940" w:type="dxa"/>
            <w:shd w:val="clear" w:color="auto" w:fill="auto"/>
            <w:vAlign w:val="bottom"/>
          </w:tcPr>
          <w:p>
            <w:pPr>
              <w:pStyle w:val="122"/>
              <w:ind w:firstLine="0" w:firstLineChars="0"/>
              <w:rPr>
                <w:rFonts w:hAnsi="宋体"/>
                <w:szCs w:val="21"/>
              </w:rPr>
            </w:pPr>
            <w:r>
              <w:rPr>
                <w:rFonts w:hint="eastAsia" w:hAnsi="宋体"/>
                <w:szCs w:val="21"/>
              </w:rPr>
              <w:t>≤100</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widowControl/>
              <w:jc w:val="center"/>
              <w:rPr>
                <w:rFonts w:ascii="宋体" w:hAnsi="宋体"/>
                <w:color w:val="0070C0"/>
                <w:kern w:val="0"/>
                <w:szCs w:val="21"/>
              </w:rPr>
            </w:pPr>
            <w:r>
              <w:rPr>
                <w:rFonts w:hint="eastAsia" w:ascii="宋体" w:hAnsi="宋体"/>
                <w:color w:val="0070C0"/>
                <w:kern w:val="0"/>
                <w:szCs w:val="21"/>
              </w:rPr>
              <w:t>1</w:t>
            </w:r>
            <w:r>
              <w:rPr>
                <w:rFonts w:ascii="宋体" w:hAnsi="宋体"/>
                <w:color w:val="0070C0"/>
                <w:kern w:val="0"/>
                <w:szCs w:val="21"/>
              </w:rPr>
              <w:t>00</w:t>
            </w:r>
          </w:p>
        </w:tc>
        <w:tc>
          <w:tcPr>
            <w:tcW w:w="672" w:type="dxa"/>
            <w:shd w:val="clear" w:color="auto" w:fill="auto"/>
            <w:vAlign w:val="center"/>
          </w:tcPr>
          <w:p>
            <w:pPr>
              <w:widowControl/>
              <w:jc w:val="left"/>
              <w:rPr>
                <w:rFonts w:ascii="宋体" w:hAnsi="宋体"/>
                <w:color w:val="0070C0"/>
                <w:kern w:val="0"/>
                <w:szCs w:val="21"/>
              </w:rPr>
            </w:pPr>
          </w:p>
        </w:tc>
        <w:tc>
          <w:tcPr>
            <w:tcW w:w="1265" w:type="dxa"/>
            <w:shd w:val="clear" w:color="auto" w:fill="auto"/>
            <w:vAlign w:val="center"/>
          </w:tcPr>
          <w:p>
            <w:pPr>
              <w:widowControl/>
              <w:jc w:val="center"/>
              <w:rPr>
                <w:rFonts w:ascii="宋体" w:hAnsi="宋体"/>
                <w:color w:val="0070C0"/>
                <w:kern w:val="0"/>
                <w:szCs w:val="21"/>
              </w:rPr>
            </w:pPr>
            <w:r>
              <w:rPr>
                <w:rFonts w:hint="eastAsia"/>
                <w:color w:val="0070C0"/>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199" w:firstLineChars="95"/>
              <w:rPr>
                <w:rFonts w:hAnsi="宋体"/>
                <w:szCs w:val="21"/>
              </w:rPr>
            </w:pPr>
            <w:r>
              <w:rPr>
                <w:rFonts w:hAnsi="宋体"/>
                <w:szCs w:val="21"/>
              </w:rPr>
              <w:t>8</w:t>
            </w:r>
          </w:p>
        </w:tc>
        <w:tc>
          <w:tcPr>
            <w:tcW w:w="2023" w:type="dxa"/>
            <w:shd w:val="clear" w:color="auto" w:fill="auto"/>
            <w:vAlign w:val="bottom"/>
          </w:tcPr>
          <w:p>
            <w:pPr>
              <w:pStyle w:val="122"/>
              <w:ind w:firstLine="0" w:firstLineChars="0"/>
              <w:rPr>
                <w:rFonts w:hAnsi="宋体"/>
                <w:szCs w:val="21"/>
              </w:rPr>
            </w:pPr>
            <w:r>
              <w:rPr>
                <w:rFonts w:hint="eastAsia" w:hAnsi="宋体"/>
                <w:szCs w:val="21"/>
              </w:rPr>
              <w:t>耐受地震能力（地震烈度8度/9度）</w:t>
            </w:r>
          </w:p>
        </w:tc>
        <w:tc>
          <w:tcPr>
            <w:tcW w:w="1078" w:type="dxa"/>
            <w:shd w:val="clear" w:color="auto" w:fill="auto"/>
            <w:vAlign w:val="bottom"/>
          </w:tcPr>
          <w:p>
            <w:pPr>
              <w:pStyle w:val="122"/>
              <w:ind w:firstLine="420"/>
              <w:rPr>
                <w:rFonts w:hAnsi="宋体"/>
                <w:szCs w:val="21"/>
              </w:rPr>
            </w:pPr>
            <w:r>
              <w:rPr>
                <w:rFonts w:hint="eastAsia" w:hAnsi="宋体"/>
                <w:szCs w:val="21"/>
              </w:rPr>
              <w:t>g</w:t>
            </w:r>
          </w:p>
        </w:tc>
        <w:tc>
          <w:tcPr>
            <w:tcW w:w="940" w:type="dxa"/>
            <w:shd w:val="clear" w:color="auto" w:fill="auto"/>
            <w:vAlign w:val="bottom"/>
          </w:tcPr>
          <w:p>
            <w:pPr>
              <w:pStyle w:val="122"/>
              <w:ind w:firstLine="0" w:firstLineChars="0"/>
              <w:rPr>
                <w:rFonts w:hAnsi="宋体"/>
                <w:szCs w:val="21"/>
              </w:rPr>
            </w:pPr>
            <w:r>
              <w:rPr>
                <w:rFonts w:hint="eastAsia" w:hAnsi="宋体"/>
                <w:szCs w:val="21"/>
              </w:rPr>
              <w:t>8度</w:t>
            </w:r>
          </w:p>
        </w:tc>
        <w:tc>
          <w:tcPr>
            <w:tcW w:w="1077" w:type="dxa"/>
            <w:shd w:val="clear" w:color="auto" w:fill="auto"/>
            <w:vAlign w:val="bottom"/>
          </w:tcPr>
          <w:p>
            <w:pPr>
              <w:pStyle w:val="122"/>
              <w:ind w:firstLine="0" w:firstLineChars="0"/>
              <w:rPr>
                <w:rFonts w:hAnsi="宋体"/>
                <w:szCs w:val="21"/>
              </w:rPr>
            </w:pPr>
            <w:r>
              <w:rPr>
                <w:rFonts w:hint="eastAsia" w:hAnsi="宋体"/>
                <w:color w:val="FF0000"/>
                <w:szCs w:val="21"/>
              </w:rPr>
              <w:t>＞</w:t>
            </w:r>
            <w:r>
              <w:rPr>
                <w:rFonts w:hAnsi="宋体"/>
                <w:color w:val="FF0000"/>
                <w:szCs w:val="21"/>
              </w:rPr>
              <w:t>8</w:t>
            </w:r>
            <w:r>
              <w:rPr>
                <w:rFonts w:hint="eastAsia" w:hAnsi="宋体"/>
                <w:color w:val="FF0000"/>
                <w:szCs w:val="21"/>
              </w:rPr>
              <w:t>度</w:t>
            </w:r>
          </w:p>
        </w:tc>
        <w:tc>
          <w:tcPr>
            <w:tcW w:w="942" w:type="dxa"/>
            <w:shd w:val="clear" w:color="auto" w:fill="auto"/>
            <w:vAlign w:val="center"/>
          </w:tcPr>
          <w:p>
            <w:pPr>
              <w:pStyle w:val="122"/>
              <w:ind w:firstLine="0" w:firstLineChars="0"/>
              <w:jc w:val="center"/>
              <w:rPr>
                <w:rFonts w:hAnsi="宋体"/>
                <w:color w:val="0070C0"/>
                <w:szCs w:val="21"/>
              </w:rPr>
            </w:pPr>
            <w:r>
              <w:rPr>
                <w:rFonts w:hAnsi="宋体"/>
                <w:color w:val="0070C0"/>
                <w:szCs w:val="21"/>
              </w:rPr>
              <w:t>9</w:t>
            </w:r>
            <w:r>
              <w:rPr>
                <w:rFonts w:hint="eastAsia" w:hAnsi="宋体"/>
                <w:color w:val="0070C0"/>
                <w:szCs w:val="21"/>
              </w:rPr>
              <w:t>度</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bCs/>
                <w:color w:val="0070C0"/>
                <w:szCs w:val="21"/>
              </w:rPr>
              <w:t>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199" w:firstLineChars="95"/>
              <w:rPr>
                <w:rFonts w:hAnsi="宋体"/>
                <w:szCs w:val="21"/>
              </w:rPr>
            </w:pPr>
            <w:r>
              <w:rPr>
                <w:rFonts w:hAnsi="宋体"/>
                <w:szCs w:val="21"/>
              </w:rPr>
              <w:t>9</w:t>
            </w:r>
          </w:p>
        </w:tc>
        <w:tc>
          <w:tcPr>
            <w:tcW w:w="2023" w:type="dxa"/>
            <w:shd w:val="clear" w:color="auto" w:fill="auto"/>
            <w:vAlign w:val="bottom"/>
          </w:tcPr>
          <w:p>
            <w:pPr>
              <w:pStyle w:val="122"/>
              <w:ind w:firstLine="0" w:firstLineChars="0"/>
              <w:rPr>
                <w:rFonts w:hAnsi="宋体"/>
                <w:szCs w:val="21"/>
              </w:rPr>
            </w:pPr>
            <w:r>
              <w:rPr>
                <w:rFonts w:hint="eastAsia" w:hAnsi="宋体"/>
                <w:szCs w:val="21"/>
              </w:rPr>
              <w:t>系统标称电压</w:t>
            </w:r>
          </w:p>
        </w:tc>
        <w:tc>
          <w:tcPr>
            <w:tcW w:w="1078" w:type="dxa"/>
            <w:shd w:val="clear" w:color="auto" w:fill="auto"/>
            <w:vAlign w:val="bottom"/>
          </w:tcPr>
          <w:p>
            <w:pPr>
              <w:pStyle w:val="122"/>
              <w:ind w:firstLine="420"/>
              <w:rPr>
                <w:rFonts w:hAnsi="宋体"/>
                <w:szCs w:val="21"/>
              </w:rPr>
            </w:pPr>
            <w:r>
              <w:rPr>
                <w:rFonts w:hint="eastAsia" w:hAnsi="宋体"/>
                <w:szCs w:val="21"/>
              </w:rPr>
              <w:t>kV</w:t>
            </w:r>
          </w:p>
        </w:tc>
        <w:tc>
          <w:tcPr>
            <w:tcW w:w="940" w:type="dxa"/>
            <w:shd w:val="clear" w:color="auto" w:fill="auto"/>
            <w:vAlign w:val="bottom"/>
          </w:tcPr>
          <w:p>
            <w:pPr>
              <w:pStyle w:val="122"/>
              <w:ind w:firstLine="199" w:firstLineChars="95"/>
              <w:rPr>
                <w:rFonts w:hAnsi="宋体"/>
                <w:szCs w:val="21"/>
              </w:rPr>
            </w:pPr>
            <w:r>
              <w:rPr>
                <w:rFonts w:hint="eastAsia" w:hAnsi="宋体"/>
                <w:szCs w:val="21"/>
              </w:rPr>
              <w:t>0.38</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pStyle w:val="122"/>
              <w:ind w:firstLine="199" w:firstLineChars="95"/>
              <w:jc w:val="center"/>
              <w:rPr>
                <w:rFonts w:hAnsi="宋体"/>
                <w:color w:val="0070C0"/>
                <w:szCs w:val="21"/>
              </w:rPr>
            </w:pPr>
            <w:r>
              <w:rPr>
                <w:rFonts w:hint="eastAsia" w:hAnsi="宋体"/>
                <w:color w:val="0070C0"/>
                <w:szCs w:val="21"/>
              </w:rPr>
              <w:t>0.38</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bCs/>
                <w:color w:val="0070C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10</w:t>
            </w:r>
          </w:p>
        </w:tc>
        <w:tc>
          <w:tcPr>
            <w:tcW w:w="2023" w:type="dxa"/>
            <w:shd w:val="clear" w:color="auto" w:fill="auto"/>
            <w:vAlign w:val="bottom"/>
          </w:tcPr>
          <w:p>
            <w:pPr>
              <w:pStyle w:val="122"/>
              <w:ind w:firstLine="0" w:firstLineChars="0"/>
              <w:rPr>
                <w:rFonts w:hAnsi="宋体"/>
                <w:szCs w:val="21"/>
              </w:rPr>
            </w:pPr>
            <w:r>
              <w:rPr>
                <w:rFonts w:hint="eastAsia" w:hAnsi="宋体"/>
                <w:szCs w:val="21"/>
              </w:rPr>
              <w:t>系统额定频率</w:t>
            </w:r>
          </w:p>
        </w:tc>
        <w:tc>
          <w:tcPr>
            <w:tcW w:w="1078" w:type="dxa"/>
            <w:shd w:val="clear" w:color="auto" w:fill="auto"/>
            <w:vAlign w:val="bottom"/>
          </w:tcPr>
          <w:p>
            <w:pPr>
              <w:pStyle w:val="122"/>
              <w:ind w:firstLine="420"/>
              <w:rPr>
                <w:rFonts w:hAnsi="宋体"/>
                <w:szCs w:val="21"/>
              </w:rPr>
            </w:pPr>
            <w:r>
              <w:rPr>
                <w:rFonts w:hint="eastAsia" w:hAnsi="宋体"/>
                <w:szCs w:val="21"/>
              </w:rPr>
              <w:t>Hz</w:t>
            </w:r>
          </w:p>
        </w:tc>
        <w:tc>
          <w:tcPr>
            <w:tcW w:w="940" w:type="dxa"/>
            <w:shd w:val="clear" w:color="auto" w:fill="auto"/>
            <w:vAlign w:val="bottom"/>
          </w:tcPr>
          <w:p>
            <w:pPr>
              <w:pStyle w:val="122"/>
              <w:ind w:firstLine="199" w:firstLineChars="95"/>
              <w:rPr>
                <w:rFonts w:hAnsi="宋体"/>
                <w:szCs w:val="21"/>
              </w:rPr>
            </w:pPr>
            <w:r>
              <w:rPr>
                <w:rFonts w:hint="eastAsia" w:hAnsi="宋体"/>
                <w:szCs w:val="21"/>
              </w:rPr>
              <w:t>5</w:t>
            </w:r>
            <w:r>
              <w:rPr>
                <w:rFonts w:hAnsi="宋体"/>
                <w:szCs w:val="21"/>
              </w:rPr>
              <w:t>0</w:t>
            </w: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pStyle w:val="122"/>
              <w:ind w:firstLine="199" w:firstLineChars="95"/>
              <w:jc w:val="center"/>
              <w:rPr>
                <w:rFonts w:hAnsi="宋体"/>
                <w:color w:val="0070C0"/>
                <w:szCs w:val="21"/>
              </w:rPr>
            </w:pPr>
            <w:r>
              <w:rPr>
                <w:rFonts w:hint="eastAsia" w:hAnsi="宋体"/>
                <w:color w:val="0070C0"/>
                <w:szCs w:val="21"/>
              </w:rPr>
              <w:t>50</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bCs/>
                <w:color w:val="0070C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11</w:t>
            </w:r>
          </w:p>
        </w:tc>
        <w:tc>
          <w:tcPr>
            <w:tcW w:w="2023" w:type="dxa"/>
            <w:shd w:val="clear" w:color="auto" w:fill="auto"/>
            <w:vAlign w:val="bottom"/>
          </w:tcPr>
          <w:p>
            <w:pPr>
              <w:pStyle w:val="122"/>
              <w:ind w:firstLine="0" w:firstLineChars="0"/>
              <w:rPr>
                <w:rFonts w:hAnsi="宋体"/>
                <w:szCs w:val="21"/>
              </w:rPr>
            </w:pPr>
            <w:r>
              <w:rPr>
                <w:rFonts w:hint="eastAsia" w:hAnsi="宋体"/>
                <w:szCs w:val="21"/>
              </w:rPr>
              <w:t>系统中性点接地方式</w:t>
            </w:r>
          </w:p>
        </w:tc>
        <w:tc>
          <w:tcPr>
            <w:tcW w:w="1078" w:type="dxa"/>
            <w:shd w:val="clear" w:color="auto" w:fill="auto"/>
            <w:vAlign w:val="bottom"/>
          </w:tcPr>
          <w:p>
            <w:pPr>
              <w:pStyle w:val="122"/>
              <w:ind w:firstLine="420"/>
              <w:rPr>
                <w:rFonts w:hAnsi="宋体"/>
                <w:szCs w:val="21"/>
              </w:rPr>
            </w:pPr>
          </w:p>
        </w:tc>
        <w:tc>
          <w:tcPr>
            <w:tcW w:w="940" w:type="dxa"/>
            <w:shd w:val="clear" w:color="auto" w:fill="auto"/>
            <w:vAlign w:val="bottom"/>
          </w:tcPr>
          <w:p>
            <w:pPr>
              <w:pStyle w:val="122"/>
              <w:ind w:firstLine="420"/>
              <w:rPr>
                <w:rFonts w:hAnsi="宋体"/>
                <w:szCs w:val="21"/>
              </w:rPr>
            </w:pP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pStyle w:val="122"/>
              <w:ind w:firstLine="0" w:firstLineChars="0"/>
              <w:jc w:val="center"/>
              <w:rPr>
                <w:rFonts w:hAnsi="宋体"/>
                <w:color w:val="0070C0"/>
                <w:szCs w:val="21"/>
              </w:rPr>
            </w:pPr>
            <w:r>
              <w:rPr>
                <w:rFonts w:hAnsi="宋体"/>
                <w:color w:val="0070C0"/>
                <w:szCs w:val="21"/>
              </w:rPr>
              <w:t>中性点直接接地</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color w:val="0070C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12</w:t>
            </w:r>
          </w:p>
        </w:tc>
        <w:tc>
          <w:tcPr>
            <w:tcW w:w="2023" w:type="dxa"/>
            <w:shd w:val="clear" w:color="auto" w:fill="auto"/>
            <w:vAlign w:val="bottom"/>
          </w:tcPr>
          <w:p>
            <w:pPr>
              <w:pStyle w:val="122"/>
              <w:ind w:firstLine="0" w:firstLineChars="0"/>
              <w:rPr>
                <w:rFonts w:hAnsi="宋体"/>
                <w:szCs w:val="21"/>
              </w:rPr>
            </w:pPr>
            <w:r>
              <w:rPr>
                <w:rFonts w:hint="eastAsia" w:hAnsi="宋体"/>
                <w:szCs w:val="21"/>
              </w:rPr>
              <w:t>安装点母线短路电流</w:t>
            </w:r>
          </w:p>
        </w:tc>
        <w:tc>
          <w:tcPr>
            <w:tcW w:w="1078" w:type="dxa"/>
            <w:shd w:val="clear" w:color="auto" w:fill="auto"/>
            <w:vAlign w:val="bottom"/>
          </w:tcPr>
          <w:p>
            <w:pPr>
              <w:pStyle w:val="122"/>
              <w:ind w:firstLine="420"/>
              <w:rPr>
                <w:rFonts w:hAnsi="宋体"/>
                <w:szCs w:val="21"/>
              </w:rPr>
            </w:pPr>
            <w:r>
              <w:rPr>
                <w:rFonts w:hint="eastAsia" w:hAnsi="宋体"/>
                <w:szCs w:val="21"/>
              </w:rPr>
              <w:t>kA</w:t>
            </w:r>
          </w:p>
        </w:tc>
        <w:tc>
          <w:tcPr>
            <w:tcW w:w="940" w:type="dxa"/>
            <w:shd w:val="clear" w:color="auto" w:fill="auto"/>
            <w:vAlign w:val="bottom"/>
          </w:tcPr>
          <w:p>
            <w:pPr>
              <w:pStyle w:val="122"/>
              <w:ind w:firstLine="420"/>
              <w:rPr>
                <w:rFonts w:hAnsi="宋体"/>
                <w:szCs w:val="21"/>
              </w:rPr>
            </w:pP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pStyle w:val="122"/>
              <w:ind w:firstLine="199" w:firstLineChars="95"/>
              <w:jc w:val="center"/>
              <w:rPr>
                <w:rFonts w:hAnsi="宋体"/>
                <w:color w:val="0070C0"/>
                <w:szCs w:val="21"/>
              </w:rPr>
            </w:pPr>
            <w:r>
              <w:rPr>
                <w:rFonts w:hint="eastAsia" w:hAnsi="宋体"/>
                <w:color w:val="0070C0"/>
                <w:szCs w:val="21"/>
              </w:rPr>
              <w:t>/</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color w:val="0070C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13</w:t>
            </w:r>
          </w:p>
        </w:tc>
        <w:tc>
          <w:tcPr>
            <w:tcW w:w="2023" w:type="dxa"/>
            <w:shd w:val="clear" w:color="auto" w:fill="auto"/>
            <w:vAlign w:val="bottom"/>
          </w:tcPr>
          <w:p>
            <w:pPr>
              <w:pStyle w:val="122"/>
              <w:ind w:firstLine="0" w:firstLineChars="0"/>
              <w:rPr>
                <w:rFonts w:hAnsi="宋体"/>
                <w:szCs w:val="21"/>
              </w:rPr>
            </w:pPr>
            <w:r>
              <w:rPr>
                <w:rFonts w:hint="eastAsia" w:hAnsi="宋体"/>
                <w:szCs w:val="21"/>
              </w:rPr>
              <w:t>直流控制电压</w:t>
            </w:r>
          </w:p>
        </w:tc>
        <w:tc>
          <w:tcPr>
            <w:tcW w:w="1078" w:type="dxa"/>
            <w:shd w:val="clear" w:color="auto" w:fill="auto"/>
            <w:vAlign w:val="bottom"/>
          </w:tcPr>
          <w:p>
            <w:pPr>
              <w:pStyle w:val="122"/>
              <w:ind w:firstLine="420"/>
              <w:rPr>
                <w:rFonts w:hAnsi="宋体"/>
                <w:szCs w:val="21"/>
              </w:rPr>
            </w:pPr>
            <w:r>
              <w:rPr>
                <w:rFonts w:hint="eastAsia" w:hAnsi="宋体"/>
                <w:szCs w:val="21"/>
              </w:rPr>
              <w:t>V</w:t>
            </w:r>
          </w:p>
        </w:tc>
        <w:tc>
          <w:tcPr>
            <w:tcW w:w="940" w:type="dxa"/>
            <w:shd w:val="clear" w:color="auto" w:fill="auto"/>
            <w:vAlign w:val="bottom"/>
          </w:tcPr>
          <w:p>
            <w:pPr>
              <w:pStyle w:val="122"/>
              <w:ind w:firstLine="420"/>
              <w:rPr>
                <w:rFonts w:hAnsi="宋体"/>
                <w:szCs w:val="21"/>
              </w:rPr>
            </w:pP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pStyle w:val="122"/>
              <w:ind w:firstLine="0" w:firstLineChars="0"/>
              <w:jc w:val="center"/>
              <w:rPr>
                <w:rFonts w:hAnsi="宋体"/>
                <w:color w:val="0070C0"/>
                <w:szCs w:val="21"/>
              </w:rPr>
            </w:pPr>
            <w:r>
              <w:rPr>
                <w:rFonts w:hint="eastAsia" w:hAnsi="宋体"/>
                <w:color w:val="0070C0"/>
                <w:szCs w:val="21"/>
              </w:rPr>
              <w:t>220</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color w:val="0070C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14</w:t>
            </w:r>
          </w:p>
        </w:tc>
        <w:tc>
          <w:tcPr>
            <w:tcW w:w="2023" w:type="dxa"/>
            <w:shd w:val="clear" w:color="auto" w:fill="auto"/>
            <w:vAlign w:val="bottom"/>
          </w:tcPr>
          <w:p>
            <w:pPr>
              <w:pStyle w:val="122"/>
              <w:ind w:firstLine="0" w:firstLineChars="0"/>
              <w:rPr>
                <w:rFonts w:hAnsi="宋体"/>
                <w:szCs w:val="21"/>
              </w:rPr>
            </w:pPr>
            <w:r>
              <w:rPr>
                <w:rFonts w:hint="eastAsia" w:hAnsi="宋体"/>
                <w:szCs w:val="21"/>
              </w:rPr>
              <w:t>设备运输条件</w:t>
            </w:r>
          </w:p>
        </w:tc>
        <w:tc>
          <w:tcPr>
            <w:tcW w:w="1078" w:type="dxa"/>
            <w:shd w:val="clear" w:color="auto" w:fill="auto"/>
            <w:vAlign w:val="bottom"/>
          </w:tcPr>
          <w:p>
            <w:pPr>
              <w:pStyle w:val="122"/>
              <w:ind w:firstLine="420"/>
              <w:rPr>
                <w:rFonts w:hAnsi="宋体"/>
                <w:szCs w:val="21"/>
              </w:rPr>
            </w:pPr>
          </w:p>
        </w:tc>
        <w:tc>
          <w:tcPr>
            <w:tcW w:w="940" w:type="dxa"/>
            <w:shd w:val="clear" w:color="auto" w:fill="auto"/>
            <w:vAlign w:val="bottom"/>
          </w:tcPr>
          <w:p>
            <w:pPr>
              <w:pStyle w:val="122"/>
              <w:ind w:firstLine="420"/>
              <w:rPr>
                <w:rFonts w:hAnsi="宋体"/>
                <w:szCs w:val="21"/>
              </w:rPr>
            </w:pP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pStyle w:val="122"/>
              <w:ind w:firstLine="420"/>
              <w:jc w:val="center"/>
              <w:rPr>
                <w:rFonts w:hAnsi="宋体"/>
                <w:color w:val="0070C0"/>
                <w:szCs w:val="21"/>
              </w:rPr>
            </w:pPr>
            <w:r>
              <w:rPr>
                <w:rFonts w:hint="eastAsia" w:hAnsi="宋体"/>
                <w:color w:val="0070C0"/>
                <w:szCs w:val="21"/>
              </w:rPr>
              <w:t>“</w:t>
            </w:r>
            <w:r>
              <w:rPr>
                <w:rFonts w:hAnsi="宋体"/>
                <w:color w:val="0070C0"/>
                <w:szCs w:val="21"/>
              </w:rPr>
              <w:t>铁路＋公路”联运</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color w:val="0070C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pStyle w:val="122"/>
              <w:ind w:firstLine="0" w:firstLineChars="0"/>
              <w:rPr>
                <w:rFonts w:hAnsi="宋体"/>
                <w:szCs w:val="21"/>
              </w:rPr>
            </w:pPr>
            <w:r>
              <w:rPr>
                <w:rFonts w:hAnsi="宋体"/>
                <w:szCs w:val="21"/>
              </w:rPr>
              <w:t>15</w:t>
            </w:r>
          </w:p>
        </w:tc>
        <w:tc>
          <w:tcPr>
            <w:tcW w:w="2023" w:type="dxa"/>
            <w:shd w:val="clear" w:color="auto" w:fill="auto"/>
            <w:vAlign w:val="bottom"/>
          </w:tcPr>
          <w:p>
            <w:pPr>
              <w:pStyle w:val="122"/>
              <w:ind w:firstLine="0" w:firstLineChars="0"/>
              <w:rPr>
                <w:rFonts w:hAnsi="宋体"/>
                <w:szCs w:val="21"/>
              </w:rPr>
            </w:pPr>
            <w:r>
              <w:rPr>
                <w:rFonts w:hint="eastAsia" w:hAnsi="宋体"/>
                <w:szCs w:val="21"/>
              </w:rPr>
              <w:t>安装地点</w:t>
            </w:r>
          </w:p>
        </w:tc>
        <w:tc>
          <w:tcPr>
            <w:tcW w:w="1078" w:type="dxa"/>
            <w:shd w:val="clear" w:color="auto" w:fill="auto"/>
            <w:vAlign w:val="bottom"/>
          </w:tcPr>
          <w:p>
            <w:pPr>
              <w:pStyle w:val="122"/>
              <w:ind w:firstLine="420"/>
              <w:rPr>
                <w:rFonts w:hAnsi="宋体"/>
                <w:szCs w:val="21"/>
              </w:rPr>
            </w:pPr>
          </w:p>
        </w:tc>
        <w:tc>
          <w:tcPr>
            <w:tcW w:w="940" w:type="dxa"/>
            <w:shd w:val="clear" w:color="auto" w:fill="auto"/>
            <w:vAlign w:val="bottom"/>
          </w:tcPr>
          <w:p>
            <w:pPr>
              <w:pStyle w:val="122"/>
              <w:ind w:firstLine="420"/>
              <w:rPr>
                <w:rFonts w:hAnsi="宋体"/>
                <w:szCs w:val="21"/>
              </w:rPr>
            </w:pPr>
          </w:p>
        </w:tc>
        <w:tc>
          <w:tcPr>
            <w:tcW w:w="1077" w:type="dxa"/>
            <w:shd w:val="clear" w:color="auto" w:fill="auto"/>
            <w:vAlign w:val="bottom"/>
          </w:tcPr>
          <w:p>
            <w:pPr>
              <w:pStyle w:val="122"/>
              <w:ind w:firstLine="420"/>
              <w:rPr>
                <w:rFonts w:hAnsi="宋体"/>
                <w:szCs w:val="21"/>
              </w:rPr>
            </w:pPr>
          </w:p>
        </w:tc>
        <w:tc>
          <w:tcPr>
            <w:tcW w:w="942" w:type="dxa"/>
            <w:shd w:val="clear" w:color="auto" w:fill="auto"/>
            <w:vAlign w:val="center"/>
          </w:tcPr>
          <w:p>
            <w:pPr>
              <w:pStyle w:val="122"/>
              <w:ind w:firstLine="0" w:firstLineChars="0"/>
              <w:jc w:val="center"/>
              <w:rPr>
                <w:rFonts w:hAnsi="宋体"/>
                <w:color w:val="0070C0"/>
                <w:szCs w:val="21"/>
              </w:rPr>
            </w:pPr>
            <w:r>
              <w:rPr>
                <w:rFonts w:hint="eastAsia" w:hAnsi="宋体"/>
                <w:color w:val="0070C0"/>
                <w:szCs w:val="21"/>
              </w:rPr>
              <w:t>室内</w:t>
            </w:r>
          </w:p>
        </w:tc>
        <w:tc>
          <w:tcPr>
            <w:tcW w:w="672" w:type="dxa"/>
            <w:shd w:val="clear" w:color="auto" w:fill="auto"/>
            <w:vAlign w:val="center"/>
          </w:tcPr>
          <w:p>
            <w:pPr>
              <w:pStyle w:val="122"/>
              <w:ind w:firstLine="420"/>
              <w:jc w:val="center"/>
              <w:rPr>
                <w:rFonts w:hAnsi="宋体"/>
                <w:color w:val="0070C0"/>
                <w:szCs w:val="21"/>
              </w:rPr>
            </w:pPr>
          </w:p>
        </w:tc>
        <w:tc>
          <w:tcPr>
            <w:tcW w:w="1265" w:type="dxa"/>
            <w:shd w:val="clear" w:color="auto" w:fill="auto"/>
            <w:vAlign w:val="center"/>
          </w:tcPr>
          <w:p>
            <w:pPr>
              <w:pStyle w:val="122"/>
              <w:ind w:firstLine="0" w:firstLineChars="0"/>
              <w:jc w:val="center"/>
              <w:rPr>
                <w:rFonts w:hAnsi="宋体"/>
                <w:color w:val="0070C0"/>
                <w:szCs w:val="21"/>
              </w:rPr>
            </w:pPr>
            <w:r>
              <w:rPr>
                <w:rFonts w:hint="eastAsia" w:hAnsi="宋体"/>
                <w:color w:val="0070C0"/>
                <w:szCs w:val="21"/>
              </w:rPr>
              <w:t>正常使用条件</w:t>
            </w:r>
          </w:p>
        </w:tc>
      </w:tr>
    </w:tbl>
    <w:p>
      <w:pPr>
        <w:pStyle w:val="122"/>
        <w:ind w:firstLine="0" w:firstLineChars="0"/>
        <w:rPr>
          <w:rFonts w:hAnsi="宋体"/>
          <w:szCs w:val="21"/>
        </w:rPr>
      </w:pPr>
    </w:p>
    <w:p>
      <w:pPr>
        <w:pStyle w:val="122"/>
        <w:spacing w:line="360" w:lineRule="auto"/>
        <w:ind w:firstLine="0" w:firstLineChars="0"/>
        <w:jc w:val="center"/>
        <w:rPr>
          <w:rFonts w:ascii="黑体" w:hAnsi="黑体" w:eastAsia="黑体"/>
          <w:b/>
          <w:szCs w:val="21"/>
        </w:rPr>
      </w:pPr>
      <w:r>
        <w:rPr>
          <w:rFonts w:hint="eastAsia" w:ascii="黑体" w:hAnsi="黑体" w:eastAsia="黑体"/>
          <w:b/>
          <w:szCs w:val="21"/>
        </w:rPr>
        <w:t>四</w:t>
      </w:r>
      <w:r>
        <w:rPr>
          <w:rFonts w:ascii="黑体" w:hAnsi="黑体" w:eastAsia="黑体"/>
          <w:b/>
          <w:szCs w:val="21"/>
        </w:rPr>
        <w:t>、</w:t>
      </w:r>
      <w:r>
        <w:rPr>
          <w:rFonts w:hint="eastAsia" w:ascii="黑体" w:hAnsi="黑体" w:eastAsia="黑体"/>
          <w:b/>
          <w:szCs w:val="21"/>
        </w:rPr>
        <w:t>设备详细</w:t>
      </w:r>
      <w:r>
        <w:rPr>
          <w:rFonts w:ascii="黑体" w:hAnsi="黑体" w:eastAsia="黑体"/>
          <w:b/>
          <w:szCs w:val="21"/>
        </w:rPr>
        <w:t>技术要求</w:t>
      </w:r>
      <w:bookmarkEnd w:id="447"/>
      <w:bookmarkEnd w:id="448"/>
    </w:p>
    <w:p>
      <w:pPr>
        <w:pStyle w:val="3"/>
        <w:numPr>
          <w:ilvl w:val="0"/>
          <w:numId w:val="0"/>
        </w:numPr>
        <w:spacing w:line="360" w:lineRule="auto"/>
        <w:rPr>
          <w:szCs w:val="21"/>
        </w:rPr>
      </w:pPr>
      <w:bookmarkStart w:id="449" w:name="_Toc470168814"/>
      <w:bookmarkStart w:id="450" w:name="_Toc500256300"/>
      <w:r>
        <w:rPr>
          <w:szCs w:val="21"/>
        </w:rPr>
        <w:t>4</w:t>
      </w:r>
      <w:r>
        <w:rPr>
          <w:rFonts w:hint="eastAsia"/>
          <w:szCs w:val="21"/>
        </w:rPr>
        <w:t>.1 供货需求及供货范围</w:t>
      </w:r>
      <w:bookmarkEnd w:id="449"/>
      <w:bookmarkEnd w:id="450"/>
    </w:p>
    <w:p>
      <w:pPr>
        <w:pStyle w:val="145"/>
        <w:adjustRightInd w:val="0"/>
        <w:snapToGrid w:val="0"/>
        <w:spacing w:line="360" w:lineRule="auto"/>
        <w:rPr>
          <w:rFonts w:ascii="宋体" w:hAnsi="宋体" w:eastAsia="宋体"/>
          <w:szCs w:val="21"/>
        </w:rPr>
      </w:pPr>
      <w:r>
        <w:rPr>
          <w:rFonts w:ascii="宋体" w:hAnsi="宋体" w:eastAsia="宋体"/>
          <w:szCs w:val="21"/>
        </w:rPr>
        <w:t>投标方</w:t>
      </w:r>
      <w:r>
        <w:rPr>
          <w:rFonts w:hint="eastAsia" w:ascii="宋体" w:hAnsi="宋体" w:eastAsia="宋体"/>
          <w:szCs w:val="21"/>
        </w:rPr>
        <w:t>提供的设备具体规格、数量见表</w:t>
      </w:r>
      <w:r>
        <w:rPr>
          <w:rFonts w:hint="eastAsia" w:eastAsia="宋体"/>
          <w:szCs w:val="21"/>
        </w:rPr>
        <w:t>2.1</w:t>
      </w:r>
      <w:r>
        <w:rPr>
          <w:rFonts w:eastAsia="宋体"/>
          <w:szCs w:val="21"/>
        </w:rPr>
        <w:t>:</w:t>
      </w:r>
      <w:r>
        <w:rPr>
          <w:rFonts w:hint="eastAsia" w:ascii="宋体" w:hAnsi="宋体" w:eastAsia="宋体"/>
          <w:szCs w:val="21"/>
        </w:rPr>
        <w:t>供货范围及设备技术规格一览表。投标方应如实填写“投标方保证”栏。</w:t>
      </w:r>
    </w:p>
    <w:p>
      <w:pPr>
        <w:jc w:val="center"/>
        <w:rPr>
          <w:szCs w:val="21"/>
        </w:rPr>
      </w:pPr>
      <w:r>
        <w:rPr>
          <w:rFonts w:hint="eastAsia" w:ascii="宋体" w:hAnsi="宋体"/>
          <w:szCs w:val="21"/>
        </w:rPr>
        <w:t>表</w:t>
      </w:r>
      <w:r>
        <w:rPr>
          <w:rFonts w:ascii="宋体" w:hAnsi="宋体"/>
          <w:szCs w:val="21"/>
        </w:rPr>
        <w:t>4</w:t>
      </w:r>
      <w:r>
        <w:rPr>
          <w:rFonts w:hint="eastAsia" w:ascii="宋体" w:hAnsi="宋体"/>
          <w:szCs w:val="21"/>
        </w:rPr>
        <w:t>.1   供货范围及设备技术规格一览表</w:t>
      </w:r>
      <w:r>
        <w:rPr>
          <w:rFonts w:hint="eastAsia"/>
          <w:szCs w:val="21"/>
        </w:rPr>
        <w:t>（投标方填写）</w:t>
      </w:r>
    </w:p>
    <w:tbl>
      <w:tblPr>
        <w:tblStyle w:val="8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82"/>
        <w:gridCol w:w="1064"/>
        <w:gridCol w:w="962"/>
        <w:gridCol w:w="3007"/>
        <w:gridCol w:w="552"/>
        <w:gridCol w:w="2287"/>
        <w:gridCol w:w="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82" w:type="dxa"/>
            <w:vMerge w:val="restart"/>
            <w:vAlign w:val="center"/>
          </w:tcPr>
          <w:p>
            <w:pPr>
              <w:jc w:val="center"/>
              <w:rPr>
                <w:szCs w:val="21"/>
              </w:rPr>
            </w:pPr>
            <w:r>
              <w:rPr>
                <w:rFonts w:hint="eastAsia"/>
                <w:szCs w:val="21"/>
              </w:rPr>
              <w:t>序号</w:t>
            </w:r>
          </w:p>
        </w:tc>
        <w:tc>
          <w:tcPr>
            <w:tcW w:w="1064" w:type="dxa"/>
            <w:vMerge w:val="restart"/>
            <w:vAlign w:val="center"/>
          </w:tcPr>
          <w:p>
            <w:pPr>
              <w:jc w:val="center"/>
              <w:rPr>
                <w:szCs w:val="21"/>
              </w:rPr>
            </w:pPr>
            <w:r>
              <w:rPr>
                <w:rFonts w:hint="eastAsia"/>
                <w:szCs w:val="21"/>
              </w:rPr>
              <w:t>名称</w:t>
            </w:r>
          </w:p>
        </w:tc>
        <w:tc>
          <w:tcPr>
            <w:tcW w:w="962" w:type="dxa"/>
            <w:vMerge w:val="restart"/>
            <w:vAlign w:val="center"/>
          </w:tcPr>
          <w:p>
            <w:pPr>
              <w:jc w:val="center"/>
              <w:rPr>
                <w:szCs w:val="21"/>
              </w:rPr>
            </w:pPr>
            <w:r>
              <w:rPr>
                <w:rFonts w:hint="eastAsia"/>
                <w:szCs w:val="21"/>
              </w:rPr>
              <w:t>单位</w:t>
            </w:r>
          </w:p>
        </w:tc>
        <w:tc>
          <w:tcPr>
            <w:tcW w:w="3559" w:type="dxa"/>
            <w:gridSpan w:val="2"/>
            <w:vAlign w:val="center"/>
          </w:tcPr>
          <w:p>
            <w:pPr>
              <w:jc w:val="center"/>
              <w:rPr>
                <w:szCs w:val="21"/>
              </w:rPr>
            </w:pPr>
            <w:r>
              <w:rPr>
                <w:rFonts w:hint="eastAsia"/>
                <w:szCs w:val="21"/>
              </w:rPr>
              <w:t>项目要求</w:t>
            </w:r>
          </w:p>
        </w:tc>
        <w:tc>
          <w:tcPr>
            <w:tcW w:w="3159" w:type="dxa"/>
            <w:gridSpan w:val="2"/>
            <w:vAlign w:val="center"/>
          </w:tcPr>
          <w:p>
            <w:pPr>
              <w:jc w:val="center"/>
              <w:rPr>
                <w:szCs w:val="21"/>
              </w:rPr>
            </w:pPr>
            <w:r>
              <w:rPr>
                <w:rFonts w:hint="eastAsia"/>
                <w:szCs w:val="21"/>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blHeader/>
          <w:jc w:val="center"/>
        </w:trPr>
        <w:tc>
          <w:tcPr>
            <w:tcW w:w="382" w:type="dxa"/>
            <w:vMerge w:val="continue"/>
            <w:vAlign w:val="center"/>
          </w:tcPr>
          <w:p>
            <w:pPr>
              <w:jc w:val="center"/>
              <w:rPr>
                <w:szCs w:val="21"/>
              </w:rPr>
            </w:pPr>
          </w:p>
        </w:tc>
        <w:tc>
          <w:tcPr>
            <w:tcW w:w="1064" w:type="dxa"/>
            <w:vMerge w:val="continue"/>
            <w:vAlign w:val="center"/>
          </w:tcPr>
          <w:p>
            <w:pPr>
              <w:jc w:val="center"/>
              <w:rPr>
                <w:szCs w:val="21"/>
              </w:rPr>
            </w:pPr>
          </w:p>
        </w:tc>
        <w:tc>
          <w:tcPr>
            <w:tcW w:w="962" w:type="dxa"/>
            <w:vMerge w:val="continue"/>
            <w:vAlign w:val="center"/>
          </w:tcPr>
          <w:p>
            <w:pPr>
              <w:jc w:val="center"/>
              <w:rPr>
                <w:szCs w:val="21"/>
              </w:rPr>
            </w:pPr>
          </w:p>
        </w:tc>
        <w:tc>
          <w:tcPr>
            <w:tcW w:w="3007" w:type="dxa"/>
            <w:vAlign w:val="center"/>
          </w:tcPr>
          <w:p>
            <w:pPr>
              <w:jc w:val="center"/>
              <w:rPr>
                <w:szCs w:val="21"/>
              </w:rPr>
            </w:pPr>
            <w:r>
              <w:rPr>
                <w:rFonts w:hint="eastAsia"/>
                <w:szCs w:val="21"/>
              </w:rPr>
              <w:t>型式、规格</w:t>
            </w:r>
          </w:p>
        </w:tc>
        <w:tc>
          <w:tcPr>
            <w:tcW w:w="552" w:type="dxa"/>
            <w:vAlign w:val="center"/>
          </w:tcPr>
          <w:p>
            <w:pPr>
              <w:jc w:val="center"/>
              <w:rPr>
                <w:szCs w:val="21"/>
              </w:rPr>
            </w:pPr>
            <w:r>
              <w:rPr>
                <w:rFonts w:hint="eastAsia"/>
                <w:szCs w:val="21"/>
              </w:rPr>
              <w:t>数量</w:t>
            </w:r>
          </w:p>
        </w:tc>
        <w:tc>
          <w:tcPr>
            <w:tcW w:w="2287" w:type="dxa"/>
            <w:vAlign w:val="center"/>
          </w:tcPr>
          <w:p>
            <w:pPr>
              <w:jc w:val="center"/>
              <w:rPr>
                <w:szCs w:val="21"/>
              </w:rPr>
            </w:pPr>
            <w:r>
              <w:rPr>
                <w:rFonts w:hint="eastAsia"/>
                <w:szCs w:val="21"/>
              </w:rPr>
              <w:t>型式、规格</w:t>
            </w:r>
          </w:p>
        </w:tc>
        <w:tc>
          <w:tcPr>
            <w:tcW w:w="872" w:type="dxa"/>
            <w:vAlign w:val="center"/>
          </w:tcPr>
          <w:p>
            <w:pPr>
              <w:jc w:val="center"/>
              <w:rPr>
                <w:szCs w:val="21"/>
              </w:rPr>
            </w:pPr>
            <w:r>
              <w:rPr>
                <w:rFonts w:hint="eastAsia"/>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color w:val="0070C0"/>
                <w:szCs w:val="21"/>
              </w:rPr>
            </w:pPr>
            <w:r>
              <w:rPr>
                <w:color w:val="0070C0"/>
                <w:szCs w:val="21"/>
              </w:rPr>
              <w:t>1</w:t>
            </w:r>
          </w:p>
        </w:tc>
        <w:tc>
          <w:tcPr>
            <w:tcW w:w="1064" w:type="dxa"/>
            <w:vAlign w:val="center"/>
          </w:tcPr>
          <w:p>
            <w:pPr>
              <w:jc w:val="center"/>
              <w:rPr>
                <w:color w:val="0070C0"/>
                <w:szCs w:val="21"/>
              </w:rPr>
            </w:pPr>
            <w:r>
              <w:rPr>
                <w:rFonts w:hint="eastAsia"/>
                <w:color w:val="0070C0"/>
                <w:szCs w:val="21"/>
              </w:rPr>
              <w:t>零序电流互感器</w:t>
            </w:r>
          </w:p>
        </w:tc>
        <w:tc>
          <w:tcPr>
            <w:tcW w:w="962" w:type="dxa"/>
            <w:vAlign w:val="center"/>
          </w:tcPr>
          <w:p>
            <w:pPr>
              <w:jc w:val="center"/>
              <w:rPr>
                <w:color w:val="0070C0"/>
                <w:szCs w:val="21"/>
              </w:rPr>
            </w:pPr>
            <w:r>
              <w:rPr>
                <w:rFonts w:hint="eastAsia"/>
                <w:color w:val="0070C0"/>
                <w:szCs w:val="21"/>
              </w:rPr>
              <w:t>台</w:t>
            </w:r>
          </w:p>
        </w:tc>
        <w:tc>
          <w:tcPr>
            <w:tcW w:w="3007" w:type="dxa"/>
            <w:vAlign w:val="center"/>
          </w:tcPr>
          <w:p>
            <w:pPr>
              <w:jc w:val="center"/>
              <w:rPr>
                <w:color w:val="0070C0"/>
                <w:szCs w:val="21"/>
              </w:rPr>
            </w:pPr>
            <w:r>
              <w:rPr>
                <w:color w:val="0070C0"/>
                <w:szCs w:val="21"/>
              </w:rPr>
              <w:t>0.66kV</w:t>
            </w:r>
            <w:r>
              <w:rPr>
                <w:rFonts w:hint="eastAsia"/>
                <w:color w:val="0070C0"/>
                <w:szCs w:val="21"/>
              </w:rPr>
              <w:t>低压</w:t>
            </w:r>
            <w:r>
              <w:rPr>
                <w:color w:val="0070C0"/>
                <w:szCs w:val="21"/>
              </w:rPr>
              <w:t>电流互感器</w:t>
            </w:r>
          </w:p>
          <w:p>
            <w:pPr>
              <w:jc w:val="center"/>
              <w:rPr>
                <w:rFonts w:hint="eastAsia"/>
                <w:color w:val="0070C0"/>
                <w:szCs w:val="21"/>
              </w:rPr>
            </w:pPr>
            <w:r>
              <w:rPr>
                <w:rFonts w:hint="eastAsia"/>
                <w:color w:val="0070C0"/>
                <w:szCs w:val="21"/>
              </w:rPr>
              <w:t>采用塑壳式母排形式结构，0.66kV，1500/1A，5P20，20VA</w:t>
            </w:r>
          </w:p>
          <w:p>
            <w:pPr>
              <w:jc w:val="center"/>
              <w:rPr>
                <w:color w:val="0070C0"/>
                <w:szCs w:val="21"/>
              </w:rPr>
            </w:pPr>
            <w:r>
              <w:rPr>
                <w:rFonts w:hint="eastAsia"/>
                <w:color w:val="0070C0"/>
                <w:szCs w:val="21"/>
              </w:rPr>
              <w:t>装设于站用变低压侧中性点母排，内径＞150mm。</w:t>
            </w:r>
          </w:p>
        </w:tc>
        <w:tc>
          <w:tcPr>
            <w:tcW w:w="552" w:type="dxa"/>
            <w:vAlign w:val="center"/>
          </w:tcPr>
          <w:p>
            <w:pPr>
              <w:jc w:val="center"/>
              <w:rPr>
                <w:color w:val="0070C0"/>
                <w:szCs w:val="21"/>
              </w:rPr>
            </w:pPr>
            <w:r>
              <w:rPr>
                <w:color w:val="0070C0"/>
                <w:szCs w:val="21"/>
              </w:rPr>
              <w:t>3</w:t>
            </w:r>
          </w:p>
        </w:tc>
        <w:tc>
          <w:tcPr>
            <w:tcW w:w="2287" w:type="dxa"/>
          </w:tcPr>
          <w:p>
            <w:pPr>
              <w:rPr>
                <w:szCs w:val="21"/>
              </w:rPr>
            </w:pPr>
          </w:p>
        </w:tc>
        <w:tc>
          <w:tcPr>
            <w:tcW w:w="872" w:type="dxa"/>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szCs w:val="21"/>
              </w:rPr>
            </w:pPr>
          </w:p>
        </w:tc>
        <w:tc>
          <w:tcPr>
            <w:tcW w:w="1064" w:type="dxa"/>
          </w:tcPr>
          <w:p>
            <w:pPr>
              <w:rPr>
                <w:szCs w:val="21"/>
              </w:rPr>
            </w:pPr>
          </w:p>
        </w:tc>
        <w:tc>
          <w:tcPr>
            <w:tcW w:w="962" w:type="dxa"/>
          </w:tcPr>
          <w:p>
            <w:pPr>
              <w:rPr>
                <w:szCs w:val="21"/>
              </w:rPr>
            </w:pPr>
          </w:p>
        </w:tc>
        <w:tc>
          <w:tcPr>
            <w:tcW w:w="3007" w:type="dxa"/>
          </w:tcPr>
          <w:p>
            <w:pPr>
              <w:rPr>
                <w:szCs w:val="21"/>
              </w:rPr>
            </w:pPr>
          </w:p>
        </w:tc>
        <w:tc>
          <w:tcPr>
            <w:tcW w:w="552" w:type="dxa"/>
          </w:tcPr>
          <w:p>
            <w:pPr>
              <w:rPr>
                <w:szCs w:val="21"/>
              </w:rPr>
            </w:pPr>
          </w:p>
        </w:tc>
        <w:tc>
          <w:tcPr>
            <w:tcW w:w="2287" w:type="dxa"/>
          </w:tcPr>
          <w:p>
            <w:pPr>
              <w:rPr>
                <w:szCs w:val="21"/>
              </w:rPr>
            </w:pPr>
          </w:p>
        </w:tc>
        <w:tc>
          <w:tcPr>
            <w:tcW w:w="872" w:type="dxa"/>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szCs w:val="21"/>
              </w:rPr>
            </w:pPr>
          </w:p>
        </w:tc>
        <w:tc>
          <w:tcPr>
            <w:tcW w:w="1064" w:type="dxa"/>
          </w:tcPr>
          <w:p>
            <w:pPr>
              <w:rPr>
                <w:szCs w:val="21"/>
              </w:rPr>
            </w:pPr>
          </w:p>
        </w:tc>
        <w:tc>
          <w:tcPr>
            <w:tcW w:w="962" w:type="dxa"/>
          </w:tcPr>
          <w:p>
            <w:pPr>
              <w:rPr>
                <w:szCs w:val="21"/>
              </w:rPr>
            </w:pPr>
          </w:p>
        </w:tc>
        <w:tc>
          <w:tcPr>
            <w:tcW w:w="3007" w:type="dxa"/>
          </w:tcPr>
          <w:p>
            <w:pPr>
              <w:rPr>
                <w:szCs w:val="21"/>
              </w:rPr>
            </w:pPr>
          </w:p>
        </w:tc>
        <w:tc>
          <w:tcPr>
            <w:tcW w:w="552" w:type="dxa"/>
          </w:tcPr>
          <w:p>
            <w:pPr>
              <w:rPr>
                <w:szCs w:val="21"/>
              </w:rPr>
            </w:pPr>
          </w:p>
        </w:tc>
        <w:tc>
          <w:tcPr>
            <w:tcW w:w="2287" w:type="dxa"/>
          </w:tcPr>
          <w:p>
            <w:pPr>
              <w:rPr>
                <w:szCs w:val="21"/>
              </w:rPr>
            </w:pPr>
          </w:p>
        </w:tc>
        <w:tc>
          <w:tcPr>
            <w:tcW w:w="872" w:type="dxa"/>
          </w:tcPr>
          <w:p>
            <w:pPr>
              <w:rPr>
                <w:szCs w:val="21"/>
              </w:rPr>
            </w:pPr>
          </w:p>
        </w:tc>
      </w:tr>
    </w:tbl>
    <w:p>
      <w:pPr>
        <w:pStyle w:val="3"/>
        <w:numPr>
          <w:ilvl w:val="0"/>
          <w:numId w:val="0"/>
        </w:numPr>
        <w:spacing w:line="360" w:lineRule="auto"/>
        <w:rPr>
          <w:szCs w:val="21"/>
        </w:rPr>
      </w:pPr>
      <w:bookmarkStart w:id="451" w:name="_Toc470168815"/>
      <w:bookmarkStart w:id="452" w:name="_Toc500256301"/>
      <w:r>
        <w:rPr>
          <w:rFonts w:hint="eastAsia"/>
          <w:szCs w:val="21"/>
        </w:rPr>
        <w:t>注：产品设计、质量、试验满足相关规程规范要求。</w:t>
      </w:r>
    </w:p>
    <w:p>
      <w:pPr>
        <w:pStyle w:val="3"/>
        <w:numPr>
          <w:ilvl w:val="0"/>
          <w:numId w:val="0"/>
        </w:numPr>
        <w:spacing w:line="360" w:lineRule="auto"/>
        <w:rPr>
          <w:szCs w:val="21"/>
        </w:rPr>
      </w:pPr>
      <w:r>
        <w:rPr>
          <w:szCs w:val="21"/>
        </w:rPr>
        <w:t xml:space="preserve">4.2 </w:t>
      </w:r>
      <w:r>
        <w:rPr>
          <w:rFonts w:hint="eastAsia"/>
          <w:szCs w:val="21"/>
        </w:rPr>
        <w:t>标准</w:t>
      </w:r>
      <w:r>
        <w:rPr>
          <w:szCs w:val="21"/>
        </w:rPr>
        <w:t>技术</w:t>
      </w:r>
      <w:bookmarkEnd w:id="451"/>
      <w:bookmarkEnd w:id="452"/>
    </w:p>
    <w:p>
      <w:pPr>
        <w:jc w:val="center"/>
        <w:rPr>
          <w:szCs w:val="21"/>
        </w:rPr>
      </w:pPr>
      <w:r>
        <w:rPr>
          <w:rFonts w:hint="eastAsia" w:ascii="宋体" w:hAnsi="宋体"/>
          <w:szCs w:val="21"/>
        </w:rPr>
        <w:t>表</w:t>
      </w:r>
      <w:r>
        <w:rPr>
          <w:rFonts w:ascii="宋体" w:hAnsi="宋体"/>
          <w:szCs w:val="21"/>
        </w:rPr>
        <w:t>4</w:t>
      </w:r>
      <w:r>
        <w:rPr>
          <w:rFonts w:hint="eastAsia" w:ascii="宋体" w:hAnsi="宋体"/>
          <w:szCs w:val="21"/>
        </w:rPr>
        <w:t xml:space="preserve">.2  </w:t>
      </w:r>
      <w:r>
        <w:rPr>
          <w:rFonts w:ascii="宋体" w:hAnsi="宋体"/>
          <w:szCs w:val="21"/>
        </w:rPr>
        <w:t>0.66kV</w:t>
      </w:r>
      <w:r>
        <w:rPr>
          <w:rFonts w:hint="eastAsia" w:ascii="宋体" w:hAnsi="宋体"/>
          <w:szCs w:val="21"/>
        </w:rPr>
        <w:t>低压电流互感器 标准</w:t>
      </w:r>
      <w:r>
        <w:rPr>
          <w:rFonts w:ascii="宋体" w:hAnsi="宋体"/>
          <w:szCs w:val="21"/>
        </w:rPr>
        <w:t>技术</w:t>
      </w:r>
      <w:r>
        <w:rPr>
          <w:rFonts w:hint="eastAsia" w:ascii="宋体" w:hAnsi="宋体"/>
          <w:szCs w:val="21"/>
        </w:rPr>
        <w:t>特性</w:t>
      </w:r>
      <w:r>
        <w:rPr>
          <w:rFonts w:ascii="宋体" w:hAnsi="宋体"/>
          <w:szCs w:val="21"/>
        </w:rPr>
        <w:t>参数表</w:t>
      </w:r>
      <w:r>
        <w:rPr>
          <w:rFonts w:hint="eastAsia"/>
          <w:szCs w:val="21"/>
        </w:rPr>
        <w:t>（投标方填写）</w:t>
      </w:r>
    </w:p>
    <w:p>
      <w:pPr>
        <w:jc w:val="center"/>
        <w:rPr>
          <w:szCs w:val="21"/>
        </w:rPr>
      </w:pPr>
    </w:p>
    <w:tbl>
      <w:tblPr>
        <w:tblStyle w:val="84"/>
        <w:tblW w:w="5000" w:type="pct"/>
        <w:tblInd w:w="0" w:type="dxa"/>
        <w:tblLayout w:type="fixed"/>
        <w:tblCellMar>
          <w:top w:w="0" w:type="dxa"/>
          <w:left w:w="108" w:type="dxa"/>
          <w:bottom w:w="0" w:type="dxa"/>
          <w:right w:w="108" w:type="dxa"/>
        </w:tblCellMar>
      </w:tblPr>
      <w:tblGrid>
        <w:gridCol w:w="1101"/>
        <w:gridCol w:w="3259"/>
        <w:gridCol w:w="2810"/>
        <w:gridCol w:w="2115"/>
      </w:tblGrid>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bCs/>
                <w:color w:val="000000"/>
                <w:kern w:val="0"/>
                <w:szCs w:val="21"/>
              </w:rPr>
              <w:t>序号</w:t>
            </w:r>
          </w:p>
        </w:tc>
        <w:tc>
          <w:tcPr>
            <w:tcW w:w="1755" w:type="pct"/>
            <w:tcBorders>
              <w:top w:val="single" w:color="auto" w:sz="4" w:space="0"/>
              <w:left w:val="nil"/>
              <w:bottom w:val="single" w:color="auto" w:sz="4" w:space="0"/>
              <w:right w:val="single" w:color="auto" w:sz="4" w:space="0"/>
            </w:tcBorders>
            <w:shd w:val="clear" w:color="auto" w:fill="auto"/>
            <w:vAlign w:val="center"/>
          </w:tcPr>
          <w:p>
            <w:pPr>
              <w:jc w:val="center"/>
              <w:rPr>
                <w:szCs w:val="21"/>
              </w:rPr>
            </w:pPr>
            <w:r>
              <w:rPr>
                <w:rFonts w:hint="eastAsia" w:ascii="宋体" w:hAnsi="宋体"/>
                <w:bCs/>
                <w:color w:val="000000"/>
                <w:kern w:val="0"/>
                <w:szCs w:val="21"/>
              </w:rPr>
              <w:t>参数类型</w:t>
            </w:r>
          </w:p>
        </w:tc>
        <w:tc>
          <w:tcPr>
            <w:tcW w:w="1513" w:type="pct"/>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bCs/>
                <w:color w:val="000000"/>
                <w:kern w:val="0"/>
                <w:szCs w:val="21"/>
              </w:rPr>
              <w:t>项目单位要求值</w:t>
            </w:r>
          </w:p>
        </w:tc>
        <w:tc>
          <w:tcPr>
            <w:tcW w:w="113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bCs/>
                <w:color w:val="000000"/>
                <w:kern w:val="0"/>
                <w:szCs w:val="21"/>
              </w:rPr>
              <w:t>投标人响应值</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color w:val="000000" w:themeColor="text1"/>
                <w14:textFill>
                  <w14:solidFill>
                    <w14:schemeClr w14:val="tx1"/>
                  </w14:solidFill>
                </w14:textFill>
              </w:rPr>
              <w:t>产品型式</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hint="eastAsia" w:ascii="宋体" w:hAnsi="宋体"/>
                <w:color w:val="0070C0"/>
                <w:szCs w:val="21"/>
              </w:rPr>
              <w:t>塑料</w:t>
            </w:r>
            <w:r>
              <w:rPr>
                <w:rFonts w:ascii="宋体" w:hAnsi="宋体"/>
                <w:color w:val="0070C0"/>
                <w:szCs w:val="21"/>
              </w:rPr>
              <w:t>壳式</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2</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color w:val="000000" w:themeColor="text1"/>
                <w:szCs w:val="18"/>
                <w14:textFill>
                  <w14:solidFill>
                    <w14:schemeClr w14:val="tx1"/>
                  </w14:solidFill>
                </w14:textFill>
              </w:rPr>
              <w:t>额定电压（kV）</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hint="eastAsia" w:ascii="宋体" w:hAnsi="宋体"/>
                <w:color w:val="0070C0"/>
                <w:szCs w:val="21"/>
              </w:rPr>
              <w:t>0.38</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3</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最高运行电压</w:t>
            </w:r>
            <w:r>
              <w:rPr>
                <w:color w:val="000000" w:themeColor="text1"/>
                <w:szCs w:val="18"/>
                <w14:textFill>
                  <w14:solidFill>
                    <w14:schemeClr w14:val="tx1"/>
                  </w14:solidFill>
                </w14:textFill>
              </w:rPr>
              <w:t>（kV）</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hint="eastAsia" w:ascii="宋体" w:hAnsi="宋体"/>
                <w:color w:val="0070C0"/>
                <w:szCs w:val="21"/>
              </w:rPr>
              <w:t>0.66</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ascii="宋体" w:hAnsi="宋体"/>
                <w:color w:val="000000"/>
                <w:kern w:val="0"/>
                <w:szCs w:val="21"/>
              </w:rPr>
              <w:t>4</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szCs w:val="21"/>
              </w:rPr>
              <w:t>额定电流比</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ascii="宋体" w:hAnsi="宋体"/>
                <w:color w:val="0070C0"/>
                <w:szCs w:val="21"/>
              </w:rPr>
              <w:t>1500/1A</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ascii="宋体" w:hAnsi="宋体"/>
                <w:color w:val="000000"/>
                <w:kern w:val="0"/>
                <w:szCs w:val="21"/>
              </w:rPr>
              <w:t>5</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szCs w:val="21"/>
              </w:rPr>
              <w:t>准确</w:t>
            </w:r>
            <w:r>
              <w:rPr>
                <w:szCs w:val="21"/>
              </w:rPr>
              <w:t>级次</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hint="eastAsia" w:ascii="宋体" w:hAnsi="宋体"/>
                <w:color w:val="0070C0"/>
                <w:szCs w:val="21"/>
              </w:rPr>
              <w:t>5P20</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ascii="宋体" w:hAnsi="宋体"/>
                <w:color w:val="000000"/>
                <w:kern w:val="0"/>
                <w:szCs w:val="21"/>
              </w:rPr>
              <w:t>6</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szCs w:val="21"/>
              </w:rPr>
              <w:t>额定</w:t>
            </w:r>
            <w:r>
              <w:rPr>
                <w:szCs w:val="21"/>
              </w:rPr>
              <w:t>容量</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hint="eastAsia" w:ascii="宋体" w:hAnsi="宋体"/>
                <w:color w:val="0070C0"/>
                <w:szCs w:val="21"/>
              </w:rPr>
              <w:t>20VA</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ascii="宋体" w:hAnsi="宋体"/>
                <w:color w:val="000000"/>
                <w:kern w:val="0"/>
                <w:szCs w:val="21"/>
              </w:rPr>
              <w:t>7</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000000"/>
                <w:szCs w:val="21"/>
              </w:rPr>
            </w:pPr>
            <w:r>
              <w:rPr>
                <w:rFonts w:hint="eastAsia"/>
                <w:color w:val="000000"/>
                <w:szCs w:val="21"/>
              </w:rPr>
              <w:t>二次绕组匝间过电压</w:t>
            </w:r>
          </w:p>
          <w:p>
            <w:pPr>
              <w:jc w:val="center"/>
              <w:rPr>
                <w:szCs w:val="21"/>
              </w:rPr>
            </w:pPr>
            <w:r>
              <w:rPr>
                <w:rFonts w:hint="eastAsia"/>
                <w:color w:val="000000"/>
                <w:szCs w:val="21"/>
              </w:rPr>
              <w:t>（kV，峰值）</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hint="eastAsia"/>
                <w:color w:val="0070C0"/>
                <w:szCs w:val="21"/>
              </w:rPr>
              <w:t>4.5</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ascii="宋体" w:hAnsi="宋体"/>
                <w:color w:val="000000"/>
                <w:kern w:val="0"/>
                <w:szCs w:val="21"/>
              </w:rPr>
              <w:t>8</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szCs w:val="21"/>
              </w:rPr>
              <w:t>一次</w:t>
            </w:r>
            <w:r>
              <w:rPr>
                <w:szCs w:val="21"/>
              </w:rPr>
              <w:t>端额定绝缘水平</w:t>
            </w:r>
            <w:r>
              <w:rPr>
                <w:rFonts w:hint="eastAsia"/>
                <w:szCs w:val="21"/>
              </w:rPr>
              <w:t>（kV）</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ascii="宋体" w:hAnsi="宋体"/>
                <w:color w:val="0070C0"/>
                <w:szCs w:val="21"/>
              </w:rPr>
              <w:t>3</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9</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szCs w:val="21"/>
              </w:rPr>
              <w:t>二次</w:t>
            </w:r>
            <w:r>
              <w:rPr>
                <w:szCs w:val="21"/>
              </w:rPr>
              <w:t>端额定绝缘水平</w:t>
            </w:r>
            <w:r>
              <w:rPr>
                <w:rFonts w:hint="eastAsia"/>
                <w:szCs w:val="21"/>
              </w:rPr>
              <w:t>（kV）</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ascii="宋体" w:hAnsi="宋体"/>
                <w:color w:val="0070C0"/>
                <w:szCs w:val="21"/>
              </w:rPr>
              <w:t>3</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ascii="宋体" w:hAnsi="宋体"/>
                <w:color w:val="000000"/>
                <w:kern w:val="0"/>
                <w:szCs w:val="21"/>
              </w:rPr>
              <w:t>10</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color w:val="000000"/>
                <w:szCs w:val="21"/>
              </w:rPr>
              <w:t>功率因数</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rFonts w:hint="eastAsia" w:ascii="宋体" w:hAnsi="宋体"/>
                <w:color w:val="0070C0"/>
                <w:szCs w:val="21"/>
              </w:rPr>
              <w:t>0.8</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r>
        <w:tblPrEx>
          <w:tblCellMar>
            <w:top w:w="0" w:type="dxa"/>
            <w:left w:w="108" w:type="dxa"/>
            <w:bottom w:w="0" w:type="dxa"/>
            <w:right w:w="108" w:type="dxa"/>
          </w:tblCellMar>
        </w:tblPrEx>
        <w:trPr>
          <w:trHeight w:val="330" w:hRule="atLeast"/>
        </w:trPr>
        <w:tc>
          <w:tcPr>
            <w:tcW w:w="59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p>
        </w:tc>
        <w:tc>
          <w:tcPr>
            <w:tcW w:w="175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Cs w:val="21"/>
              </w:rPr>
            </w:pPr>
            <w:r>
              <w:rPr>
                <w:rFonts w:hint="eastAsia"/>
                <w:szCs w:val="21"/>
              </w:rPr>
              <w:t>安装地点</w:t>
            </w:r>
          </w:p>
        </w:tc>
        <w:tc>
          <w:tcPr>
            <w:tcW w:w="1513" w:type="pct"/>
            <w:tcBorders>
              <w:top w:val="single" w:color="auto" w:sz="4" w:space="0"/>
              <w:left w:val="single" w:color="auto" w:sz="4"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70C0"/>
                <w:szCs w:val="21"/>
              </w:rPr>
            </w:pPr>
            <w:r>
              <w:rPr>
                <w:color w:val="0070C0"/>
                <w:szCs w:val="21"/>
              </w:rPr>
              <w:t>3</w:t>
            </w:r>
            <w:r>
              <w:rPr>
                <w:rFonts w:hint="eastAsia"/>
                <w:color w:val="0070C0"/>
                <w:szCs w:val="21"/>
              </w:rPr>
              <w:t>台室内安装</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r>
    </w:tbl>
    <w:p>
      <w:pPr>
        <w:adjustRightInd w:val="0"/>
        <w:snapToGrid w:val="0"/>
        <w:spacing w:line="360" w:lineRule="auto"/>
        <w:ind w:firstLine="420" w:firstLineChars="200"/>
        <w:rPr>
          <w:rFonts w:ascii="宋体" w:hAnsi="宋体"/>
          <w:szCs w:val="21"/>
        </w:rPr>
      </w:pPr>
      <w:bookmarkStart w:id="453" w:name="_Toc277597215"/>
      <w:bookmarkStart w:id="454" w:name="_Toc283566196"/>
    </w:p>
    <w:p>
      <w:pPr>
        <w:adjustRightInd w:val="0"/>
        <w:snapToGrid w:val="0"/>
        <w:spacing w:line="360" w:lineRule="auto"/>
        <w:ind w:firstLine="420" w:firstLineChars="200"/>
        <w:jc w:val="left"/>
        <w:rPr>
          <w:rFonts w:ascii="宋体" w:hAnsi="宋体"/>
          <w:szCs w:val="21"/>
        </w:rPr>
      </w:pPr>
      <w:r>
        <w:rPr>
          <w:rFonts w:hint="eastAsia" w:ascii="宋体" w:hAnsi="宋体"/>
          <w:szCs w:val="21"/>
        </w:rPr>
        <w:t>电流互感器试验应按照本规范和相关标准有关条款进行，并符合下列要求：试验应出具详细记载测试数据的正式试验报告。</w:t>
      </w:r>
      <w:r>
        <w:rPr>
          <w:rFonts w:ascii="宋体" w:hAnsi="宋体"/>
          <w:szCs w:val="21"/>
        </w:rPr>
        <w:t>运行单位</w:t>
      </w:r>
      <w:r>
        <w:rPr>
          <w:rFonts w:hint="eastAsia" w:ascii="宋体" w:hAnsi="宋体"/>
          <w:szCs w:val="21"/>
        </w:rPr>
        <w:t>有权</w:t>
      </w:r>
      <w:r>
        <w:rPr>
          <w:rFonts w:ascii="宋体" w:hAnsi="宋体"/>
          <w:szCs w:val="21"/>
        </w:rPr>
        <w:t>根据需要派遣技术人</w:t>
      </w:r>
      <w:r>
        <w:rPr>
          <w:rFonts w:hint="eastAsia" w:ascii="宋体" w:hAnsi="宋体"/>
          <w:szCs w:val="21"/>
        </w:rPr>
        <w:t>员</w:t>
      </w:r>
      <w:r>
        <w:rPr>
          <w:rFonts w:ascii="宋体" w:hAnsi="宋体"/>
          <w:szCs w:val="21"/>
        </w:rPr>
        <w:t>到互感器制造厂对设备的制造进行检验和监造，见证设备的型式试验、例行试验和特殊试验。</w:t>
      </w:r>
    </w:p>
    <w:p>
      <w:pPr>
        <w:adjustRightInd w:val="0"/>
        <w:snapToGrid w:val="0"/>
        <w:spacing w:line="360" w:lineRule="auto"/>
        <w:rPr>
          <w:rFonts w:ascii="宋体" w:hAnsi="宋体"/>
        </w:rPr>
      </w:pPr>
      <w:bookmarkStart w:id="455" w:name="_Toc23361"/>
      <w:bookmarkStart w:id="456" w:name="_Toc494551137"/>
      <w:bookmarkStart w:id="457" w:name="_Toc287280418"/>
      <w:bookmarkStart w:id="458" w:name="_Toc1644"/>
      <w:bookmarkStart w:id="459" w:name="_Toc283560591"/>
      <w:bookmarkStart w:id="460" w:name="_Toc465421756"/>
      <w:bookmarkStart w:id="461" w:name="_Toc291226856"/>
      <w:r>
        <w:rPr>
          <w:rFonts w:hint="eastAsia" w:ascii="宋体" w:hAnsi="宋体"/>
        </w:rPr>
        <w:t>试验分类</w:t>
      </w:r>
      <w:bookmarkEnd w:id="455"/>
      <w:bookmarkEnd w:id="456"/>
      <w:bookmarkEnd w:id="457"/>
      <w:bookmarkEnd w:id="458"/>
      <w:bookmarkEnd w:id="459"/>
      <w:bookmarkEnd w:id="460"/>
      <w:bookmarkEnd w:id="461"/>
    </w:p>
    <w:p>
      <w:pPr>
        <w:adjustRightInd w:val="0"/>
        <w:snapToGrid w:val="0"/>
        <w:spacing w:line="360" w:lineRule="auto"/>
        <w:ind w:firstLine="420" w:firstLineChars="200"/>
        <w:jc w:val="left"/>
        <w:rPr>
          <w:rFonts w:ascii="宋体" w:hAnsi="宋体"/>
          <w:szCs w:val="21"/>
        </w:rPr>
      </w:pPr>
      <w:r>
        <w:rPr>
          <w:rFonts w:ascii="宋体" w:hAnsi="宋体"/>
          <w:szCs w:val="21"/>
        </w:rPr>
        <w:t>试验分为型式试验、例行试验、及现场交接试验。</w:t>
      </w:r>
    </w:p>
    <w:p>
      <w:pPr>
        <w:spacing w:line="360" w:lineRule="auto"/>
        <w:jc w:val="left"/>
        <w:rPr>
          <w:rFonts w:ascii="宋体" w:hAnsi="宋体"/>
        </w:rPr>
      </w:pPr>
      <w:bookmarkStart w:id="462" w:name="_Toc465421757"/>
      <w:bookmarkStart w:id="463" w:name="_Toc465421652"/>
      <w:r>
        <w:rPr>
          <w:rFonts w:ascii="宋体" w:hAnsi="宋体"/>
        </w:rPr>
        <w:t>型式试验：对每种型式互感器中的一台进行试验。</w:t>
      </w:r>
      <w:bookmarkEnd w:id="462"/>
      <w:bookmarkEnd w:id="463"/>
    </w:p>
    <w:p>
      <w:pPr>
        <w:spacing w:line="360" w:lineRule="auto"/>
        <w:jc w:val="left"/>
        <w:rPr>
          <w:rFonts w:ascii="宋体" w:hAnsi="宋体"/>
        </w:rPr>
      </w:pPr>
      <w:bookmarkStart w:id="464" w:name="_Toc465421758"/>
      <w:bookmarkStart w:id="465" w:name="_Toc465421653"/>
      <w:r>
        <w:rPr>
          <w:rFonts w:ascii="宋体" w:hAnsi="宋体"/>
        </w:rPr>
        <w:t>例行试验：每台互感器均应进行的试验。</w:t>
      </w:r>
      <w:bookmarkEnd w:id="464"/>
      <w:bookmarkEnd w:id="465"/>
    </w:p>
    <w:p>
      <w:pPr>
        <w:spacing w:line="360" w:lineRule="auto"/>
        <w:jc w:val="left"/>
        <w:rPr>
          <w:rFonts w:ascii="宋体" w:hAnsi="宋体"/>
        </w:rPr>
      </w:pPr>
      <w:bookmarkStart w:id="466" w:name="_Toc465421654"/>
      <w:bookmarkStart w:id="467" w:name="_Toc465421759"/>
      <w:r>
        <w:rPr>
          <w:rFonts w:hint="eastAsia" w:ascii="宋体" w:hAnsi="宋体"/>
        </w:rPr>
        <w:t>现</w:t>
      </w:r>
      <w:r>
        <w:rPr>
          <w:rFonts w:ascii="宋体" w:hAnsi="宋体"/>
        </w:rPr>
        <w:t>场交接试验：根据GB 50150和</w:t>
      </w:r>
      <w:r>
        <w:rPr>
          <w:rFonts w:hint="eastAsia" w:ascii="宋体" w:hAnsi="宋体"/>
        </w:rPr>
        <w:t>中国</w:t>
      </w:r>
      <w:r>
        <w:rPr>
          <w:rFonts w:ascii="宋体" w:hAnsi="宋体"/>
        </w:rPr>
        <w:t>南方电网</w:t>
      </w:r>
      <w:r>
        <w:rPr>
          <w:rFonts w:hint="eastAsia" w:ascii="宋体" w:hAnsi="宋体"/>
        </w:rPr>
        <w:t>有限责任</w:t>
      </w:r>
      <w:r>
        <w:rPr>
          <w:rFonts w:ascii="宋体" w:hAnsi="宋体"/>
        </w:rPr>
        <w:t>公司相关要求进行。</w:t>
      </w:r>
      <w:bookmarkEnd w:id="466"/>
      <w:bookmarkEnd w:id="467"/>
    </w:p>
    <w:p>
      <w:pPr>
        <w:adjustRightInd w:val="0"/>
        <w:snapToGrid w:val="0"/>
        <w:spacing w:line="360" w:lineRule="auto"/>
        <w:rPr>
          <w:rFonts w:ascii="宋体" w:hAnsi="宋体"/>
        </w:rPr>
      </w:pPr>
      <w:bookmarkStart w:id="468" w:name="_Toc291226857"/>
      <w:bookmarkStart w:id="469" w:name="_Toc465421760"/>
      <w:bookmarkStart w:id="470" w:name="_Toc494551138"/>
      <w:bookmarkStart w:id="471" w:name="_Toc2375"/>
      <w:bookmarkStart w:id="472" w:name="_Toc1142"/>
      <w:r>
        <w:rPr>
          <w:rFonts w:ascii="宋体" w:hAnsi="宋体"/>
        </w:rPr>
        <w:t>型式试验</w:t>
      </w:r>
      <w:bookmarkEnd w:id="453"/>
      <w:bookmarkEnd w:id="454"/>
      <w:bookmarkEnd w:id="468"/>
      <w:bookmarkEnd w:id="469"/>
      <w:bookmarkEnd w:id="470"/>
      <w:bookmarkEnd w:id="471"/>
      <w:bookmarkEnd w:id="472"/>
    </w:p>
    <w:p>
      <w:pPr>
        <w:jc w:val="left"/>
        <w:rPr>
          <w:szCs w:val="21"/>
        </w:rPr>
      </w:pPr>
      <w:r>
        <w:rPr>
          <w:rFonts w:hint="eastAsia" w:ascii="宋体" w:hAnsi="宋体"/>
          <w:szCs w:val="21"/>
        </w:rPr>
        <w:t>型式试验的项目内容如下，本规范有明确要求的按本规范执行，其他试验要求参见GB</w:t>
      </w:r>
      <w:r>
        <w:rPr>
          <w:rFonts w:ascii="宋体" w:hAnsi="宋体"/>
          <w:szCs w:val="21"/>
        </w:rPr>
        <w:t>/T</w:t>
      </w:r>
      <w:r>
        <w:rPr>
          <w:rFonts w:hint="eastAsia" w:ascii="宋体" w:hAnsi="宋体"/>
          <w:szCs w:val="21"/>
        </w:rPr>
        <w:t>20840.2中的相关规定。</w:t>
      </w:r>
    </w:p>
    <w:p>
      <w:pPr>
        <w:spacing w:line="360" w:lineRule="auto"/>
        <w:rPr>
          <w:rFonts w:ascii="宋体" w:hAnsi="宋体"/>
        </w:rPr>
      </w:pPr>
      <w:r>
        <w:rPr>
          <w:rFonts w:hint="eastAsia" w:ascii="宋体" w:hAnsi="宋体"/>
        </w:rPr>
        <w:t>短时电流试验；</w:t>
      </w:r>
    </w:p>
    <w:p>
      <w:pPr>
        <w:spacing w:line="360" w:lineRule="auto"/>
        <w:rPr>
          <w:rFonts w:ascii="宋体" w:hAnsi="宋体"/>
        </w:rPr>
      </w:pPr>
      <w:r>
        <w:rPr>
          <w:rFonts w:hint="eastAsia" w:ascii="宋体" w:hAnsi="宋体"/>
        </w:rPr>
        <w:t>温升试验；</w:t>
      </w:r>
    </w:p>
    <w:p>
      <w:pPr>
        <w:spacing w:line="360" w:lineRule="auto"/>
        <w:rPr>
          <w:rFonts w:ascii="宋体" w:hAnsi="宋体"/>
        </w:rPr>
      </w:pPr>
      <w:r>
        <w:rPr>
          <w:rFonts w:hint="eastAsia" w:ascii="宋体" w:hAnsi="宋体"/>
        </w:rPr>
        <w:t>一次端工频耐压试验；</w:t>
      </w:r>
    </w:p>
    <w:p>
      <w:pPr>
        <w:spacing w:line="360" w:lineRule="auto"/>
        <w:rPr>
          <w:rFonts w:ascii="宋体" w:hAnsi="宋体"/>
        </w:rPr>
      </w:pPr>
      <w:r>
        <w:rPr>
          <w:rFonts w:hint="eastAsia" w:ascii="宋体" w:hAnsi="宋体"/>
        </w:rPr>
        <w:t>户外互感器的湿试验；</w:t>
      </w:r>
    </w:p>
    <w:p>
      <w:pPr>
        <w:spacing w:line="360" w:lineRule="auto"/>
        <w:rPr>
          <w:rFonts w:ascii="宋体" w:hAnsi="宋体"/>
        </w:rPr>
      </w:pPr>
      <w:r>
        <w:rPr>
          <w:rFonts w:hint="eastAsia" w:ascii="宋体" w:hAnsi="宋体"/>
        </w:rPr>
        <w:t>外壳防护等级的检验；</w:t>
      </w:r>
    </w:p>
    <w:p>
      <w:pPr>
        <w:adjustRightInd w:val="0"/>
        <w:snapToGrid w:val="0"/>
        <w:spacing w:line="360" w:lineRule="auto"/>
        <w:rPr>
          <w:rFonts w:ascii="宋体" w:hAnsi="宋体"/>
          <w:szCs w:val="21"/>
        </w:rPr>
      </w:pPr>
      <w:bookmarkStart w:id="473" w:name="_Toc277597245"/>
      <w:bookmarkStart w:id="474" w:name="_Toc283566198"/>
      <w:bookmarkStart w:id="475" w:name="_Toc244916012"/>
      <w:bookmarkStart w:id="476" w:name="_Toc274903062"/>
      <w:bookmarkStart w:id="477" w:name="_Toc274903001"/>
      <w:r>
        <w:rPr>
          <w:rFonts w:hint="eastAsia" w:ascii="宋体" w:hAnsi="宋体"/>
          <w:szCs w:val="21"/>
        </w:rPr>
        <w:t>机械强度试验；</w:t>
      </w:r>
    </w:p>
    <w:p>
      <w:pPr>
        <w:adjustRightInd w:val="0"/>
        <w:snapToGrid w:val="0"/>
        <w:spacing w:line="360" w:lineRule="auto"/>
        <w:rPr>
          <w:rFonts w:ascii="宋体" w:hAnsi="宋体"/>
          <w:szCs w:val="21"/>
        </w:rPr>
      </w:pPr>
      <w:r>
        <w:rPr>
          <w:rFonts w:hint="eastAsia" w:ascii="宋体" w:hAnsi="宋体" w:cs="宋体"/>
        </w:rPr>
        <w:t>测量用电流互感器的仪表保安系数（FS）测定；</w:t>
      </w:r>
    </w:p>
    <w:p>
      <w:pPr>
        <w:adjustRightInd w:val="0"/>
        <w:snapToGrid w:val="0"/>
        <w:spacing w:line="360" w:lineRule="auto"/>
        <w:rPr>
          <w:rFonts w:ascii="宋体" w:hAnsi="宋体"/>
        </w:rPr>
      </w:pPr>
      <w:bookmarkStart w:id="478" w:name="_Toc465421761"/>
      <w:bookmarkStart w:id="479" w:name="_Toc494551139"/>
      <w:bookmarkStart w:id="480" w:name="_Toc16356"/>
      <w:bookmarkStart w:id="481" w:name="_Toc32373"/>
      <w:bookmarkStart w:id="482" w:name="_Toc291226859"/>
      <w:r>
        <w:rPr>
          <w:rFonts w:hint="eastAsia" w:ascii="宋体" w:hAnsi="宋体"/>
        </w:rPr>
        <w:t>例行</w:t>
      </w:r>
      <w:r>
        <w:rPr>
          <w:rFonts w:ascii="宋体" w:hAnsi="宋体"/>
        </w:rPr>
        <w:t>试验</w:t>
      </w:r>
      <w:bookmarkEnd w:id="473"/>
      <w:bookmarkEnd w:id="474"/>
      <w:bookmarkEnd w:id="475"/>
      <w:bookmarkEnd w:id="476"/>
      <w:bookmarkEnd w:id="477"/>
      <w:bookmarkEnd w:id="478"/>
      <w:bookmarkEnd w:id="479"/>
      <w:bookmarkEnd w:id="480"/>
      <w:bookmarkEnd w:id="481"/>
      <w:bookmarkEnd w:id="482"/>
    </w:p>
    <w:p>
      <w:pPr>
        <w:adjustRightInd w:val="0"/>
        <w:snapToGrid w:val="0"/>
        <w:spacing w:line="360" w:lineRule="auto"/>
        <w:ind w:firstLine="420" w:firstLineChars="200"/>
        <w:rPr>
          <w:rFonts w:ascii="宋体" w:hAnsi="宋体"/>
          <w:szCs w:val="21"/>
        </w:rPr>
      </w:pPr>
      <w:r>
        <w:rPr>
          <w:rFonts w:hint="eastAsia" w:ascii="宋体" w:hAnsi="宋体"/>
          <w:szCs w:val="21"/>
        </w:rPr>
        <w:t>电流</w:t>
      </w:r>
      <w:r>
        <w:rPr>
          <w:rFonts w:ascii="宋体" w:hAnsi="宋体"/>
          <w:szCs w:val="21"/>
        </w:rPr>
        <w:t>互感器在经受规定的绝缘型式试验后，还应经受规定的全部例行试验项目。</w:t>
      </w:r>
      <w:r>
        <w:rPr>
          <w:rFonts w:hint="eastAsia" w:ascii="宋体" w:hAnsi="宋体"/>
          <w:szCs w:val="21"/>
        </w:rPr>
        <w:t>本规范有明确要求的按本规范执行，其他具体试验要求参见GB</w:t>
      </w:r>
      <w:r>
        <w:rPr>
          <w:rFonts w:ascii="宋体" w:hAnsi="宋体"/>
          <w:szCs w:val="21"/>
        </w:rPr>
        <w:t xml:space="preserve">/T </w:t>
      </w:r>
      <w:r>
        <w:rPr>
          <w:rFonts w:hint="eastAsia" w:ascii="宋体" w:hAnsi="宋体"/>
          <w:szCs w:val="21"/>
        </w:rPr>
        <w:t>20840.2-2014中的相关规定。</w:t>
      </w:r>
    </w:p>
    <w:p>
      <w:pPr>
        <w:adjustRightInd w:val="0"/>
        <w:snapToGrid w:val="0"/>
        <w:spacing w:line="360" w:lineRule="auto"/>
        <w:rPr>
          <w:rFonts w:ascii="宋体" w:hAnsi="宋体"/>
          <w:szCs w:val="21"/>
        </w:rPr>
      </w:pPr>
      <w:r>
        <w:rPr>
          <w:rFonts w:hint="eastAsia" w:ascii="宋体" w:hAnsi="宋体"/>
          <w:szCs w:val="21"/>
        </w:rPr>
        <w:t>一次绕组工频耐压试验；</w:t>
      </w:r>
    </w:p>
    <w:p>
      <w:pPr>
        <w:adjustRightInd w:val="0"/>
        <w:snapToGrid w:val="0"/>
        <w:spacing w:line="360" w:lineRule="auto"/>
        <w:rPr>
          <w:rFonts w:ascii="宋体" w:hAnsi="宋体"/>
          <w:szCs w:val="21"/>
        </w:rPr>
      </w:pPr>
      <w:r>
        <w:rPr>
          <w:rFonts w:hint="eastAsia" w:ascii="宋体" w:hAnsi="宋体"/>
          <w:szCs w:val="21"/>
        </w:rPr>
        <w:t>局部放电测量试验；</w:t>
      </w:r>
    </w:p>
    <w:p>
      <w:pPr>
        <w:adjustRightInd w:val="0"/>
        <w:snapToGrid w:val="0"/>
        <w:spacing w:line="360" w:lineRule="auto"/>
        <w:rPr>
          <w:rFonts w:ascii="宋体" w:hAnsi="宋体"/>
          <w:szCs w:val="21"/>
        </w:rPr>
      </w:pPr>
      <w:r>
        <w:rPr>
          <w:rFonts w:hint="eastAsia" w:ascii="宋体" w:hAnsi="宋体"/>
          <w:szCs w:val="21"/>
        </w:rPr>
        <w:t>电容量和介质损耗因数测量试验；（仅适用于油纸绝缘电流互感器）；</w:t>
      </w:r>
    </w:p>
    <w:p>
      <w:pPr>
        <w:adjustRightInd w:val="0"/>
        <w:snapToGrid w:val="0"/>
        <w:spacing w:line="360" w:lineRule="auto"/>
        <w:rPr>
          <w:rFonts w:ascii="宋体" w:hAnsi="宋体"/>
          <w:szCs w:val="21"/>
        </w:rPr>
      </w:pPr>
      <w:r>
        <w:rPr>
          <w:rFonts w:hint="eastAsia" w:ascii="宋体" w:hAnsi="宋体"/>
          <w:szCs w:val="21"/>
        </w:rPr>
        <w:t>绕组段间工频耐压试验；</w:t>
      </w:r>
    </w:p>
    <w:p>
      <w:pPr>
        <w:adjustRightInd w:val="0"/>
        <w:snapToGrid w:val="0"/>
        <w:spacing w:line="360" w:lineRule="auto"/>
        <w:rPr>
          <w:rFonts w:ascii="宋体" w:hAnsi="宋体"/>
          <w:szCs w:val="21"/>
        </w:rPr>
      </w:pPr>
      <w:r>
        <w:rPr>
          <w:rFonts w:hint="eastAsia" w:ascii="宋体" w:hAnsi="宋体"/>
          <w:szCs w:val="21"/>
        </w:rPr>
        <w:t>二次绕组工频耐压试验；</w:t>
      </w:r>
    </w:p>
    <w:p>
      <w:pPr>
        <w:adjustRightInd w:val="0"/>
        <w:snapToGrid w:val="0"/>
        <w:spacing w:line="360" w:lineRule="auto"/>
        <w:rPr>
          <w:rFonts w:ascii="宋体" w:hAnsi="宋体"/>
          <w:szCs w:val="21"/>
        </w:rPr>
      </w:pPr>
      <w:r>
        <w:rPr>
          <w:rFonts w:hint="eastAsia" w:ascii="宋体" w:hAnsi="宋体"/>
          <w:szCs w:val="21"/>
        </w:rPr>
        <w:t>环境温度下密封性能试验；</w:t>
      </w:r>
    </w:p>
    <w:p>
      <w:pPr>
        <w:adjustRightInd w:val="0"/>
        <w:snapToGrid w:val="0"/>
        <w:spacing w:line="360" w:lineRule="auto"/>
        <w:rPr>
          <w:rFonts w:ascii="宋体" w:hAnsi="宋体"/>
          <w:szCs w:val="21"/>
        </w:rPr>
      </w:pPr>
      <w:r>
        <w:rPr>
          <w:rFonts w:hint="eastAsia" w:ascii="宋体" w:hAnsi="宋体"/>
          <w:szCs w:val="21"/>
        </w:rPr>
        <w:t>二次回路电阻测定；</w:t>
      </w:r>
    </w:p>
    <w:p>
      <w:pPr>
        <w:adjustRightInd w:val="0"/>
        <w:snapToGrid w:val="0"/>
        <w:spacing w:line="360" w:lineRule="auto"/>
        <w:rPr>
          <w:rFonts w:ascii="宋体" w:hAnsi="宋体"/>
          <w:szCs w:val="21"/>
        </w:rPr>
      </w:pPr>
      <w:r>
        <w:rPr>
          <w:rFonts w:hint="eastAsia" w:ascii="宋体" w:hAnsi="宋体"/>
          <w:szCs w:val="21"/>
        </w:rPr>
        <w:t>二次回路时间常数测定；</w:t>
      </w:r>
    </w:p>
    <w:p>
      <w:pPr>
        <w:adjustRightInd w:val="0"/>
        <w:snapToGrid w:val="0"/>
        <w:spacing w:line="360" w:lineRule="auto"/>
        <w:rPr>
          <w:rFonts w:ascii="宋体" w:hAnsi="宋体"/>
          <w:szCs w:val="21"/>
        </w:rPr>
      </w:pPr>
      <w:r>
        <w:rPr>
          <w:rFonts w:hint="eastAsia" w:ascii="宋体" w:hAnsi="宋体"/>
          <w:szCs w:val="21"/>
        </w:rPr>
        <w:t>额定拐点电势（Ek）和Ek下励磁电流的试验；</w:t>
      </w:r>
    </w:p>
    <w:p>
      <w:pPr>
        <w:adjustRightInd w:val="0"/>
        <w:snapToGrid w:val="0"/>
        <w:spacing w:line="360" w:lineRule="auto"/>
        <w:rPr>
          <w:rFonts w:ascii="宋体" w:hAnsi="宋体"/>
          <w:szCs w:val="21"/>
        </w:rPr>
      </w:pPr>
      <w:r>
        <w:rPr>
          <w:rFonts w:hint="eastAsia" w:ascii="宋体" w:hAnsi="宋体"/>
          <w:szCs w:val="21"/>
        </w:rPr>
        <w:t>匝间过电压试验；</w:t>
      </w:r>
    </w:p>
    <w:p>
      <w:pPr>
        <w:adjustRightInd w:val="0"/>
        <w:snapToGrid w:val="0"/>
        <w:spacing w:line="360" w:lineRule="auto"/>
        <w:rPr>
          <w:rFonts w:ascii="宋体" w:hAnsi="宋体"/>
          <w:szCs w:val="21"/>
        </w:rPr>
      </w:pPr>
      <w:r>
        <w:rPr>
          <w:rFonts w:hint="eastAsia" w:ascii="宋体" w:hAnsi="宋体"/>
          <w:szCs w:val="21"/>
        </w:rPr>
        <w:t>准确度试验</w:t>
      </w:r>
    </w:p>
    <w:p>
      <w:pPr>
        <w:adjustRightInd w:val="0"/>
        <w:snapToGrid w:val="0"/>
        <w:spacing w:line="360" w:lineRule="auto"/>
        <w:ind w:firstLine="420" w:firstLineChars="200"/>
        <w:rPr>
          <w:rFonts w:ascii="宋体" w:hAnsi="宋体"/>
          <w:szCs w:val="21"/>
        </w:rPr>
      </w:pPr>
      <w:r>
        <w:rPr>
          <w:rFonts w:hint="eastAsia" w:ascii="宋体" w:hAnsi="宋体"/>
          <w:szCs w:val="21"/>
        </w:rPr>
        <w:t>准确度试验应在其他试验后进行。</w:t>
      </w:r>
    </w:p>
    <w:p>
      <w:pPr>
        <w:adjustRightInd w:val="0"/>
        <w:snapToGrid w:val="0"/>
        <w:spacing w:line="360" w:lineRule="auto"/>
        <w:rPr>
          <w:rFonts w:ascii="宋体" w:hAnsi="宋体"/>
          <w:szCs w:val="21"/>
        </w:rPr>
      </w:pPr>
      <w:r>
        <w:rPr>
          <w:rFonts w:hint="eastAsia" w:ascii="宋体" w:hAnsi="宋体"/>
          <w:szCs w:val="21"/>
        </w:rPr>
        <w:t>爬电距离和干弧距离检查</w:t>
      </w:r>
    </w:p>
    <w:p>
      <w:pPr>
        <w:adjustRightInd w:val="0"/>
        <w:snapToGrid w:val="0"/>
        <w:spacing w:line="360" w:lineRule="auto"/>
        <w:rPr>
          <w:rFonts w:ascii="宋体" w:hAnsi="宋体"/>
          <w:szCs w:val="21"/>
        </w:rPr>
      </w:pPr>
      <w:r>
        <w:rPr>
          <w:rFonts w:hint="eastAsia" w:ascii="宋体" w:hAnsi="宋体"/>
          <w:szCs w:val="21"/>
        </w:rPr>
        <w:t>绝缘电阻测量</w:t>
      </w:r>
    </w:p>
    <w:p>
      <w:pPr>
        <w:adjustRightInd w:val="0"/>
        <w:snapToGrid w:val="0"/>
        <w:spacing w:line="360" w:lineRule="auto"/>
        <w:rPr>
          <w:rFonts w:ascii="宋体" w:hAnsi="宋体"/>
          <w:szCs w:val="21"/>
        </w:rPr>
      </w:pPr>
      <w:r>
        <w:rPr>
          <w:rFonts w:hint="eastAsia" w:ascii="宋体" w:hAnsi="宋体"/>
          <w:szCs w:val="21"/>
        </w:rPr>
        <w:t>二次绕组直流电阻测量</w:t>
      </w:r>
    </w:p>
    <w:p>
      <w:pPr>
        <w:adjustRightInd w:val="0"/>
        <w:snapToGrid w:val="0"/>
        <w:spacing w:line="360" w:lineRule="auto"/>
        <w:rPr>
          <w:rFonts w:ascii="宋体" w:hAnsi="宋体"/>
        </w:rPr>
      </w:pPr>
      <w:bookmarkStart w:id="483" w:name="_Toc20794"/>
      <w:bookmarkStart w:id="484" w:name="_Toc465421762"/>
      <w:bookmarkStart w:id="485" w:name="_Toc287280422"/>
      <w:bookmarkStart w:id="486" w:name="_Toc494551140"/>
      <w:bookmarkStart w:id="487" w:name="_Toc27962"/>
      <w:bookmarkStart w:id="488" w:name="_Toc283560595"/>
      <w:bookmarkStart w:id="489" w:name="_Toc291226860"/>
      <w:r>
        <w:rPr>
          <w:rFonts w:hint="eastAsia" w:ascii="宋体" w:hAnsi="宋体"/>
        </w:rPr>
        <w:t>现场交接试验</w:t>
      </w:r>
      <w:bookmarkEnd w:id="483"/>
      <w:bookmarkEnd w:id="484"/>
      <w:bookmarkEnd w:id="485"/>
      <w:bookmarkEnd w:id="486"/>
      <w:bookmarkEnd w:id="487"/>
      <w:bookmarkEnd w:id="488"/>
      <w:bookmarkEnd w:id="489"/>
    </w:p>
    <w:p>
      <w:pPr>
        <w:adjustRightInd w:val="0"/>
        <w:snapToGrid w:val="0"/>
        <w:spacing w:line="360" w:lineRule="auto"/>
        <w:ind w:firstLine="420" w:firstLineChars="200"/>
        <w:rPr>
          <w:rFonts w:ascii="宋体" w:hAnsi="宋体"/>
          <w:szCs w:val="21"/>
        </w:rPr>
      </w:pPr>
      <w:r>
        <w:rPr>
          <w:rFonts w:hint="eastAsia" w:ascii="宋体" w:hAnsi="宋体"/>
          <w:szCs w:val="21"/>
        </w:rPr>
        <w:t>具体要求</w:t>
      </w:r>
      <w:r>
        <w:rPr>
          <w:rFonts w:ascii="宋体" w:hAnsi="宋体"/>
          <w:szCs w:val="21"/>
        </w:rPr>
        <w:t>按GB 50150《电气装置安装工程电气交接试验标准》执行</w:t>
      </w:r>
      <w:r>
        <w:rPr>
          <w:rFonts w:hint="eastAsia" w:ascii="宋体" w:hAnsi="宋体"/>
          <w:szCs w:val="21"/>
        </w:rPr>
        <w:t>。</w:t>
      </w:r>
    </w:p>
    <w:p>
      <w:pPr>
        <w:adjustRightInd w:val="0"/>
        <w:snapToGrid w:val="0"/>
        <w:spacing w:line="360" w:lineRule="auto"/>
        <w:rPr>
          <w:rFonts w:ascii="宋体" w:hAnsi="宋体"/>
          <w:szCs w:val="21"/>
        </w:rPr>
      </w:pPr>
      <w:r>
        <w:rPr>
          <w:rFonts w:hint="eastAsia" w:ascii="宋体" w:hAnsi="宋体"/>
          <w:szCs w:val="21"/>
        </w:rPr>
        <w:t>出线端子标志检验；</w:t>
      </w:r>
    </w:p>
    <w:p>
      <w:pPr>
        <w:adjustRightInd w:val="0"/>
        <w:snapToGrid w:val="0"/>
        <w:spacing w:line="360" w:lineRule="auto"/>
        <w:rPr>
          <w:rFonts w:ascii="宋体" w:hAnsi="宋体"/>
          <w:szCs w:val="21"/>
        </w:rPr>
      </w:pPr>
      <w:r>
        <w:rPr>
          <w:rFonts w:hint="eastAsia" w:ascii="宋体" w:hAnsi="宋体"/>
          <w:szCs w:val="21"/>
        </w:rPr>
        <w:t>绝缘电阻测量；</w:t>
      </w:r>
    </w:p>
    <w:p>
      <w:pPr>
        <w:adjustRightInd w:val="0"/>
        <w:snapToGrid w:val="0"/>
        <w:spacing w:line="360" w:lineRule="auto"/>
        <w:rPr>
          <w:rFonts w:ascii="宋体" w:hAnsi="宋体"/>
          <w:szCs w:val="21"/>
        </w:rPr>
      </w:pPr>
      <w:r>
        <w:rPr>
          <w:rFonts w:hint="eastAsia" w:ascii="宋体" w:hAnsi="宋体"/>
          <w:szCs w:val="21"/>
        </w:rPr>
        <w:t>绕组直流电阻测量；</w:t>
      </w:r>
    </w:p>
    <w:p>
      <w:pPr>
        <w:adjustRightInd w:val="0"/>
        <w:snapToGrid w:val="0"/>
        <w:spacing w:line="360" w:lineRule="auto"/>
        <w:rPr>
          <w:rFonts w:ascii="宋体" w:hAnsi="宋体"/>
          <w:szCs w:val="21"/>
        </w:rPr>
      </w:pPr>
      <w:r>
        <w:rPr>
          <w:rFonts w:hint="eastAsia" w:ascii="宋体" w:hAnsi="宋体"/>
          <w:szCs w:val="21"/>
        </w:rPr>
        <w:t>电容量和介质损耗因数测量试验；</w:t>
      </w:r>
    </w:p>
    <w:p>
      <w:pPr>
        <w:adjustRightInd w:val="0"/>
        <w:snapToGrid w:val="0"/>
        <w:spacing w:line="360" w:lineRule="auto"/>
        <w:rPr>
          <w:rFonts w:ascii="宋体" w:hAnsi="宋体"/>
          <w:szCs w:val="21"/>
        </w:rPr>
      </w:pPr>
      <w:r>
        <w:rPr>
          <w:rFonts w:hint="eastAsia" w:ascii="宋体" w:hAnsi="宋体"/>
          <w:szCs w:val="21"/>
        </w:rPr>
        <w:t>交流耐压试验；</w:t>
      </w:r>
    </w:p>
    <w:p>
      <w:pPr>
        <w:adjustRightInd w:val="0"/>
        <w:snapToGrid w:val="0"/>
        <w:spacing w:line="360" w:lineRule="auto"/>
        <w:rPr>
          <w:rFonts w:ascii="宋体" w:hAnsi="宋体"/>
          <w:szCs w:val="21"/>
        </w:rPr>
      </w:pPr>
      <w:r>
        <w:rPr>
          <w:rFonts w:hint="eastAsia" w:ascii="宋体" w:hAnsi="宋体"/>
          <w:szCs w:val="21"/>
        </w:rPr>
        <w:t>局部放电试验；</w:t>
      </w:r>
    </w:p>
    <w:p>
      <w:pPr>
        <w:adjustRightInd w:val="0"/>
        <w:snapToGrid w:val="0"/>
        <w:spacing w:line="360" w:lineRule="auto"/>
        <w:rPr>
          <w:rFonts w:ascii="宋体" w:hAnsi="宋体"/>
          <w:szCs w:val="21"/>
        </w:rPr>
      </w:pPr>
      <w:r>
        <w:rPr>
          <w:rFonts w:hint="eastAsia" w:ascii="宋体" w:hAnsi="宋体"/>
          <w:szCs w:val="21"/>
        </w:rPr>
        <w:t>励磁特性曲线试验；</w:t>
      </w:r>
    </w:p>
    <w:p>
      <w:pPr>
        <w:adjustRightInd w:val="0"/>
        <w:snapToGrid w:val="0"/>
        <w:spacing w:line="360" w:lineRule="auto"/>
        <w:rPr>
          <w:rFonts w:ascii="宋体" w:hAnsi="宋体"/>
          <w:szCs w:val="21"/>
        </w:rPr>
      </w:pPr>
      <w:r>
        <w:rPr>
          <w:rFonts w:hint="eastAsia" w:ascii="宋体" w:hAnsi="宋体"/>
          <w:szCs w:val="21"/>
        </w:rPr>
        <w:t>检查接线组别和极性；</w:t>
      </w:r>
    </w:p>
    <w:p>
      <w:pPr>
        <w:adjustRightInd w:val="0"/>
        <w:snapToGrid w:val="0"/>
        <w:spacing w:line="360" w:lineRule="auto"/>
        <w:rPr>
          <w:rFonts w:ascii="宋体" w:hAnsi="宋体"/>
          <w:szCs w:val="21"/>
        </w:rPr>
      </w:pPr>
      <w:r>
        <w:rPr>
          <w:rFonts w:hint="eastAsia" w:ascii="宋体" w:hAnsi="宋体"/>
          <w:szCs w:val="21"/>
        </w:rPr>
        <w:t>误差测量；</w:t>
      </w:r>
    </w:p>
    <w:p>
      <w:pPr>
        <w:keepNext/>
        <w:keepLines/>
        <w:topLinePunct/>
        <w:spacing w:line="360" w:lineRule="auto"/>
        <w:outlineLvl w:val="1"/>
        <w:rPr>
          <w:rFonts w:eastAsia="黑体"/>
          <w:szCs w:val="21"/>
        </w:rPr>
      </w:pPr>
      <w:bookmarkStart w:id="490" w:name="_Toc470168816"/>
      <w:bookmarkStart w:id="491" w:name="_Toc500256302"/>
      <w:r>
        <w:rPr>
          <w:rFonts w:eastAsia="黑体"/>
          <w:szCs w:val="21"/>
        </w:rPr>
        <w:t>4</w:t>
      </w:r>
      <w:r>
        <w:rPr>
          <w:rFonts w:hint="eastAsia" w:eastAsia="黑体"/>
          <w:szCs w:val="21"/>
        </w:rPr>
        <w:t>.3 投标人资料提交时间及培训要求</w:t>
      </w:r>
      <w:bookmarkEnd w:id="490"/>
      <w:bookmarkEnd w:id="491"/>
    </w:p>
    <w:p>
      <w:pPr>
        <w:spacing w:line="360" w:lineRule="auto"/>
        <w:ind w:firstLine="420" w:firstLineChars="200"/>
        <w:rPr>
          <w:szCs w:val="21"/>
        </w:rPr>
      </w:pPr>
      <w:r>
        <w:rPr>
          <w:rFonts w:hint="eastAsia"/>
          <w:szCs w:val="21"/>
        </w:rPr>
        <w:t>（1）</w:t>
      </w:r>
      <w:r>
        <w:rPr>
          <w:szCs w:val="21"/>
        </w:rPr>
        <w:t>投标方资料的提交及时充分，满足工程进度要求。在</w:t>
      </w:r>
      <w:r>
        <w:rPr>
          <w:rFonts w:hint="eastAsia"/>
          <w:szCs w:val="21"/>
        </w:rPr>
        <w:t>合同谈判日或收到中标通知书后（以先到为准）</w:t>
      </w:r>
      <w:r>
        <w:rPr>
          <w:szCs w:val="21"/>
        </w:rPr>
        <w:t>天内</w:t>
      </w:r>
      <w:r>
        <w:rPr>
          <w:rFonts w:hint="eastAsia"/>
          <w:szCs w:val="21"/>
        </w:rPr>
        <w:t>（项目单位填写）</w:t>
      </w:r>
      <w:r>
        <w:rPr>
          <w:szCs w:val="21"/>
        </w:rPr>
        <w:t>给出全部最终技术资料，经</w:t>
      </w:r>
      <w:r>
        <w:rPr>
          <w:rFonts w:hint="eastAsia"/>
          <w:szCs w:val="21"/>
        </w:rPr>
        <w:t>招标方</w:t>
      </w:r>
      <w:r>
        <w:rPr>
          <w:szCs w:val="21"/>
        </w:rPr>
        <w:t>确认后不能更改。</w:t>
      </w:r>
    </w:p>
    <w:p>
      <w:pPr>
        <w:spacing w:line="360" w:lineRule="auto"/>
        <w:ind w:firstLine="420" w:firstLineChars="200"/>
        <w:rPr>
          <w:szCs w:val="21"/>
        </w:rPr>
      </w:pPr>
      <w:r>
        <w:rPr>
          <w:rFonts w:hint="eastAsia"/>
          <w:szCs w:val="21"/>
        </w:rPr>
        <w:t>（2）培训要求：理论培训天（项目单位填写）实操培训天（项目单位填写）。</w:t>
      </w:r>
    </w:p>
    <w:p>
      <w:pPr>
        <w:spacing w:line="360" w:lineRule="auto"/>
        <w:ind w:firstLine="420" w:firstLineChars="200"/>
        <w:rPr>
          <w:szCs w:val="21"/>
        </w:rPr>
      </w:pPr>
      <w:r>
        <w:rPr>
          <w:rFonts w:hint="eastAsia"/>
          <w:szCs w:val="21"/>
        </w:rPr>
        <w:t>（3）</w:t>
      </w:r>
      <w:r>
        <w:rPr>
          <w:szCs w:val="21"/>
        </w:rPr>
        <w:t>投标方应在技术协议签订后的天内（项目单位填写）向招标方提供正式版的用于设计、设备监造和检验、现场安装和调试以及运行维护方面的图纸、说明书和有关技术资料，同时向招标方设计代表提供拷贝磁盘2份（图纸为AutoCAD R2000版、文字资料为Word07版）。</w:t>
      </w:r>
    </w:p>
    <w:p>
      <w:pPr>
        <w:keepNext/>
        <w:keepLines/>
        <w:topLinePunct/>
        <w:spacing w:line="360" w:lineRule="auto"/>
        <w:outlineLvl w:val="1"/>
        <w:rPr>
          <w:rFonts w:eastAsia="黑体"/>
          <w:szCs w:val="21"/>
        </w:rPr>
      </w:pPr>
      <w:bookmarkStart w:id="492" w:name="_Toc470168817"/>
      <w:bookmarkStart w:id="493" w:name="_Toc500256303"/>
      <w:r>
        <w:rPr>
          <w:rFonts w:eastAsia="黑体"/>
          <w:szCs w:val="21"/>
        </w:rPr>
        <w:t>4</w:t>
      </w:r>
      <w:r>
        <w:rPr>
          <w:rFonts w:hint="eastAsia" w:eastAsia="黑体"/>
          <w:szCs w:val="21"/>
        </w:rPr>
        <w:t>.4 主要元器件来源</w:t>
      </w:r>
      <w:bookmarkEnd w:id="492"/>
      <w:bookmarkEnd w:id="493"/>
    </w:p>
    <w:p>
      <w:pPr>
        <w:jc w:val="center"/>
        <w:rPr>
          <w:szCs w:val="21"/>
        </w:rPr>
      </w:pPr>
      <w:r>
        <w:rPr>
          <w:rFonts w:hint="eastAsia"/>
          <w:szCs w:val="21"/>
        </w:rPr>
        <w:t>表</w:t>
      </w:r>
      <w:r>
        <w:rPr>
          <w:szCs w:val="21"/>
        </w:rPr>
        <w:t>4</w:t>
      </w:r>
      <w:r>
        <w:rPr>
          <w:rFonts w:hint="eastAsia"/>
          <w:szCs w:val="21"/>
        </w:rPr>
        <w:t>.</w:t>
      </w:r>
      <w:r>
        <w:rPr>
          <w:szCs w:val="21"/>
        </w:rPr>
        <w:t>3</w:t>
      </w:r>
      <w:r>
        <w:rPr>
          <w:rFonts w:hint="eastAsia"/>
          <w:szCs w:val="21"/>
        </w:rPr>
        <w:t>主要元器件来源一览表（投标方填写）</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939"/>
        <w:gridCol w:w="1016"/>
        <w:gridCol w:w="1385"/>
        <w:gridCol w:w="821"/>
        <w:gridCol w:w="1484"/>
        <w:gridCol w:w="1317"/>
        <w:gridCol w:w="7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restart"/>
            <w:vAlign w:val="center"/>
          </w:tcPr>
          <w:p>
            <w:pPr>
              <w:topLinePunct/>
              <w:spacing w:before="60" w:after="60"/>
              <w:jc w:val="center"/>
              <w:rPr>
                <w:rFonts w:cs="宋体"/>
                <w:szCs w:val="21"/>
              </w:rPr>
            </w:pPr>
            <w:r>
              <w:rPr>
                <w:rFonts w:hint="eastAsia" w:cs="宋体"/>
                <w:szCs w:val="21"/>
              </w:rPr>
              <w:t>序</w:t>
            </w:r>
          </w:p>
          <w:p>
            <w:pPr>
              <w:topLinePunct/>
              <w:spacing w:before="60" w:after="60"/>
              <w:jc w:val="center"/>
              <w:rPr>
                <w:rFonts w:cs="宋体"/>
                <w:szCs w:val="21"/>
              </w:rPr>
            </w:pPr>
            <w:r>
              <w:rPr>
                <w:rFonts w:hint="eastAsia" w:cs="宋体"/>
                <w:szCs w:val="21"/>
              </w:rPr>
              <w:t>号</w:t>
            </w:r>
          </w:p>
        </w:tc>
        <w:tc>
          <w:tcPr>
            <w:tcW w:w="1939" w:type="dxa"/>
            <w:vMerge w:val="restart"/>
            <w:vAlign w:val="center"/>
          </w:tcPr>
          <w:p>
            <w:pPr>
              <w:widowControl/>
              <w:topLinePunct/>
              <w:spacing w:before="60" w:after="60"/>
              <w:jc w:val="center"/>
              <w:rPr>
                <w:rFonts w:cs="宋体"/>
                <w:szCs w:val="21"/>
              </w:rPr>
            </w:pPr>
            <w:r>
              <w:rPr>
                <w:rFonts w:hint="eastAsia" w:cs="宋体"/>
                <w:szCs w:val="21"/>
              </w:rPr>
              <w:t>名称</w:t>
            </w:r>
          </w:p>
        </w:tc>
        <w:tc>
          <w:tcPr>
            <w:tcW w:w="1016" w:type="dxa"/>
            <w:vMerge w:val="restart"/>
            <w:vAlign w:val="center"/>
          </w:tcPr>
          <w:p>
            <w:pPr>
              <w:widowControl/>
              <w:topLinePunct/>
              <w:spacing w:before="60" w:after="60"/>
              <w:jc w:val="center"/>
              <w:rPr>
                <w:rFonts w:cs="宋体"/>
                <w:szCs w:val="21"/>
              </w:rPr>
            </w:pPr>
            <w:r>
              <w:rPr>
                <w:rFonts w:hint="eastAsia" w:cs="宋体"/>
                <w:szCs w:val="21"/>
              </w:rPr>
              <w:t>单位</w:t>
            </w:r>
          </w:p>
        </w:tc>
        <w:tc>
          <w:tcPr>
            <w:tcW w:w="2206" w:type="dxa"/>
            <w:gridSpan w:val="2"/>
            <w:vAlign w:val="center"/>
          </w:tcPr>
          <w:p>
            <w:pPr>
              <w:widowControl/>
              <w:topLinePunct/>
              <w:spacing w:before="60" w:after="60"/>
              <w:jc w:val="center"/>
              <w:rPr>
                <w:szCs w:val="21"/>
              </w:rPr>
            </w:pPr>
            <w:r>
              <w:rPr>
                <w:rFonts w:hint="eastAsia"/>
                <w:szCs w:val="21"/>
              </w:rPr>
              <w:t>项目单位要求</w:t>
            </w:r>
          </w:p>
        </w:tc>
        <w:tc>
          <w:tcPr>
            <w:tcW w:w="3542" w:type="dxa"/>
            <w:gridSpan w:val="3"/>
            <w:tcBorders>
              <w:right w:val="single" w:color="auto" w:sz="4" w:space="0"/>
            </w:tcBorders>
          </w:tcPr>
          <w:p>
            <w:pPr>
              <w:topLinePunct/>
              <w:spacing w:before="60" w:after="60"/>
              <w:jc w:val="center"/>
              <w:rPr>
                <w:szCs w:val="21"/>
              </w:rPr>
            </w:pPr>
            <w:r>
              <w:rPr>
                <w:rFonts w:hint="eastAsia"/>
                <w:szCs w:val="21"/>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continue"/>
            <w:vAlign w:val="center"/>
          </w:tcPr>
          <w:p>
            <w:pPr>
              <w:topLinePunct/>
              <w:spacing w:before="60" w:after="60"/>
              <w:jc w:val="center"/>
              <w:rPr>
                <w:rFonts w:cs="宋体"/>
                <w:szCs w:val="21"/>
              </w:rPr>
            </w:pPr>
          </w:p>
        </w:tc>
        <w:tc>
          <w:tcPr>
            <w:tcW w:w="1939" w:type="dxa"/>
            <w:vMerge w:val="continue"/>
            <w:vAlign w:val="center"/>
          </w:tcPr>
          <w:p>
            <w:pPr>
              <w:widowControl/>
              <w:topLinePunct/>
              <w:spacing w:before="60" w:after="60"/>
              <w:jc w:val="center"/>
              <w:rPr>
                <w:rFonts w:cs="宋体"/>
                <w:szCs w:val="21"/>
              </w:rPr>
            </w:pPr>
          </w:p>
        </w:tc>
        <w:tc>
          <w:tcPr>
            <w:tcW w:w="1016" w:type="dxa"/>
            <w:vMerge w:val="continue"/>
            <w:vAlign w:val="center"/>
          </w:tcPr>
          <w:p>
            <w:pPr>
              <w:widowControl/>
              <w:topLinePunct/>
              <w:spacing w:before="60" w:after="60"/>
              <w:jc w:val="center"/>
              <w:rPr>
                <w:rFonts w:cs="宋体"/>
                <w:szCs w:val="21"/>
              </w:rPr>
            </w:pPr>
          </w:p>
        </w:tc>
        <w:tc>
          <w:tcPr>
            <w:tcW w:w="1385" w:type="dxa"/>
            <w:vAlign w:val="center"/>
          </w:tcPr>
          <w:p>
            <w:pPr>
              <w:widowControl/>
              <w:topLinePunct/>
              <w:spacing w:before="60" w:after="60"/>
              <w:jc w:val="center"/>
              <w:rPr>
                <w:rFonts w:cs="宋体"/>
                <w:szCs w:val="21"/>
              </w:rPr>
            </w:pPr>
            <w:r>
              <w:rPr>
                <w:rFonts w:hint="eastAsia" w:cs="宋体"/>
                <w:szCs w:val="21"/>
              </w:rPr>
              <w:t>型式、规格</w:t>
            </w:r>
          </w:p>
        </w:tc>
        <w:tc>
          <w:tcPr>
            <w:tcW w:w="821" w:type="dxa"/>
            <w:vAlign w:val="center"/>
          </w:tcPr>
          <w:p>
            <w:pPr>
              <w:widowControl/>
              <w:topLinePunct/>
              <w:spacing w:before="60" w:after="60"/>
              <w:jc w:val="center"/>
              <w:rPr>
                <w:rFonts w:cs="宋体"/>
                <w:szCs w:val="21"/>
              </w:rPr>
            </w:pPr>
            <w:r>
              <w:rPr>
                <w:rFonts w:hint="eastAsia" w:cs="宋体"/>
                <w:szCs w:val="21"/>
              </w:rPr>
              <w:t>数量</w:t>
            </w:r>
          </w:p>
        </w:tc>
        <w:tc>
          <w:tcPr>
            <w:tcW w:w="1484" w:type="dxa"/>
            <w:vAlign w:val="center"/>
          </w:tcPr>
          <w:p>
            <w:pPr>
              <w:widowControl/>
              <w:topLinePunct/>
              <w:spacing w:before="60" w:after="60"/>
              <w:jc w:val="center"/>
              <w:rPr>
                <w:rFonts w:cs="宋体"/>
                <w:szCs w:val="21"/>
              </w:rPr>
            </w:pPr>
            <w:r>
              <w:rPr>
                <w:rFonts w:hint="eastAsia" w:cs="宋体"/>
                <w:szCs w:val="21"/>
              </w:rPr>
              <w:t>型式、规格</w:t>
            </w:r>
          </w:p>
        </w:tc>
        <w:tc>
          <w:tcPr>
            <w:tcW w:w="1317" w:type="dxa"/>
          </w:tcPr>
          <w:p>
            <w:pPr>
              <w:widowControl/>
              <w:topLinePunct/>
              <w:spacing w:before="60" w:after="60"/>
              <w:jc w:val="center"/>
              <w:rPr>
                <w:rFonts w:cs="宋体"/>
                <w:szCs w:val="21"/>
              </w:rPr>
            </w:pPr>
            <w:r>
              <w:rPr>
                <w:rFonts w:hint="eastAsia" w:cs="宋体"/>
                <w:szCs w:val="21"/>
              </w:rPr>
              <w:t>生产厂家</w:t>
            </w:r>
          </w:p>
        </w:tc>
        <w:tc>
          <w:tcPr>
            <w:tcW w:w="741" w:type="dxa"/>
            <w:vAlign w:val="center"/>
          </w:tcPr>
          <w:p>
            <w:pPr>
              <w:widowControl/>
              <w:topLinePunct/>
              <w:spacing w:before="60" w:after="60"/>
              <w:jc w:val="center"/>
              <w:rPr>
                <w:rFonts w:cs="宋体"/>
                <w:szCs w:val="21"/>
              </w:rPr>
            </w:pPr>
            <w:r>
              <w:rPr>
                <w:rFonts w:hint="eastAsia" w:cs="宋体"/>
                <w:szCs w:val="21"/>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1</w:t>
            </w:r>
          </w:p>
        </w:tc>
        <w:tc>
          <w:tcPr>
            <w:tcW w:w="1939" w:type="dxa"/>
            <w:vAlign w:val="center"/>
          </w:tcPr>
          <w:p>
            <w:pPr>
              <w:topLinePunct/>
              <w:spacing w:before="60" w:after="60"/>
              <w:rPr>
                <w:color w:val="000000" w:themeColor="text1"/>
                <w:szCs w:val="18"/>
                <w14:textFill>
                  <w14:solidFill>
                    <w14:schemeClr w14:val="tx1"/>
                  </w14:solidFill>
                </w14:textFill>
              </w:rPr>
            </w:pPr>
          </w:p>
        </w:tc>
        <w:tc>
          <w:tcPr>
            <w:tcW w:w="1016" w:type="dxa"/>
            <w:vAlign w:val="center"/>
          </w:tcPr>
          <w:p>
            <w:pPr>
              <w:topLinePunct/>
              <w:spacing w:before="60" w:after="60"/>
              <w:jc w:val="center"/>
              <w:rPr>
                <w:color w:val="000000" w:themeColor="text1"/>
                <w:szCs w:val="18"/>
                <w14:textFill>
                  <w14:solidFill>
                    <w14:schemeClr w14:val="tx1"/>
                  </w14:solidFill>
                </w14:textFill>
              </w:rPr>
            </w:pPr>
          </w:p>
        </w:tc>
        <w:tc>
          <w:tcPr>
            <w:tcW w:w="1385" w:type="dxa"/>
            <w:vAlign w:val="center"/>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2</w:t>
            </w:r>
          </w:p>
        </w:tc>
        <w:tc>
          <w:tcPr>
            <w:tcW w:w="1939" w:type="dxa"/>
            <w:vAlign w:val="center"/>
          </w:tcPr>
          <w:p>
            <w:pPr>
              <w:topLinePunct/>
              <w:spacing w:before="60" w:after="60"/>
              <w:rPr>
                <w:color w:val="000000" w:themeColor="text1"/>
                <w:szCs w:val="18"/>
                <w14:textFill>
                  <w14:solidFill>
                    <w14:schemeClr w14:val="tx1"/>
                  </w14:solidFill>
                </w14:textFill>
              </w:rPr>
            </w:pPr>
          </w:p>
        </w:tc>
        <w:tc>
          <w:tcPr>
            <w:tcW w:w="1016" w:type="dxa"/>
            <w:vAlign w:val="center"/>
          </w:tcPr>
          <w:p>
            <w:pPr>
              <w:topLinePunct/>
              <w:spacing w:before="60" w:after="60"/>
              <w:jc w:val="center"/>
              <w:rPr>
                <w:color w:val="000000" w:themeColor="text1"/>
                <w:szCs w:val="18"/>
                <w14:textFill>
                  <w14:solidFill>
                    <w14:schemeClr w14:val="tx1"/>
                  </w14:solidFill>
                </w14:textFill>
              </w:rPr>
            </w:pP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3</w:t>
            </w:r>
          </w:p>
        </w:tc>
        <w:tc>
          <w:tcPr>
            <w:tcW w:w="1939" w:type="dxa"/>
            <w:vAlign w:val="center"/>
          </w:tcPr>
          <w:p>
            <w:pPr>
              <w:topLinePunct/>
              <w:spacing w:before="60" w:after="60"/>
              <w:rPr>
                <w:color w:val="000000" w:themeColor="text1"/>
                <w:szCs w:val="18"/>
                <w14:textFill>
                  <w14:solidFill>
                    <w14:schemeClr w14:val="tx1"/>
                  </w14:solidFill>
                </w14:textFill>
              </w:rPr>
            </w:pPr>
          </w:p>
        </w:tc>
        <w:tc>
          <w:tcPr>
            <w:tcW w:w="1016" w:type="dxa"/>
            <w:vAlign w:val="center"/>
          </w:tcPr>
          <w:p>
            <w:pPr>
              <w:topLinePunct/>
              <w:spacing w:before="60" w:after="60"/>
              <w:jc w:val="center"/>
              <w:rPr>
                <w:color w:val="000000" w:themeColor="text1"/>
                <w:szCs w:val="18"/>
                <w14:textFill>
                  <w14:solidFill>
                    <w14:schemeClr w14:val="tx1"/>
                  </w14:solidFill>
                </w14:textFill>
              </w:rPr>
            </w:pP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4</w:t>
            </w:r>
          </w:p>
        </w:tc>
        <w:tc>
          <w:tcPr>
            <w:tcW w:w="1939" w:type="dxa"/>
            <w:vAlign w:val="center"/>
          </w:tcPr>
          <w:p>
            <w:pPr>
              <w:topLinePunct/>
              <w:spacing w:before="60" w:after="60"/>
              <w:rPr>
                <w:color w:val="000000" w:themeColor="text1"/>
                <w:szCs w:val="18"/>
                <w14:textFill>
                  <w14:solidFill>
                    <w14:schemeClr w14:val="tx1"/>
                  </w14:solidFill>
                </w14:textFill>
              </w:rPr>
            </w:pPr>
          </w:p>
        </w:tc>
        <w:tc>
          <w:tcPr>
            <w:tcW w:w="1016" w:type="dxa"/>
            <w:vAlign w:val="center"/>
          </w:tcPr>
          <w:p>
            <w:pPr>
              <w:topLinePunct/>
              <w:spacing w:before="60" w:after="60"/>
              <w:jc w:val="center"/>
              <w:rPr>
                <w:color w:val="000000" w:themeColor="text1"/>
                <w:szCs w:val="18"/>
                <w14:textFill>
                  <w14:solidFill>
                    <w14:schemeClr w14:val="tx1"/>
                  </w14:solidFill>
                </w14:textFill>
              </w:rPr>
            </w:pP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5</w:t>
            </w:r>
          </w:p>
        </w:tc>
        <w:tc>
          <w:tcPr>
            <w:tcW w:w="1939" w:type="dxa"/>
            <w:vAlign w:val="center"/>
          </w:tcPr>
          <w:p>
            <w:pPr>
              <w:topLinePunct/>
              <w:spacing w:before="60" w:after="60"/>
              <w:rPr>
                <w:color w:val="000000" w:themeColor="text1"/>
                <w:szCs w:val="18"/>
                <w14:textFill>
                  <w14:solidFill>
                    <w14:schemeClr w14:val="tx1"/>
                  </w14:solidFill>
                </w14:textFill>
              </w:rPr>
            </w:pPr>
          </w:p>
        </w:tc>
        <w:tc>
          <w:tcPr>
            <w:tcW w:w="1016" w:type="dxa"/>
            <w:vAlign w:val="center"/>
          </w:tcPr>
          <w:p>
            <w:pPr>
              <w:topLinePunct/>
              <w:spacing w:before="60" w:after="60"/>
              <w:jc w:val="center"/>
              <w:rPr>
                <w:color w:val="000000" w:themeColor="text1"/>
                <w:szCs w:val="18"/>
                <w14:textFill>
                  <w14:solidFill>
                    <w14:schemeClr w14:val="tx1"/>
                  </w14:solidFill>
                </w14:textFill>
              </w:rPr>
            </w:pP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6</w:t>
            </w:r>
          </w:p>
        </w:tc>
        <w:tc>
          <w:tcPr>
            <w:tcW w:w="1939" w:type="dxa"/>
            <w:vAlign w:val="center"/>
          </w:tcPr>
          <w:p>
            <w:pPr>
              <w:topLinePunct/>
              <w:spacing w:before="60" w:after="60"/>
              <w:rPr>
                <w:color w:val="000000" w:themeColor="text1"/>
                <w:szCs w:val="18"/>
                <w14:textFill>
                  <w14:solidFill>
                    <w14:schemeClr w14:val="tx1"/>
                  </w14:solidFill>
                </w14:textFill>
              </w:rPr>
            </w:pPr>
          </w:p>
        </w:tc>
        <w:tc>
          <w:tcPr>
            <w:tcW w:w="1016" w:type="dxa"/>
            <w:vAlign w:val="center"/>
          </w:tcPr>
          <w:p>
            <w:pPr>
              <w:topLinePunct/>
              <w:spacing w:before="60" w:after="60"/>
              <w:jc w:val="center"/>
              <w:rPr>
                <w:color w:val="000000" w:themeColor="text1"/>
                <w:szCs w:val="18"/>
                <w14:textFill>
                  <w14:solidFill>
                    <w14:schemeClr w14:val="tx1"/>
                  </w14:solidFill>
                </w14:textFill>
              </w:rPr>
            </w:pP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7</w:t>
            </w:r>
          </w:p>
        </w:tc>
        <w:tc>
          <w:tcPr>
            <w:tcW w:w="1939" w:type="dxa"/>
            <w:vAlign w:val="center"/>
          </w:tcPr>
          <w:p>
            <w:pPr>
              <w:topLinePunct/>
              <w:spacing w:before="60" w:after="60"/>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8</w:t>
            </w:r>
          </w:p>
        </w:tc>
        <w:tc>
          <w:tcPr>
            <w:tcW w:w="1939" w:type="dxa"/>
            <w:vAlign w:val="center"/>
          </w:tcPr>
          <w:p>
            <w:pPr>
              <w:topLinePunct/>
              <w:spacing w:before="66" w:after="66"/>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9</w:t>
            </w:r>
          </w:p>
        </w:tc>
        <w:tc>
          <w:tcPr>
            <w:tcW w:w="1939" w:type="dxa"/>
            <w:vAlign w:val="center"/>
          </w:tcPr>
          <w:p>
            <w:pPr>
              <w:topLinePunct/>
              <w:spacing w:before="66" w:after="66"/>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40" w:after="40"/>
              <w:jc w:val="center"/>
              <w:rPr>
                <w:szCs w:val="21"/>
              </w:rPr>
            </w:pPr>
            <w:r>
              <w:rPr>
                <w:szCs w:val="21"/>
              </w:rPr>
              <w:t>10</w:t>
            </w:r>
          </w:p>
        </w:tc>
        <w:tc>
          <w:tcPr>
            <w:tcW w:w="1939" w:type="dxa"/>
            <w:vAlign w:val="center"/>
          </w:tcPr>
          <w:p>
            <w:pPr>
              <w:topLinePunct/>
              <w:spacing w:before="66" w:after="66"/>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vAlign w:val="center"/>
          </w:tcPr>
          <w:p>
            <w:pPr>
              <w:topLinePunct/>
              <w:spacing w:before="36" w:after="36"/>
              <w:jc w:val="center"/>
              <w:rPr>
                <w:rFonts w:cs="宋体"/>
                <w:szCs w:val="21"/>
              </w:rPr>
            </w:pPr>
          </w:p>
        </w:tc>
        <w:tc>
          <w:tcPr>
            <w:tcW w:w="821" w:type="dxa"/>
            <w:vAlign w:val="center"/>
          </w:tcPr>
          <w:p>
            <w:pPr>
              <w:topLinePunct/>
              <w:spacing w:before="36" w:after="36"/>
              <w:rPr>
                <w:rFonts w:cs="宋体"/>
                <w:szCs w:val="21"/>
              </w:rPr>
            </w:pPr>
          </w:p>
        </w:tc>
        <w:tc>
          <w:tcPr>
            <w:tcW w:w="1484" w:type="dxa"/>
            <w:vAlign w:val="center"/>
          </w:tcPr>
          <w:p>
            <w:pPr>
              <w:topLinePunct/>
              <w:spacing w:before="36" w:after="36"/>
              <w:jc w:val="center"/>
              <w:rPr>
                <w:rFonts w:cs="宋体"/>
                <w:szCs w:val="21"/>
              </w:rPr>
            </w:pPr>
          </w:p>
        </w:tc>
        <w:tc>
          <w:tcPr>
            <w:tcW w:w="1317" w:type="dxa"/>
          </w:tcPr>
          <w:p>
            <w:pPr>
              <w:topLinePunct/>
              <w:spacing w:before="40" w:after="40"/>
              <w:rPr>
                <w:szCs w:val="21"/>
              </w:rPr>
            </w:pPr>
          </w:p>
        </w:tc>
        <w:tc>
          <w:tcPr>
            <w:tcW w:w="741" w:type="dxa"/>
            <w:vAlign w:val="center"/>
          </w:tcPr>
          <w:p>
            <w:pPr>
              <w:topLinePunct/>
              <w:spacing w:before="40" w:after="4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40" w:after="40"/>
              <w:jc w:val="center"/>
              <w:rPr>
                <w:szCs w:val="21"/>
              </w:rPr>
            </w:pPr>
            <w:r>
              <w:rPr>
                <w:rFonts w:hint="eastAsia"/>
                <w:szCs w:val="21"/>
              </w:rPr>
              <w:t>11</w:t>
            </w:r>
          </w:p>
        </w:tc>
        <w:tc>
          <w:tcPr>
            <w:tcW w:w="1939" w:type="dxa"/>
            <w:vAlign w:val="center"/>
          </w:tcPr>
          <w:p>
            <w:pPr>
              <w:topLinePunct/>
              <w:spacing w:before="66" w:after="66"/>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vAlign w:val="center"/>
          </w:tcPr>
          <w:p>
            <w:pPr>
              <w:topLinePunct/>
              <w:spacing w:before="36" w:after="36"/>
              <w:jc w:val="center"/>
              <w:rPr>
                <w:rFonts w:cs="宋体"/>
                <w:szCs w:val="21"/>
              </w:rPr>
            </w:pPr>
          </w:p>
        </w:tc>
        <w:tc>
          <w:tcPr>
            <w:tcW w:w="821" w:type="dxa"/>
            <w:vAlign w:val="center"/>
          </w:tcPr>
          <w:p>
            <w:pPr>
              <w:topLinePunct/>
              <w:spacing w:before="36" w:after="36"/>
              <w:rPr>
                <w:rFonts w:cs="宋体"/>
                <w:szCs w:val="21"/>
              </w:rPr>
            </w:pPr>
          </w:p>
        </w:tc>
        <w:tc>
          <w:tcPr>
            <w:tcW w:w="1484" w:type="dxa"/>
            <w:vAlign w:val="center"/>
          </w:tcPr>
          <w:p>
            <w:pPr>
              <w:topLinePunct/>
              <w:spacing w:before="36" w:after="36"/>
              <w:jc w:val="center"/>
              <w:rPr>
                <w:rFonts w:cs="宋体"/>
                <w:szCs w:val="21"/>
              </w:rPr>
            </w:pPr>
          </w:p>
        </w:tc>
        <w:tc>
          <w:tcPr>
            <w:tcW w:w="1317" w:type="dxa"/>
          </w:tcPr>
          <w:p>
            <w:pPr>
              <w:topLinePunct/>
              <w:spacing w:before="40" w:after="40"/>
              <w:rPr>
                <w:szCs w:val="21"/>
              </w:rPr>
            </w:pPr>
          </w:p>
        </w:tc>
        <w:tc>
          <w:tcPr>
            <w:tcW w:w="741" w:type="dxa"/>
            <w:vAlign w:val="center"/>
          </w:tcPr>
          <w:p>
            <w:pPr>
              <w:topLinePunct/>
              <w:spacing w:before="40" w:after="4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40" w:after="40"/>
              <w:jc w:val="center"/>
              <w:rPr>
                <w:szCs w:val="21"/>
              </w:rPr>
            </w:pPr>
            <w:r>
              <w:rPr>
                <w:rFonts w:hint="eastAsia"/>
                <w:szCs w:val="21"/>
              </w:rPr>
              <w:t>12</w:t>
            </w:r>
          </w:p>
        </w:tc>
        <w:tc>
          <w:tcPr>
            <w:tcW w:w="1939" w:type="dxa"/>
            <w:vAlign w:val="center"/>
          </w:tcPr>
          <w:p>
            <w:pPr>
              <w:topLinePunct/>
              <w:spacing w:before="66" w:after="66"/>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vAlign w:val="center"/>
          </w:tcPr>
          <w:p>
            <w:pPr>
              <w:topLinePunct/>
              <w:spacing w:before="36" w:after="36"/>
              <w:jc w:val="center"/>
              <w:rPr>
                <w:rFonts w:cs="宋体"/>
                <w:szCs w:val="21"/>
              </w:rPr>
            </w:pPr>
          </w:p>
        </w:tc>
        <w:tc>
          <w:tcPr>
            <w:tcW w:w="821" w:type="dxa"/>
            <w:vAlign w:val="center"/>
          </w:tcPr>
          <w:p>
            <w:pPr>
              <w:topLinePunct/>
              <w:spacing w:before="36" w:after="36"/>
              <w:rPr>
                <w:rFonts w:cs="宋体"/>
                <w:szCs w:val="21"/>
              </w:rPr>
            </w:pPr>
          </w:p>
        </w:tc>
        <w:tc>
          <w:tcPr>
            <w:tcW w:w="1484" w:type="dxa"/>
            <w:vAlign w:val="center"/>
          </w:tcPr>
          <w:p>
            <w:pPr>
              <w:topLinePunct/>
              <w:spacing w:before="36" w:after="36"/>
              <w:jc w:val="center"/>
              <w:rPr>
                <w:rFonts w:cs="宋体"/>
                <w:szCs w:val="21"/>
              </w:rPr>
            </w:pPr>
          </w:p>
        </w:tc>
        <w:tc>
          <w:tcPr>
            <w:tcW w:w="1317" w:type="dxa"/>
          </w:tcPr>
          <w:p>
            <w:pPr>
              <w:topLinePunct/>
              <w:spacing w:before="40" w:after="40"/>
              <w:rPr>
                <w:szCs w:val="21"/>
              </w:rPr>
            </w:pPr>
          </w:p>
        </w:tc>
        <w:tc>
          <w:tcPr>
            <w:tcW w:w="741" w:type="dxa"/>
            <w:vAlign w:val="center"/>
          </w:tcPr>
          <w:p>
            <w:pPr>
              <w:topLinePunct/>
              <w:spacing w:before="40" w:after="40"/>
              <w:rPr>
                <w:szCs w:val="21"/>
              </w:rPr>
            </w:pPr>
          </w:p>
        </w:tc>
      </w:tr>
    </w:tbl>
    <w:p>
      <w:pPr>
        <w:rPr>
          <w:szCs w:val="21"/>
        </w:rPr>
      </w:pPr>
    </w:p>
    <w:p>
      <w:pPr>
        <w:keepNext/>
        <w:keepLines/>
        <w:topLinePunct/>
        <w:spacing w:line="360" w:lineRule="auto"/>
        <w:outlineLvl w:val="1"/>
        <w:rPr>
          <w:rFonts w:eastAsia="黑体"/>
          <w:szCs w:val="21"/>
        </w:rPr>
      </w:pPr>
      <w:bookmarkStart w:id="494" w:name="_Toc500256304"/>
      <w:bookmarkStart w:id="495" w:name="_Toc470168818"/>
      <w:r>
        <w:rPr>
          <w:rFonts w:eastAsia="黑体"/>
          <w:szCs w:val="21"/>
        </w:rPr>
        <w:t>4</w:t>
      </w:r>
      <w:r>
        <w:rPr>
          <w:rFonts w:hint="eastAsia" w:eastAsia="黑体"/>
          <w:szCs w:val="21"/>
        </w:rPr>
        <w:t>.</w:t>
      </w:r>
      <w:r>
        <w:rPr>
          <w:rFonts w:eastAsia="黑体"/>
          <w:szCs w:val="21"/>
        </w:rPr>
        <w:t>5</w:t>
      </w:r>
      <w:r>
        <w:rPr>
          <w:rFonts w:hint="eastAsia" w:eastAsia="黑体"/>
          <w:szCs w:val="21"/>
        </w:rPr>
        <w:t>备品备件、专用工具和仪器仪表供货表</w:t>
      </w:r>
      <w:bookmarkEnd w:id="494"/>
      <w:bookmarkEnd w:id="495"/>
    </w:p>
    <w:p>
      <w:pPr>
        <w:adjustRightInd w:val="0"/>
        <w:snapToGrid w:val="0"/>
        <w:spacing w:line="360" w:lineRule="auto"/>
        <w:ind w:firstLine="420" w:firstLineChars="200"/>
        <w:rPr>
          <w:szCs w:val="21"/>
        </w:rPr>
      </w:pPr>
      <w:r>
        <w:rPr>
          <w:rFonts w:hint="eastAsia"/>
          <w:szCs w:val="21"/>
        </w:rPr>
        <w:t>投标方应向需方提供必备的备品备件、专用工具和仪器仪表清单见表</w:t>
      </w:r>
      <w:r>
        <w:rPr>
          <w:szCs w:val="21"/>
        </w:rPr>
        <w:t>2.3</w:t>
      </w:r>
      <w:r>
        <w:rPr>
          <w:rFonts w:hint="eastAsia"/>
          <w:szCs w:val="21"/>
        </w:rPr>
        <w:t>， 要求提供的备品备件、专用工具和仪器仪表应是新品， 与设备同型号、同工艺。</w:t>
      </w:r>
    </w:p>
    <w:p>
      <w:pPr>
        <w:jc w:val="center"/>
        <w:rPr>
          <w:szCs w:val="21"/>
        </w:rPr>
      </w:pPr>
      <w:r>
        <w:rPr>
          <w:rFonts w:hint="eastAsia"/>
          <w:szCs w:val="21"/>
        </w:rPr>
        <w:t>表</w:t>
      </w:r>
      <w:r>
        <w:rPr>
          <w:szCs w:val="21"/>
        </w:rPr>
        <w:t>4</w:t>
      </w:r>
      <w:r>
        <w:rPr>
          <w:rFonts w:hint="eastAsia"/>
          <w:szCs w:val="21"/>
        </w:rPr>
        <w:t>.</w:t>
      </w:r>
      <w:r>
        <w:rPr>
          <w:szCs w:val="21"/>
        </w:rPr>
        <w:t>4</w:t>
      </w:r>
      <w:r>
        <w:rPr>
          <w:rFonts w:hint="eastAsia"/>
          <w:szCs w:val="21"/>
        </w:rPr>
        <w:t>必备及</w:t>
      </w:r>
      <w:r>
        <w:rPr>
          <w:szCs w:val="21"/>
        </w:rPr>
        <w:t>推荐的</w:t>
      </w:r>
      <w:r>
        <w:rPr>
          <w:rFonts w:hint="eastAsia"/>
          <w:szCs w:val="21"/>
        </w:rPr>
        <w:t>备品备件、专用工具和仪器仪表清单（项目单位填写）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jc w:val="center"/>
              <w:rPr>
                <w:rFonts w:ascii="宋体" w:hAnsi="宋体"/>
                <w:szCs w:val="21"/>
              </w:rPr>
            </w:pPr>
            <w:r>
              <w:rPr>
                <w:rFonts w:hint="eastAsia" w:ascii="宋体" w:hAnsi="宋体"/>
                <w:szCs w:val="21"/>
              </w:rPr>
              <w:t>序号</w:t>
            </w:r>
          </w:p>
        </w:tc>
        <w:tc>
          <w:tcPr>
            <w:tcW w:w="1842" w:type="dxa"/>
            <w:vAlign w:val="center"/>
          </w:tcPr>
          <w:p>
            <w:pPr>
              <w:jc w:val="center"/>
              <w:rPr>
                <w:rFonts w:ascii="宋体" w:hAnsi="宋体"/>
                <w:szCs w:val="21"/>
              </w:rPr>
            </w:pPr>
            <w:r>
              <w:rPr>
                <w:rFonts w:hint="eastAsia" w:ascii="宋体" w:hAnsi="宋体"/>
                <w:szCs w:val="21"/>
              </w:rPr>
              <w:t>名称</w:t>
            </w:r>
          </w:p>
        </w:tc>
        <w:tc>
          <w:tcPr>
            <w:tcW w:w="994" w:type="dxa"/>
            <w:vAlign w:val="center"/>
          </w:tcPr>
          <w:p>
            <w:pPr>
              <w:jc w:val="center"/>
              <w:rPr>
                <w:rFonts w:ascii="宋体" w:hAnsi="宋体"/>
                <w:szCs w:val="21"/>
              </w:rPr>
            </w:pPr>
            <w:r>
              <w:rPr>
                <w:rFonts w:hint="eastAsia" w:ascii="宋体" w:hAnsi="宋体"/>
                <w:szCs w:val="21"/>
              </w:rPr>
              <w:t>型号及规格</w:t>
            </w:r>
          </w:p>
        </w:tc>
        <w:tc>
          <w:tcPr>
            <w:tcW w:w="1237" w:type="dxa"/>
            <w:vAlign w:val="center"/>
          </w:tcPr>
          <w:p>
            <w:pPr>
              <w:jc w:val="center"/>
              <w:rPr>
                <w:rFonts w:ascii="宋体" w:hAnsi="宋体"/>
                <w:szCs w:val="21"/>
              </w:rPr>
            </w:pPr>
            <w:r>
              <w:rPr>
                <w:rFonts w:hint="eastAsia" w:ascii="宋体" w:hAnsi="宋体"/>
                <w:szCs w:val="21"/>
              </w:rPr>
              <w:t>单位</w:t>
            </w:r>
          </w:p>
        </w:tc>
        <w:tc>
          <w:tcPr>
            <w:tcW w:w="890" w:type="dxa"/>
            <w:vAlign w:val="center"/>
          </w:tcPr>
          <w:p>
            <w:pPr>
              <w:jc w:val="center"/>
              <w:rPr>
                <w:rFonts w:ascii="宋体" w:hAnsi="宋体"/>
                <w:szCs w:val="21"/>
              </w:rPr>
            </w:pPr>
            <w:r>
              <w:rPr>
                <w:rFonts w:hint="eastAsia" w:ascii="宋体" w:hAnsi="宋体"/>
                <w:szCs w:val="21"/>
              </w:rPr>
              <w:t>数量</w:t>
            </w:r>
          </w:p>
        </w:tc>
        <w:tc>
          <w:tcPr>
            <w:tcW w:w="1504" w:type="dxa"/>
            <w:vAlign w:val="center"/>
          </w:tcPr>
          <w:p>
            <w:pPr>
              <w:jc w:val="center"/>
              <w:rPr>
                <w:rFonts w:ascii="宋体" w:hAnsi="宋体"/>
                <w:szCs w:val="21"/>
              </w:rPr>
            </w:pPr>
            <w:r>
              <w:rPr>
                <w:rFonts w:hint="eastAsia" w:ascii="宋体" w:hAnsi="宋体"/>
                <w:szCs w:val="21"/>
              </w:rPr>
              <w:t>使用处</w:t>
            </w:r>
          </w:p>
        </w:tc>
        <w:tc>
          <w:tcPr>
            <w:tcW w:w="1060" w:type="dxa"/>
            <w:vAlign w:val="center"/>
          </w:tcPr>
          <w:p>
            <w:pPr>
              <w:jc w:val="center"/>
              <w:rPr>
                <w:rFonts w:ascii="宋体" w:hAnsi="宋体"/>
                <w:szCs w:val="21"/>
              </w:rPr>
            </w:pPr>
            <w:r>
              <w:rPr>
                <w:rFonts w:hint="eastAsia" w:ascii="宋体" w:hAnsi="宋体"/>
                <w:szCs w:val="21"/>
              </w:rPr>
              <w:t>制造商</w:t>
            </w:r>
          </w:p>
        </w:tc>
        <w:tc>
          <w:tcPr>
            <w:tcW w:w="1085" w:type="dxa"/>
            <w:vAlign w:val="center"/>
          </w:tcPr>
          <w:p>
            <w:pPr>
              <w:jc w:val="center"/>
              <w:rPr>
                <w:rFonts w:ascii="宋体" w:hAnsi="宋体"/>
                <w:szCs w:val="21"/>
              </w:rPr>
            </w:pPr>
            <w:r>
              <w:rPr>
                <w:rFonts w:hint="eastAsia" w:ascii="宋体" w:hAnsi="宋体"/>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r>
              <w:rPr>
                <w:rFonts w:ascii="宋体" w:hAnsi="宋体"/>
                <w:szCs w:val="21"/>
              </w:rPr>
              <w:t>取气阀门</w:t>
            </w: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r>
              <w:rPr>
                <w:rFonts w:ascii="宋体" w:hAnsi="宋体"/>
                <w:szCs w:val="21"/>
              </w:rPr>
              <w:t>密度继电器</w:t>
            </w: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bl>
    <w:p>
      <w:pPr>
        <w:rPr>
          <w:szCs w:val="21"/>
        </w:rPr>
      </w:pPr>
    </w:p>
    <w:p>
      <w:pPr>
        <w:keepNext/>
        <w:keepLines/>
        <w:tabs>
          <w:tab w:val="left" w:pos="425"/>
        </w:tabs>
        <w:topLinePunct/>
        <w:spacing w:line="480" w:lineRule="auto"/>
        <w:textAlignment w:val="baseline"/>
        <w:outlineLvl w:val="0"/>
        <w:rPr>
          <w:rFonts w:ascii="黑体" w:hAnsi="黑体" w:eastAsia="黑体"/>
          <w:b/>
          <w:kern w:val="44"/>
          <w:szCs w:val="21"/>
        </w:rPr>
      </w:pPr>
      <w:bookmarkStart w:id="496" w:name="_Toc500256305"/>
      <w:bookmarkStart w:id="497" w:name="_Toc470168819"/>
      <w:r>
        <w:rPr>
          <w:rFonts w:hint="eastAsia" w:ascii="黑体" w:hAnsi="黑体" w:eastAsia="黑体"/>
          <w:b/>
          <w:kern w:val="44"/>
          <w:szCs w:val="21"/>
        </w:rPr>
        <w:t>五</w:t>
      </w:r>
      <w:r>
        <w:rPr>
          <w:rFonts w:ascii="黑体" w:hAnsi="黑体" w:eastAsia="黑体"/>
          <w:b/>
          <w:kern w:val="44"/>
          <w:szCs w:val="21"/>
        </w:rPr>
        <w:t>、</w:t>
      </w:r>
      <w:r>
        <w:rPr>
          <w:rFonts w:hint="eastAsia" w:ascii="黑体" w:hAnsi="黑体" w:eastAsia="黑体"/>
          <w:b/>
          <w:kern w:val="44"/>
          <w:szCs w:val="21"/>
        </w:rPr>
        <w:t>投标方技术偏差</w:t>
      </w:r>
      <w:bookmarkEnd w:id="496"/>
      <w:bookmarkEnd w:id="497"/>
    </w:p>
    <w:p>
      <w:pPr>
        <w:keepNext/>
        <w:keepLines/>
        <w:topLinePunct/>
        <w:spacing w:line="360" w:lineRule="auto"/>
        <w:outlineLvl w:val="1"/>
        <w:rPr>
          <w:rFonts w:eastAsia="黑体"/>
          <w:szCs w:val="21"/>
        </w:rPr>
      </w:pPr>
      <w:bookmarkStart w:id="498" w:name="_Toc470168820"/>
      <w:bookmarkStart w:id="499" w:name="_Toc500256306"/>
      <w:r>
        <w:rPr>
          <w:rFonts w:eastAsia="黑体"/>
          <w:szCs w:val="21"/>
        </w:rPr>
        <w:t>5</w:t>
      </w:r>
      <w:r>
        <w:rPr>
          <w:rFonts w:hint="eastAsia" w:eastAsia="黑体"/>
          <w:szCs w:val="21"/>
        </w:rPr>
        <w:t>.</w:t>
      </w:r>
      <w:r>
        <w:rPr>
          <w:rFonts w:eastAsia="黑体"/>
          <w:szCs w:val="21"/>
        </w:rPr>
        <w:t>1</w:t>
      </w:r>
      <w:r>
        <w:rPr>
          <w:rFonts w:hint="eastAsia" w:eastAsia="黑体"/>
          <w:szCs w:val="21"/>
        </w:rPr>
        <w:t>投标方技术偏差</w:t>
      </w:r>
      <w:bookmarkEnd w:id="498"/>
      <w:bookmarkEnd w:id="499"/>
    </w:p>
    <w:p>
      <w:pPr>
        <w:adjustRightInd w:val="0"/>
        <w:snapToGrid w:val="0"/>
        <w:spacing w:line="360" w:lineRule="auto"/>
        <w:ind w:firstLine="420" w:firstLineChars="200"/>
        <w:rPr>
          <w:rFonts w:hAnsi="宋体"/>
          <w:szCs w:val="21"/>
        </w:rPr>
      </w:pPr>
      <w:r>
        <w:rPr>
          <w:rFonts w:hint="eastAsia"/>
          <w:szCs w:val="21"/>
        </w:rPr>
        <w:t>投标方应将所供设备与本招规范书技术文件有差异之处，无论优于或劣于本招规范书要求，均汇集成此表。</w:t>
      </w:r>
    </w:p>
    <w:p>
      <w:pPr>
        <w:widowControl/>
        <w:spacing w:line="360" w:lineRule="auto"/>
        <w:ind w:firstLine="199" w:firstLineChars="95"/>
        <w:jc w:val="center"/>
        <w:rPr>
          <w:rFonts w:ascii="宋体" w:hAnsi="宋体"/>
          <w:kern w:val="0"/>
          <w:szCs w:val="21"/>
        </w:rPr>
      </w:pPr>
      <w:r>
        <w:rPr>
          <w:rFonts w:hint="eastAsia" w:ascii="宋体" w:hAnsi="宋体"/>
          <w:kern w:val="0"/>
          <w:szCs w:val="21"/>
        </w:rPr>
        <w:t>表</w:t>
      </w:r>
      <w:r>
        <w:rPr>
          <w:rFonts w:ascii="宋体" w:hAnsi="宋体"/>
          <w:kern w:val="0"/>
          <w:szCs w:val="21"/>
        </w:rPr>
        <w:t>5</w:t>
      </w:r>
      <w:r>
        <w:rPr>
          <w:rFonts w:hint="eastAsia" w:ascii="宋体" w:hAnsi="宋体"/>
          <w:kern w:val="0"/>
          <w:szCs w:val="21"/>
        </w:rPr>
        <w:t>.1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restart"/>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w:t>
            </w:r>
          </w:p>
          <w:p>
            <w:pPr>
              <w:autoSpaceDE w:val="0"/>
              <w:autoSpaceDN w:val="0"/>
              <w:spacing w:before="40"/>
              <w:jc w:val="center"/>
              <w:textAlignment w:val="bottom"/>
              <w:rPr>
                <w:rFonts w:ascii="宋体" w:hAnsi="宋体"/>
                <w:szCs w:val="21"/>
              </w:rPr>
            </w:pPr>
            <w:r>
              <w:rPr>
                <w:rFonts w:hint="eastAsia" w:ascii="宋体" w:hAnsi="宋体"/>
                <w:szCs w:val="21"/>
              </w:rPr>
              <w:t>号</w:t>
            </w:r>
          </w:p>
        </w:tc>
        <w:tc>
          <w:tcPr>
            <w:tcW w:w="4290"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招标文件</w:t>
            </w:r>
          </w:p>
        </w:tc>
        <w:tc>
          <w:tcPr>
            <w:tcW w:w="4244"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continue"/>
            <w:vAlign w:val="center"/>
          </w:tcPr>
          <w:p>
            <w:pPr>
              <w:widowControl/>
              <w:autoSpaceDE w:val="0"/>
              <w:autoSpaceDN w:val="0"/>
              <w:spacing w:before="40"/>
              <w:jc w:val="center"/>
              <w:textAlignment w:val="bottom"/>
              <w:rPr>
                <w:rFonts w:ascii="宋体" w:hAnsi="宋体"/>
                <w:szCs w:val="21"/>
              </w:rPr>
            </w:pPr>
          </w:p>
        </w:tc>
        <w:tc>
          <w:tcPr>
            <w:tcW w:w="1287"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条目</w:t>
            </w:r>
          </w:p>
        </w:tc>
        <w:tc>
          <w:tcPr>
            <w:tcW w:w="300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简要内容</w:t>
            </w:r>
          </w:p>
        </w:tc>
        <w:tc>
          <w:tcPr>
            <w:tcW w:w="139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条目</w:t>
            </w:r>
          </w:p>
        </w:tc>
        <w:tc>
          <w:tcPr>
            <w:tcW w:w="2851"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1</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2</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3</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4</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5</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6</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bl>
    <w:p>
      <w:pPr>
        <w:rPr>
          <w:szCs w:val="21"/>
        </w:rPr>
      </w:pPr>
    </w:p>
    <w:p>
      <w:pPr>
        <w:adjustRightInd w:val="0"/>
        <w:snapToGrid w:val="0"/>
        <w:spacing w:before="156" w:beforeLines="50" w:line="360" w:lineRule="auto"/>
        <w:rPr>
          <w:rFonts w:ascii="宋体" w:hAnsi="宋体"/>
          <w:szCs w:val="21"/>
        </w:rPr>
      </w:pPr>
      <w:r>
        <w:rPr>
          <w:rFonts w:hint="eastAsia" w:ascii="宋体" w:hAnsi="宋体"/>
          <w:szCs w:val="21"/>
        </w:rPr>
        <w:t>投标方</w:t>
      </w:r>
      <w:r>
        <w:rPr>
          <w:rFonts w:ascii="宋体" w:hAnsi="宋体"/>
          <w:szCs w:val="21"/>
        </w:rPr>
        <w:t>：   盖章：</w:t>
      </w:r>
    </w:p>
    <w:p>
      <w:pPr>
        <w:rPr>
          <w:szCs w:val="21"/>
        </w:rPr>
      </w:pPr>
    </w:p>
    <w:p>
      <w:pPr>
        <w:keepNext/>
        <w:keepLines/>
        <w:topLinePunct/>
        <w:spacing w:line="360" w:lineRule="auto"/>
        <w:outlineLvl w:val="1"/>
        <w:rPr>
          <w:rFonts w:eastAsia="黑体"/>
          <w:szCs w:val="21"/>
        </w:rPr>
      </w:pPr>
      <w:bookmarkStart w:id="500" w:name="_Toc470168821"/>
      <w:bookmarkStart w:id="501" w:name="_Toc500256307"/>
      <w:r>
        <w:rPr>
          <w:rFonts w:eastAsia="黑体"/>
          <w:szCs w:val="21"/>
        </w:rPr>
        <w:t>5</w:t>
      </w:r>
      <w:r>
        <w:rPr>
          <w:rFonts w:hint="eastAsia" w:eastAsia="黑体"/>
          <w:szCs w:val="21"/>
        </w:rPr>
        <w:t>.</w:t>
      </w:r>
      <w:r>
        <w:rPr>
          <w:rFonts w:eastAsia="黑体"/>
          <w:szCs w:val="21"/>
        </w:rPr>
        <w:t>2</w:t>
      </w:r>
      <w:r>
        <w:rPr>
          <w:rFonts w:hint="eastAsia" w:eastAsia="黑体"/>
          <w:szCs w:val="21"/>
        </w:rPr>
        <w:t>投标方需说明的其他问题</w:t>
      </w:r>
      <w:bookmarkEnd w:id="500"/>
      <w:bookmarkEnd w:id="501"/>
    </w:p>
    <w:p>
      <w:pPr>
        <w:adjustRightInd w:val="0"/>
        <w:snapToGrid w:val="0"/>
        <w:spacing w:line="360" w:lineRule="auto"/>
        <w:ind w:firstLine="420" w:firstLineChars="200"/>
        <w:rPr>
          <w:szCs w:val="21"/>
        </w:rPr>
      </w:pPr>
      <w:r>
        <w:rPr>
          <w:rFonts w:hint="eastAsia"/>
          <w:szCs w:val="21"/>
        </w:rPr>
        <w:t>如有需说明的其他问题，投标方应通过书面形式提交，并加盖公章。</w:t>
      </w:r>
    </w:p>
    <w:p>
      <w:pPr>
        <w:keepNext/>
        <w:keepLines/>
        <w:tabs>
          <w:tab w:val="left" w:pos="425"/>
        </w:tabs>
        <w:topLinePunct/>
        <w:spacing w:line="480" w:lineRule="auto"/>
        <w:textAlignment w:val="baseline"/>
        <w:outlineLvl w:val="0"/>
        <w:rPr>
          <w:rFonts w:ascii="黑体" w:hAnsi="黑体" w:eastAsia="黑体"/>
          <w:b/>
          <w:kern w:val="44"/>
          <w:szCs w:val="21"/>
        </w:rPr>
      </w:pPr>
      <w:bookmarkStart w:id="502" w:name="_Toc470168822"/>
      <w:bookmarkStart w:id="503" w:name="_Toc500256308"/>
      <w:r>
        <w:rPr>
          <w:rFonts w:hint="eastAsia" w:ascii="黑体" w:hAnsi="黑体" w:eastAsia="黑体"/>
          <w:b/>
          <w:kern w:val="44"/>
          <w:szCs w:val="21"/>
        </w:rPr>
        <w:t>六</w:t>
      </w:r>
      <w:r>
        <w:rPr>
          <w:rFonts w:ascii="黑体" w:hAnsi="黑体" w:eastAsia="黑体"/>
          <w:b/>
          <w:kern w:val="44"/>
          <w:szCs w:val="21"/>
        </w:rPr>
        <w:t>、设计图纸</w:t>
      </w:r>
      <w:bookmarkEnd w:id="502"/>
      <w:r>
        <w:rPr>
          <w:rFonts w:hint="eastAsia" w:ascii="黑体" w:hAnsi="黑体" w:eastAsia="黑体"/>
          <w:b/>
          <w:kern w:val="44"/>
          <w:szCs w:val="21"/>
        </w:rPr>
        <w:t>提交要求</w:t>
      </w:r>
      <w:bookmarkEnd w:id="503"/>
    </w:p>
    <w:p>
      <w:pPr>
        <w:keepNext/>
        <w:keepLines/>
        <w:topLinePunct/>
        <w:spacing w:line="360" w:lineRule="auto"/>
        <w:outlineLvl w:val="1"/>
        <w:rPr>
          <w:rFonts w:eastAsia="黑体"/>
          <w:szCs w:val="21"/>
        </w:rPr>
      </w:pPr>
      <w:bookmarkStart w:id="504" w:name="_Toc470168823"/>
      <w:bookmarkStart w:id="505" w:name="_Toc500256309"/>
      <w:r>
        <w:rPr>
          <w:rFonts w:eastAsia="黑体"/>
          <w:szCs w:val="21"/>
        </w:rPr>
        <w:t>6</w:t>
      </w:r>
      <w:r>
        <w:rPr>
          <w:rFonts w:hint="eastAsia" w:eastAsia="黑体"/>
          <w:szCs w:val="21"/>
        </w:rPr>
        <w:t>.</w:t>
      </w:r>
      <w:r>
        <w:rPr>
          <w:rFonts w:eastAsia="黑体"/>
          <w:szCs w:val="21"/>
        </w:rPr>
        <w:t>1</w:t>
      </w:r>
      <w:r>
        <w:rPr>
          <w:rFonts w:hint="eastAsia" w:eastAsia="黑体"/>
          <w:szCs w:val="21"/>
        </w:rPr>
        <w:t>图纸资料提交单位</w:t>
      </w:r>
      <w:bookmarkEnd w:id="504"/>
      <w:bookmarkEnd w:id="505"/>
    </w:p>
    <w:p>
      <w:pPr>
        <w:spacing w:line="360" w:lineRule="auto"/>
        <w:jc w:val="center"/>
        <w:rPr>
          <w:rFonts w:hAnsi="宋体"/>
          <w:szCs w:val="21"/>
        </w:rPr>
      </w:pPr>
      <w:r>
        <w:rPr>
          <w:rFonts w:hint="eastAsia" w:hAnsi="宋体"/>
          <w:szCs w:val="21"/>
        </w:rPr>
        <w:t>表</w:t>
      </w:r>
      <w:r>
        <w:rPr>
          <w:rFonts w:hAnsi="宋体"/>
          <w:szCs w:val="21"/>
        </w:rPr>
        <w:t>6</w:t>
      </w:r>
      <w:r>
        <w:rPr>
          <w:rFonts w:hint="eastAsia" w:hAnsi="宋体"/>
          <w:szCs w:val="21"/>
        </w:rPr>
        <w:t>.1 提交的图纸资料及其接收单位</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4"/>
        <w:gridCol w:w="3056"/>
        <w:gridCol w:w="1692"/>
        <w:gridCol w:w="1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4" w:type="dxa"/>
            <w:vAlign w:val="center"/>
          </w:tcPr>
          <w:p>
            <w:pPr>
              <w:jc w:val="center"/>
              <w:rPr>
                <w:b/>
                <w:snapToGrid w:val="0"/>
                <w:color w:val="000000" w:themeColor="text1"/>
                <w:kern w:val="0"/>
                <w:szCs w:val="21"/>
                <w14:textFill>
                  <w14:solidFill>
                    <w14:schemeClr w14:val="tx1"/>
                  </w14:solidFill>
                </w14:textFill>
              </w:rPr>
            </w:pPr>
            <w:r>
              <w:rPr>
                <w:rFonts w:hint="eastAsia"/>
                <w:b/>
                <w:snapToGrid w:val="0"/>
                <w:color w:val="000000" w:themeColor="text1"/>
                <w:kern w:val="0"/>
                <w:szCs w:val="21"/>
                <w14:textFill>
                  <w14:solidFill>
                    <w14:schemeClr w14:val="tx1"/>
                  </w14:solidFill>
                </w14:textFill>
              </w:rPr>
              <w:t>提交图纸资料名称</w:t>
            </w:r>
          </w:p>
        </w:tc>
        <w:tc>
          <w:tcPr>
            <w:tcW w:w="3056" w:type="dxa"/>
            <w:vAlign w:val="center"/>
          </w:tcPr>
          <w:p>
            <w:pPr>
              <w:jc w:val="center"/>
              <w:rPr>
                <w:b/>
                <w:snapToGrid w:val="0"/>
                <w:color w:val="000000" w:themeColor="text1"/>
                <w:kern w:val="0"/>
                <w:szCs w:val="21"/>
                <w14:textFill>
                  <w14:solidFill>
                    <w14:schemeClr w14:val="tx1"/>
                  </w14:solidFill>
                </w14:textFill>
              </w:rPr>
            </w:pPr>
            <w:r>
              <w:rPr>
                <w:rFonts w:hint="eastAsia"/>
                <w:b/>
                <w:snapToGrid w:val="0"/>
                <w:color w:val="000000" w:themeColor="text1"/>
                <w:kern w:val="0"/>
                <w:szCs w:val="21"/>
                <w14:textFill>
                  <w14:solidFill>
                    <w14:schemeClr w14:val="tx1"/>
                  </w14:solidFill>
                </w14:textFill>
              </w:rPr>
              <w:t>接收图纸单位名称、地址、邮编、电话</w:t>
            </w:r>
          </w:p>
        </w:tc>
        <w:tc>
          <w:tcPr>
            <w:tcW w:w="1692" w:type="dxa"/>
            <w:vAlign w:val="center"/>
          </w:tcPr>
          <w:p>
            <w:pPr>
              <w:jc w:val="center"/>
              <w:rPr>
                <w:b/>
                <w:snapToGrid w:val="0"/>
                <w:color w:val="000000" w:themeColor="text1"/>
                <w:kern w:val="0"/>
                <w:szCs w:val="21"/>
                <w14:textFill>
                  <w14:solidFill>
                    <w14:schemeClr w14:val="tx1"/>
                  </w14:solidFill>
                </w14:textFill>
              </w:rPr>
            </w:pPr>
            <w:r>
              <w:rPr>
                <w:rFonts w:hint="eastAsia"/>
                <w:b/>
                <w:snapToGrid w:val="0"/>
                <w:color w:val="000000" w:themeColor="text1"/>
                <w:kern w:val="0"/>
                <w:szCs w:val="21"/>
                <w14:textFill>
                  <w14:solidFill>
                    <w14:schemeClr w14:val="tx1"/>
                  </w14:solidFill>
                </w14:textFill>
              </w:rPr>
              <w:t>提交份数</w:t>
            </w:r>
          </w:p>
        </w:tc>
        <w:tc>
          <w:tcPr>
            <w:tcW w:w="1816" w:type="dxa"/>
            <w:vAlign w:val="center"/>
          </w:tcPr>
          <w:p>
            <w:pPr>
              <w:jc w:val="center"/>
              <w:rPr>
                <w:b/>
                <w:snapToGrid w:val="0"/>
                <w:color w:val="000000" w:themeColor="text1"/>
                <w:kern w:val="0"/>
                <w:szCs w:val="21"/>
                <w14:textFill>
                  <w14:solidFill>
                    <w14:schemeClr w14:val="tx1"/>
                  </w14:solidFill>
                </w14:textFill>
              </w:rPr>
            </w:pPr>
            <w:r>
              <w:rPr>
                <w:rFonts w:hint="eastAsia"/>
                <w:b/>
                <w:snapToGrid w:val="0"/>
                <w:color w:val="000000" w:themeColor="text1"/>
                <w:kern w:val="0"/>
                <w:szCs w:val="21"/>
                <w14:textFill>
                  <w14:solidFill>
                    <w14:schemeClr w14:val="tx1"/>
                  </w14:solidFill>
                </w14:textFill>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964" w:type="dxa"/>
            <w:tcBorders>
              <w:bottom w:val="single" w:color="auto" w:sz="4" w:space="0"/>
            </w:tcBorders>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图纸类</w:t>
            </w:r>
          </w:p>
        </w:tc>
        <w:tc>
          <w:tcPr>
            <w:tcW w:w="3056" w:type="dxa"/>
            <w:vMerge w:val="restart"/>
            <w:vAlign w:val="center"/>
          </w:tcPr>
          <w:p>
            <w:pPr>
              <w:rPr>
                <w:color w:val="00B0F0"/>
              </w:rPr>
            </w:pPr>
            <w:r>
              <w:rPr>
                <w:rFonts w:hint="eastAsia"/>
                <w:color w:val="00B0F0"/>
              </w:rPr>
              <w:t>名称：中国能源建设集团云南省电力设计院有限公司</w:t>
            </w:r>
          </w:p>
          <w:p>
            <w:pPr>
              <w:rPr>
                <w:color w:val="00B0F0"/>
              </w:rPr>
            </w:pPr>
            <w:r>
              <w:rPr>
                <w:rFonts w:hint="eastAsia"/>
                <w:color w:val="00B0F0"/>
              </w:rPr>
              <w:t>地址：昆明市穿金路161号</w:t>
            </w:r>
          </w:p>
          <w:p>
            <w:pPr>
              <w:rPr>
                <w:color w:val="00B0F0"/>
              </w:rPr>
            </w:pPr>
            <w:r>
              <w:rPr>
                <w:rFonts w:hint="eastAsia"/>
                <w:color w:val="00B0F0"/>
              </w:rPr>
              <w:t>邮编：650051</w:t>
            </w:r>
          </w:p>
          <w:p>
            <w:pPr>
              <w:rPr>
                <w:color w:val="00B0F0"/>
              </w:rPr>
            </w:pPr>
            <w:r>
              <w:rPr>
                <w:rFonts w:hint="eastAsia"/>
                <w:color w:val="00B0F0"/>
              </w:rPr>
              <w:t>电话：</w:t>
            </w:r>
          </w:p>
          <w:p>
            <w:pPr>
              <w:rPr>
                <w:color w:val="00B0F0"/>
              </w:rPr>
            </w:pPr>
            <w:r>
              <w:rPr>
                <w:rFonts w:hint="eastAsia"/>
                <w:color w:val="00B0F0"/>
              </w:rPr>
              <w:t>15911446537（一次：查天林）</w:t>
            </w:r>
          </w:p>
          <w:p>
            <w:pPr>
              <w:rPr>
                <w:color w:val="00B0F0"/>
                <w:sz w:val="18"/>
              </w:rPr>
            </w:pPr>
            <w:r>
              <w:rPr>
                <w:rFonts w:hint="eastAsia"/>
                <w:color w:val="00B0F0"/>
              </w:rPr>
              <w:t>18887709610（二次：</w:t>
            </w:r>
            <w:r>
              <w:rPr>
                <w:rFonts w:hint="eastAsia"/>
                <w:color w:val="00B0F0"/>
                <w:lang w:val="en-US" w:eastAsia="zh-CN"/>
              </w:rPr>
              <w:t>喻泓成</w:t>
            </w:r>
            <w:r>
              <w:rPr>
                <w:rFonts w:hint="eastAsia"/>
                <w:color w:val="00B0F0"/>
              </w:rPr>
              <w:t>）</w:t>
            </w:r>
          </w:p>
        </w:tc>
        <w:tc>
          <w:tcPr>
            <w:tcW w:w="1692" w:type="dxa"/>
            <w:vMerge w:val="restart"/>
            <w:vAlign w:val="center"/>
          </w:tcPr>
          <w:p>
            <w:pPr>
              <w:jc w:val="center"/>
              <w:rPr>
                <w:snapToGrid w:val="0"/>
                <w:color w:val="00B0F0"/>
                <w:kern w:val="0"/>
                <w:sz w:val="18"/>
                <w:szCs w:val="21"/>
              </w:rPr>
            </w:pPr>
            <w:r>
              <w:rPr>
                <w:rFonts w:hint="eastAsia"/>
                <w:snapToGrid w:val="0"/>
                <w:color w:val="00B0F0"/>
                <w:kern w:val="0"/>
                <w:szCs w:val="21"/>
              </w:rPr>
              <w:t>3</w:t>
            </w:r>
          </w:p>
        </w:tc>
        <w:tc>
          <w:tcPr>
            <w:tcW w:w="1816" w:type="dxa"/>
            <w:vMerge w:val="restart"/>
            <w:shd w:val="clear" w:color="auto" w:fill="auto"/>
            <w:vAlign w:val="center"/>
          </w:tcPr>
          <w:p>
            <w:pPr>
              <w:jc w:val="center"/>
              <w:rPr>
                <w:snapToGrid w:val="0"/>
                <w:color w:val="00B0F0"/>
                <w:kern w:val="0"/>
                <w:szCs w:val="21"/>
              </w:rPr>
            </w:pPr>
            <w:r>
              <w:rPr>
                <w:rFonts w:hint="eastAsia"/>
                <w:color w:val="00B0F0"/>
                <w:szCs w:val="21"/>
                <w:lang w:bidi="ar"/>
              </w:rPr>
              <w:t>协议签订</w:t>
            </w:r>
            <w:r>
              <w:rPr>
                <w:color w:val="00B0F0"/>
                <w:szCs w:val="21"/>
                <w:lang w:bidi="ar"/>
              </w:rPr>
              <w:t>10</w:t>
            </w:r>
            <w:r>
              <w:rPr>
                <w:rFonts w:hint="eastAsia"/>
                <w:color w:val="00B0F0"/>
                <w:szCs w:val="21"/>
                <w:lang w:bidi="ar"/>
              </w:rPr>
              <w:t>天内</w:t>
            </w:r>
          </w:p>
          <w:p>
            <w:pPr>
              <w:jc w:val="center"/>
              <w:rPr>
                <w:snapToGrid w:val="0"/>
                <w:color w:val="00B0F0"/>
                <w:kern w:val="0"/>
                <w:sz w:val="18"/>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964" w:type="dxa"/>
            <w:tcBorders>
              <w:bottom w:val="single" w:color="auto" w:sz="4" w:space="0"/>
            </w:tcBorders>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安装使用说明书</w:t>
            </w:r>
          </w:p>
        </w:tc>
        <w:tc>
          <w:tcPr>
            <w:tcW w:w="3056" w:type="dxa"/>
            <w:vMerge w:val="continue"/>
            <w:vAlign w:val="center"/>
          </w:tcPr>
          <w:p>
            <w:pPr>
              <w:jc w:val="center"/>
              <w:rPr>
                <w:snapToGrid w:val="0"/>
                <w:color w:val="000000" w:themeColor="text1"/>
                <w:kern w:val="0"/>
                <w:szCs w:val="21"/>
                <w14:textFill>
                  <w14:solidFill>
                    <w14:schemeClr w14:val="tx1"/>
                  </w14:solidFill>
                </w14:textFill>
              </w:rPr>
            </w:pPr>
          </w:p>
        </w:tc>
        <w:tc>
          <w:tcPr>
            <w:tcW w:w="1692" w:type="dxa"/>
            <w:vMerge w:val="continue"/>
            <w:vAlign w:val="center"/>
          </w:tcPr>
          <w:p>
            <w:pPr>
              <w:jc w:val="center"/>
              <w:rPr>
                <w:color w:val="000000" w:themeColor="text1"/>
                <w:szCs w:val="21"/>
                <w14:textFill>
                  <w14:solidFill>
                    <w14:schemeClr w14:val="tx1"/>
                  </w14:solidFill>
                </w14:textFill>
              </w:rPr>
            </w:pPr>
          </w:p>
        </w:tc>
        <w:tc>
          <w:tcPr>
            <w:tcW w:w="1816" w:type="dxa"/>
            <w:vMerge w:val="continue"/>
            <w:shd w:val="clear" w:color="auto" w:fill="auto"/>
            <w:vAlign w:val="center"/>
          </w:tcPr>
          <w:p>
            <w:pPr>
              <w:jc w:val="cente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964" w:type="dxa"/>
            <w:tcBorders>
              <w:bottom w:val="single" w:color="auto" w:sz="4" w:space="0"/>
            </w:tcBorders>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试验报告</w:t>
            </w:r>
          </w:p>
        </w:tc>
        <w:tc>
          <w:tcPr>
            <w:tcW w:w="3056" w:type="dxa"/>
            <w:vMerge w:val="continue"/>
            <w:vAlign w:val="center"/>
          </w:tcPr>
          <w:p>
            <w:pPr>
              <w:jc w:val="center"/>
              <w:rPr>
                <w:snapToGrid w:val="0"/>
                <w:color w:val="000000" w:themeColor="text1"/>
                <w:kern w:val="0"/>
                <w:szCs w:val="21"/>
                <w14:textFill>
                  <w14:solidFill>
                    <w14:schemeClr w14:val="tx1"/>
                  </w14:solidFill>
                </w14:textFill>
              </w:rPr>
            </w:pPr>
          </w:p>
        </w:tc>
        <w:tc>
          <w:tcPr>
            <w:tcW w:w="1692" w:type="dxa"/>
            <w:vMerge w:val="continue"/>
            <w:vAlign w:val="center"/>
          </w:tcPr>
          <w:p>
            <w:pPr>
              <w:jc w:val="center"/>
              <w:rPr>
                <w:color w:val="000000" w:themeColor="text1"/>
                <w:szCs w:val="21"/>
                <w14:textFill>
                  <w14:solidFill>
                    <w14:schemeClr w14:val="tx1"/>
                  </w14:solidFill>
                </w14:textFill>
              </w:rPr>
            </w:pPr>
          </w:p>
        </w:tc>
        <w:tc>
          <w:tcPr>
            <w:tcW w:w="1816" w:type="dxa"/>
            <w:vMerge w:val="continue"/>
            <w:shd w:val="clear" w:color="auto" w:fill="auto"/>
            <w:vAlign w:val="center"/>
          </w:tcPr>
          <w:p>
            <w:pPr>
              <w:jc w:val="cente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964" w:type="dxa"/>
            <w:tcBorders>
              <w:bottom w:val="single" w:color="auto" w:sz="4" w:space="0"/>
            </w:tcBorders>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其它资料</w:t>
            </w:r>
          </w:p>
        </w:tc>
        <w:tc>
          <w:tcPr>
            <w:tcW w:w="3056" w:type="dxa"/>
            <w:vMerge w:val="continue"/>
            <w:tcBorders>
              <w:bottom w:val="single" w:color="auto" w:sz="4" w:space="0"/>
            </w:tcBorders>
            <w:vAlign w:val="center"/>
          </w:tcPr>
          <w:p>
            <w:pPr>
              <w:jc w:val="center"/>
              <w:rPr>
                <w:snapToGrid w:val="0"/>
                <w:color w:val="000000" w:themeColor="text1"/>
                <w:kern w:val="0"/>
                <w:szCs w:val="21"/>
                <w14:textFill>
                  <w14:solidFill>
                    <w14:schemeClr w14:val="tx1"/>
                  </w14:solidFill>
                </w14:textFill>
              </w:rPr>
            </w:pPr>
          </w:p>
        </w:tc>
        <w:tc>
          <w:tcPr>
            <w:tcW w:w="1692" w:type="dxa"/>
            <w:vMerge w:val="continue"/>
            <w:tcBorders>
              <w:bottom w:val="single" w:color="auto" w:sz="4" w:space="0"/>
            </w:tcBorders>
            <w:vAlign w:val="center"/>
          </w:tcPr>
          <w:p>
            <w:pPr>
              <w:jc w:val="center"/>
              <w:rPr>
                <w:color w:val="000000" w:themeColor="text1"/>
                <w:szCs w:val="21"/>
                <w14:textFill>
                  <w14:solidFill>
                    <w14:schemeClr w14:val="tx1"/>
                  </w14:solidFill>
                </w14:textFill>
              </w:rPr>
            </w:pPr>
          </w:p>
        </w:tc>
        <w:tc>
          <w:tcPr>
            <w:tcW w:w="1816" w:type="dxa"/>
            <w:vMerge w:val="continue"/>
            <w:tcBorders>
              <w:bottom w:val="single" w:color="auto" w:sz="4" w:space="0"/>
            </w:tcBorders>
            <w:shd w:val="clear" w:color="auto" w:fill="auto"/>
            <w:vAlign w:val="center"/>
          </w:tcPr>
          <w:p>
            <w:pPr>
              <w:jc w:val="cente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964" w:type="dxa"/>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图纸类</w:t>
            </w:r>
          </w:p>
        </w:tc>
        <w:tc>
          <w:tcPr>
            <w:tcW w:w="3056" w:type="dxa"/>
            <w:vMerge w:val="restart"/>
            <w:vAlign w:val="center"/>
          </w:tcPr>
          <w:p>
            <w:pPr>
              <w:rPr>
                <w:color w:val="00B0F0"/>
              </w:rPr>
            </w:pPr>
            <w:r>
              <w:rPr>
                <w:rFonts w:hint="eastAsia"/>
                <w:color w:val="00B0F0"/>
              </w:rPr>
              <w:t>名称：云南电网公司建设分公司</w:t>
            </w:r>
          </w:p>
          <w:p>
            <w:pPr>
              <w:rPr>
                <w:color w:val="00B0F0"/>
              </w:rPr>
            </w:pPr>
            <w:r>
              <w:rPr>
                <w:rFonts w:hint="eastAsia"/>
                <w:color w:val="00B0F0"/>
              </w:rPr>
              <w:t>地址：昆明市西山区滇池路1</w:t>
            </w:r>
            <w:r>
              <w:rPr>
                <w:color w:val="00B0F0"/>
              </w:rPr>
              <w:t>345</w:t>
            </w:r>
            <w:r>
              <w:rPr>
                <w:rFonts w:hint="eastAsia"/>
                <w:color w:val="00B0F0"/>
              </w:rPr>
              <w:t>号</w:t>
            </w:r>
          </w:p>
          <w:p>
            <w:pPr>
              <w:rPr>
                <w:color w:val="00B0F0"/>
              </w:rPr>
            </w:pPr>
            <w:r>
              <w:rPr>
                <w:rFonts w:hint="eastAsia"/>
                <w:color w:val="00B0F0"/>
              </w:rPr>
              <w:t>邮编：650</w:t>
            </w:r>
            <w:r>
              <w:rPr>
                <w:color w:val="00B0F0"/>
              </w:rPr>
              <w:t>228</w:t>
            </w:r>
          </w:p>
          <w:p>
            <w:pPr>
              <w:rPr>
                <w:color w:val="00B0F0"/>
                <w:sz w:val="18"/>
              </w:rPr>
            </w:pPr>
            <w:r>
              <w:rPr>
                <w:rFonts w:hint="eastAsia"/>
                <w:color w:val="00B0F0"/>
              </w:rPr>
              <w:t>电话：13529105820（</w:t>
            </w:r>
            <w:r>
              <w:rPr>
                <w:rFonts w:hint="eastAsia"/>
                <w:color w:val="00B0F0"/>
                <w:lang w:val="en-US" w:eastAsia="zh-CN"/>
              </w:rPr>
              <w:t>雷迤涵</w:t>
            </w:r>
            <w:bookmarkStart w:id="514" w:name="_GoBack"/>
            <w:bookmarkEnd w:id="514"/>
            <w:r>
              <w:rPr>
                <w:rFonts w:hint="eastAsia"/>
                <w:color w:val="00B0F0"/>
              </w:rPr>
              <w:t>）</w:t>
            </w:r>
          </w:p>
        </w:tc>
        <w:tc>
          <w:tcPr>
            <w:tcW w:w="1692" w:type="dxa"/>
            <w:vMerge w:val="restart"/>
            <w:vAlign w:val="center"/>
          </w:tcPr>
          <w:p>
            <w:pPr>
              <w:spacing w:line="300" w:lineRule="auto"/>
              <w:jc w:val="center"/>
              <w:rPr>
                <w:snapToGrid w:val="0"/>
                <w:color w:val="00B0F0"/>
                <w:kern w:val="0"/>
                <w:sz w:val="18"/>
                <w:szCs w:val="21"/>
              </w:rPr>
            </w:pPr>
            <w:r>
              <w:rPr>
                <w:color w:val="00B0F0"/>
                <w:szCs w:val="21"/>
                <w:lang w:bidi="ar"/>
              </w:rPr>
              <w:t>3</w:t>
            </w:r>
          </w:p>
        </w:tc>
        <w:tc>
          <w:tcPr>
            <w:tcW w:w="1816" w:type="dxa"/>
            <w:vMerge w:val="restart"/>
            <w:shd w:val="clear" w:color="auto" w:fill="auto"/>
            <w:vAlign w:val="center"/>
          </w:tcPr>
          <w:p>
            <w:pPr>
              <w:spacing w:line="300" w:lineRule="auto"/>
              <w:jc w:val="center"/>
              <w:rPr>
                <w:snapToGrid w:val="0"/>
                <w:color w:val="00B0F0"/>
                <w:kern w:val="0"/>
                <w:sz w:val="18"/>
                <w:szCs w:val="21"/>
              </w:rPr>
            </w:pPr>
            <w:r>
              <w:rPr>
                <w:rFonts w:hint="eastAsia" w:cs="宋体"/>
                <w:color w:val="00B0F0"/>
                <w:szCs w:val="21"/>
                <w:lang w:bidi="ar"/>
              </w:rPr>
              <w:t>协议签订</w:t>
            </w:r>
            <w:r>
              <w:rPr>
                <w:color w:val="00B0F0"/>
                <w:szCs w:val="21"/>
                <w:lang w:bidi="ar"/>
              </w:rPr>
              <w:t>10</w:t>
            </w:r>
            <w:r>
              <w:rPr>
                <w:rFonts w:hint="eastAsia" w:cs="宋体"/>
                <w:color w:val="00B0F0"/>
                <w:szCs w:val="21"/>
                <w:lang w:bidi="ar"/>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964" w:type="dxa"/>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安装使用说明书</w:t>
            </w:r>
          </w:p>
        </w:tc>
        <w:tc>
          <w:tcPr>
            <w:tcW w:w="3056" w:type="dxa"/>
            <w:vMerge w:val="continue"/>
            <w:vAlign w:val="center"/>
          </w:tcPr>
          <w:p>
            <w:pPr>
              <w:spacing w:line="300" w:lineRule="auto"/>
              <w:jc w:val="center"/>
              <w:rPr>
                <w:snapToGrid w:val="0"/>
                <w:color w:val="000000" w:themeColor="text1"/>
                <w:kern w:val="0"/>
                <w:szCs w:val="21"/>
                <w14:textFill>
                  <w14:solidFill>
                    <w14:schemeClr w14:val="tx1"/>
                  </w14:solidFill>
                </w14:textFill>
              </w:rPr>
            </w:pPr>
          </w:p>
        </w:tc>
        <w:tc>
          <w:tcPr>
            <w:tcW w:w="1692" w:type="dxa"/>
            <w:vMerge w:val="continue"/>
            <w:vAlign w:val="center"/>
          </w:tcPr>
          <w:p>
            <w:pPr>
              <w:spacing w:line="300" w:lineRule="auto"/>
              <w:jc w:val="center"/>
              <w:rPr>
                <w:color w:val="000000" w:themeColor="text1"/>
                <w:szCs w:val="21"/>
                <w14:textFill>
                  <w14:solidFill>
                    <w14:schemeClr w14:val="tx1"/>
                  </w14:solidFill>
                </w14:textFill>
              </w:rPr>
            </w:pPr>
          </w:p>
        </w:tc>
        <w:tc>
          <w:tcPr>
            <w:tcW w:w="1816" w:type="dxa"/>
            <w:vMerge w:val="continue"/>
            <w:shd w:val="clear" w:color="auto" w:fill="auto"/>
            <w:vAlign w:val="center"/>
          </w:tcPr>
          <w:p>
            <w:pPr>
              <w:spacing w:line="300" w:lineRule="auto"/>
              <w:jc w:val="cente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964" w:type="dxa"/>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试验报告</w:t>
            </w:r>
          </w:p>
        </w:tc>
        <w:tc>
          <w:tcPr>
            <w:tcW w:w="3056" w:type="dxa"/>
            <w:vMerge w:val="continue"/>
            <w:vAlign w:val="center"/>
          </w:tcPr>
          <w:p>
            <w:pPr>
              <w:spacing w:line="300" w:lineRule="auto"/>
              <w:jc w:val="center"/>
              <w:rPr>
                <w:snapToGrid w:val="0"/>
                <w:color w:val="000000" w:themeColor="text1"/>
                <w:kern w:val="0"/>
                <w:szCs w:val="21"/>
                <w14:textFill>
                  <w14:solidFill>
                    <w14:schemeClr w14:val="tx1"/>
                  </w14:solidFill>
                </w14:textFill>
              </w:rPr>
            </w:pPr>
          </w:p>
        </w:tc>
        <w:tc>
          <w:tcPr>
            <w:tcW w:w="1692" w:type="dxa"/>
            <w:vMerge w:val="continue"/>
            <w:vAlign w:val="center"/>
          </w:tcPr>
          <w:p>
            <w:pPr>
              <w:spacing w:line="300" w:lineRule="auto"/>
              <w:jc w:val="center"/>
              <w:rPr>
                <w:color w:val="000000" w:themeColor="text1"/>
                <w:szCs w:val="21"/>
                <w14:textFill>
                  <w14:solidFill>
                    <w14:schemeClr w14:val="tx1"/>
                  </w14:solidFill>
                </w14:textFill>
              </w:rPr>
            </w:pPr>
          </w:p>
        </w:tc>
        <w:tc>
          <w:tcPr>
            <w:tcW w:w="1816" w:type="dxa"/>
            <w:vMerge w:val="continue"/>
            <w:shd w:val="clear" w:color="auto" w:fill="auto"/>
            <w:vAlign w:val="center"/>
          </w:tcPr>
          <w:p>
            <w:pPr>
              <w:spacing w:line="300" w:lineRule="auto"/>
              <w:jc w:val="cente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964" w:type="dxa"/>
            <w:tcBorders>
              <w:bottom w:val="single" w:color="auto" w:sz="4" w:space="0"/>
            </w:tcBorders>
            <w:vAlign w:val="center"/>
          </w:tcPr>
          <w:p>
            <w:pPr>
              <w:jc w:val="center"/>
              <w:rPr>
                <w:snapToGrid w:val="0"/>
                <w:color w:val="000000" w:themeColor="text1"/>
                <w:kern w:val="0"/>
                <w:szCs w:val="21"/>
                <w14:textFill>
                  <w14:solidFill>
                    <w14:schemeClr w14:val="tx1"/>
                  </w14:solidFill>
                </w14:textFill>
              </w:rPr>
            </w:pPr>
            <w:r>
              <w:rPr>
                <w:rFonts w:hint="eastAsia"/>
                <w:snapToGrid w:val="0"/>
                <w:color w:val="000000" w:themeColor="text1"/>
                <w:kern w:val="0"/>
                <w:szCs w:val="21"/>
                <w14:textFill>
                  <w14:solidFill>
                    <w14:schemeClr w14:val="tx1"/>
                  </w14:solidFill>
                </w14:textFill>
              </w:rPr>
              <w:t>其它资料</w:t>
            </w:r>
          </w:p>
        </w:tc>
        <w:tc>
          <w:tcPr>
            <w:tcW w:w="3056" w:type="dxa"/>
            <w:vMerge w:val="continue"/>
            <w:tcBorders>
              <w:bottom w:val="single" w:color="auto" w:sz="4" w:space="0"/>
            </w:tcBorders>
            <w:vAlign w:val="center"/>
          </w:tcPr>
          <w:p>
            <w:pPr>
              <w:spacing w:line="300" w:lineRule="auto"/>
              <w:jc w:val="center"/>
              <w:rPr>
                <w:snapToGrid w:val="0"/>
                <w:color w:val="000000" w:themeColor="text1"/>
                <w:kern w:val="0"/>
                <w:szCs w:val="21"/>
                <w14:textFill>
                  <w14:solidFill>
                    <w14:schemeClr w14:val="tx1"/>
                  </w14:solidFill>
                </w14:textFill>
              </w:rPr>
            </w:pPr>
          </w:p>
        </w:tc>
        <w:tc>
          <w:tcPr>
            <w:tcW w:w="1692" w:type="dxa"/>
            <w:vMerge w:val="continue"/>
            <w:tcBorders>
              <w:bottom w:val="single" w:color="auto" w:sz="4" w:space="0"/>
            </w:tcBorders>
            <w:vAlign w:val="center"/>
          </w:tcPr>
          <w:p>
            <w:pPr>
              <w:spacing w:line="300" w:lineRule="auto"/>
              <w:jc w:val="center"/>
              <w:rPr>
                <w:color w:val="000000" w:themeColor="text1"/>
                <w:szCs w:val="21"/>
                <w14:textFill>
                  <w14:solidFill>
                    <w14:schemeClr w14:val="tx1"/>
                  </w14:solidFill>
                </w14:textFill>
              </w:rPr>
            </w:pPr>
          </w:p>
        </w:tc>
        <w:tc>
          <w:tcPr>
            <w:tcW w:w="1816" w:type="dxa"/>
            <w:vMerge w:val="continue"/>
            <w:tcBorders>
              <w:bottom w:val="single" w:color="auto" w:sz="4" w:space="0"/>
            </w:tcBorders>
            <w:shd w:val="clear" w:color="auto" w:fill="auto"/>
            <w:vAlign w:val="center"/>
          </w:tcPr>
          <w:p>
            <w:pPr>
              <w:spacing w:line="300" w:lineRule="auto"/>
              <w:jc w:val="center"/>
              <w:rPr>
                <w:color w:val="000000" w:themeColor="text1"/>
                <w:szCs w:val="21"/>
                <w14:textFill>
                  <w14:solidFill>
                    <w14:schemeClr w14:val="tx1"/>
                  </w14:solidFill>
                </w14:textFill>
              </w:rPr>
            </w:pPr>
          </w:p>
        </w:tc>
      </w:tr>
    </w:tbl>
    <w:p>
      <w:pPr>
        <w:adjustRightInd w:val="0"/>
        <w:snapToGrid w:val="0"/>
        <w:spacing w:line="360" w:lineRule="auto"/>
        <w:rPr>
          <w:szCs w:val="21"/>
        </w:rPr>
      </w:pPr>
    </w:p>
    <w:p>
      <w:pPr>
        <w:keepNext/>
        <w:keepLines/>
        <w:topLinePunct/>
        <w:spacing w:line="360" w:lineRule="auto"/>
        <w:outlineLvl w:val="1"/>
        <w:rPr>
          <w:rFonts w:ascii="宋体" w:hAnsi="宋体"/>
          <w:szCs w:val="21"/>
        </w:rPr>
      </w:pPr>
      <w:bookmarkStart w:id="506" w:name="_Toc470168824"/>
      <w:bookmarkStart w:id="507" w:name="_Toc500256310"/>
      <w:r>
        <w:rPr>
          <w:rFonts w:ascii="宋体" w:hAnsi="宋体"/>
          <w:szCs w:val="21"/>
        </w:rPr>
        <w:t>6</w:t>
      </w:r>
      <w:r>
        <w:rPr>
          <w:rFonts w:hint="eastAsia" w:ascii="宋体" w:hAnsi="宋体"/>
          <w:szCs w:val="21"/>
        </w:rPr>
        <w:t>.</w:t>
      </w:r>
      <w:r>
        <w:rPr>
          <w:rFonts w:ascii="宋体" w:hAnsi="宋体"/>
          <w:szCs w:val="21"/>
        </w:rPr>
        <w:t>2</w:t>
      </w:r>
      <w:r>
        <w:rPr>
          <w:rFonts w:hint="eastAsia" w:ascii="宋体" w:hAnsi="宋体"/>
          <w:szCs w:val="21"/>
        </w:rPr>
        <w:t xml:space="preserve"> 一次、二次及土建接口要求（适用于扩建工程）</w:t>
      </w:r>
      <w:bookmarkEnd w:id="506"/>
      <w:bookmarkEnd w:id="507"/>
    </w:p>
    <w:p>
      <w:pPr>
        <w:keepNext/>
        <w:keepLines/>
        <w:topLinePunct/>
        <w:spacing w:line="360" w:lineRule="auto"/>
        <w:outlineLvl w:val="1"/>
        <w:rPr>
          <w:rFonts w:ascii="宋体" w:hAnsi="宋体"/>
          <w:szCs w:val="21"/>
        </w:rPr>
      </w:pPr>
      <w:bookmarkStart w:id="508" w:name="_Toc470168825"/>
      <w:bookmarkStart w:id="509" w:name="_Toc500256311"/>
      <w:r>
        <w:rPr>
          <w:rFonts w:ascii="宋体" w:hAnsi="宋体"/>
          <w:szCs w:val="21"/>
        </w:rPr>
        <w:t>6</w:t>
      </w:r>
      <w:r>
        <w:rPr>
          <w:rFonts w:hint="eastAsia" w:ascii="宋体" w:hAnsi="宋体"/>
          <w:szCs w:val="21"/>
        </w:rPr>
        <w:t xml:space="preserve">.3 </w:t>
      </w:r>
      <w:r>
        <w:rPr>
          <w:rFonts w:ascii="宋体" w:hAnsi="宋体"/>
          <w:szCs w:val="21"/>
        </w:rPr>
        <w:t>设备图纸及资料</w:t>
      </w:r>
      <w:bookmarkEnd w:id="508"/>
      <w:bookmarkEnd w:id="509"/>
    </w:p>
    <w:p>
      <w:pPr>
        <w:spacing w:line="360" w:lineRule="auto"/>
        <w:ind w:firstLine="420" w:firstLineChars="200"/>
        <w:rPr>
          <w:szCs w:val="21"/>
        </w:rPr>
      </w:pPr>
      <w:r>
        <w:rPr>
          <w:rFonts w:hAnsi="宋体"/>
          <w:szCs w:val="21"/>
        </w:rPr>
        <w:t>招标文件中</w:t>
      </w:r>
      <w:r>
        <w:rPr>
          <w:rFonts w:hint="eastAsia" w:hAnsi="宋体"/>
          <w:szCs w:val="21"/>
        </w:rPr>
        <w:t>项目单位</w:t>
      </w:r>
      <w:r>
        <w:rPr>
          <w:rFonts w:hAnsi="宋体"/>
          <w:szCs w:val="21"/>
        </w:rPr>
        <w:t>应提供以下图纸</w:t>
      </w:r>
    </w:p>
    <w:p>
      <w:pPr>
        <w:spacing w:line="360" w:lineRule="auto"/>
        <w:ind w:firstLine="735"/>
        <w:rPr>
          <w:szCs w:val="21"/>
        </w:rPr>
      </w:pPr>
      <w:r>
        <w:rPr>
          <w:szCs w:val="21"/>
        </w:rPr>
        <w:t>1</w:t>
      </w:r>
      <w:r>
        <w:rPr>
          <w:rFonts w:hAnsi="宋体"/>
          <w:szCs w:val="21"/>
        </w:rPr>
        <w:t>）电气主接线图</w:t>
      </w:r>
    </w:p>
    <w:p>
      <w:pPr>
        <w:spacing w:line="360" w:lineRule="auto"/>
        <w:ind w:firstLine="735"/>
        <w:rPr>
          <w:rFonts w:hAnsi="宋体"/>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start="1"/>
          <w:cols w:space="425" w:num="1"/>
          <w:docGrid w:type="lines" w:linePitch="312" w:charSpace="0"/>
        </w:sectPr>
      </w:pPr>
      <w:r>
        <w:rPr>
          <w:rFonts w:hint="eastAsia" w:hAnsi="宋体"/>
          <w:szCs w:val="21"/>
        </w:rPr>
        <w:t>2</w:t>
      </w:r>
      <w:r>
        <w:rPr>
          <w:rFonts w:hAnsi="宋体"/>
          <w:szCs w:val="21"/>
        </w:rPr>
        <w:t>）户外平面布置图</w:t>
      </w:r>
    </w:p>
    <w:p>
      <w:pPr>
        <w:keepNext/>
        <w:keepLines/>
        <w:tabs>
          <w:tab w:val="left" w:pos="425"/>
        </w:tabs>
        <w:topLinePunct/>
        <w:spacing w:line="480" w:lineRule="auto"/>
        <w:textAlignment w:val="baseline"/>
        <w:outlineLvl w:val="0"/>
        <w:rPr>
          <w:rFonts w:ascii="黑体" w:hAnsi="黑体" w:eastAsia="黑体"/>
          <w:b/>
          <w:kern w:val="44"/>
          <w:szCs w:val="21"/>
        </w:rPr>
      </w:pPr>
      <w:bookmarkStart w:id="510" w:name="_Toc500256312"/>
      <w:bookmarkStart w:id="511" w:name="_Toc470168826"/>
      <w:r>
        <w:rPr>
          <w:rFonts w:hint="eastAsia" w:ascii="黑体" w:hAnsi="黑体" w:eastAsia="黑体"/>
          <w:b/>
          <w:kern w:val="44"/>
          <w:szCs w:val="21"/>
        </w:rPr>
        <w:t>七</w:t>
      </w:r>
      <w:r>
        <w:rPr>
          <w:rFonts w:ascii="黑体" w:hAnsi="黑体" w:eastAsia="黑体"/>
          <w:b/>
          <w:kern w:val="44"/>
          <w:szCs w:val="21"/>
        </w:rPr>
        <w:t>、其他</w:t>
      </w:r>
      <w:bookmarkEnd w:id="510"/>
      <w:bookmarkEnd w:id="511"/>
    </w:p>
    <w:p>
      <w:pPr>
        <w:keepNext/>
        <w:keepLines/>
        <w:topLinePunct/>
        <w:spacing w:line="360" w:lineRule="auto"/>
        <w:outlineLvl w:val="1"/>
        <w:rPr>
          <w:rFonts w:ascii="宋体" w:hAnsi="宋体"/>
          <w:szCs w:val="21"/>
        </w:rPr>
      </w:pPr>
      <w:bookmarkStart w:id="512" w:name="_Toc470168827"/>
      <w:bookmarkStart w:id="513" w:name="_Toc500256313"/>
      <w:r>
        <w:rPr>
          <w:rFonts w:ascii="宋体" w:hAnsi="宋体"/>
          <w:szCs w:val="21"/>
        </w:rPr>
        <w:t xml:space="preserve">7.1 </w:t>
      </w:r>
      <w:r>
        <w:rPr>
          <w:rFonts w:hint="eastAsia" w:ascii="宋体" w:hAnsi="宋体"/>
          <w:szCs w:val="21"/>
        </w:rPr>
        <w:t>LCC数据文件</w:t>
      </w:r>
      <w:bookmarkEnd w:id="512"/>
      <w:bookmarkEnd w:id="513"/>
    </w:p>
    <w:p>
      <w:pPr>
        <w:adjustRightInd w:val="0"/>
        <w:snapToGrid w:val="0"/>
        <w:spacing w:line="360" w:lineRule="auto"/>
        <w:ind w:firstLine="420" w:firstLineChars="200"/>
        <w:rPr>
          <w:szCs w:val="21"/>
        </w:rPr>
      </w:pPr>
      <w:r>
        <w:rPr>
          <w:rFonts w:hint="eastAsia"/>
          <w:szCs w:val="21"/>
        </w:rPr>
        <w:t>根据设备</w:t>
      </w:r>
      <w:r>
        <w:rPr>
          <w:szCs w:val="21"/>
        </w:rPr>
        <w:t>全生命周期成本（LCC）</w:t>
      </w:r>
      <w:r>
        <w:rPr>
          <w:rFonts w:hint="eastAsia"/>
          <w:szCs w:val="21"/>
        </w:rPr>
        <w:t>管理</w:t>
      </w:r>
      <w:r>
        <w:rPr>
          <w:szCs w:val="21"/>
        </w:rPr>
        <w:t>要求</w:t>
      </w:r>
      <w:r>
        <w:rPr>
          <w:rFonts w:hint="eastAsia"/>
          <w:szCs w:val="21"/>
        </w:rPr>
        <w:t>，投标方应如实填写</w:t>
      </w:r>
      <w:r>
        <w:rPr>
          <w:szCs w:val="21"/>
        </w:rPr>
        <w:t>表</w:t>
      </w:r>
      <w:r>
        <w:rPr>
          <w:rFonts w:hint="eastAsia"/>
          <w:szCs w:val="21"/>
        </w:rPr>
        <w:t>7.</w:t>
      </w:r>
      <w:r>
        <w:rPr>
          <w:szCs w:val="21"/>
        </w:rPr>
        <w:t>1</w:t>
      </w:r>
      <w:r>
        <w:rPr>
          <w:rFonts w:hint="eastAsia"/>
          <w:szCs w:val="21"/>
        </w:rPr>
        <w:t>：设备</w:t>
      </w:r>
      <w:r>
        <w:rPr>
          <w:szCs w:val="21"/>
        </w:rPr>
        <w:t>投资成本费用表</w:t>
      </w:r>
      <w:r>
        <w:rPr>
          <w:rFonts w:hint="eastAsia"/>
          <w:szCs w:val="21"/>
        </w:rPr>
        <w:t>。</w:t>
      </w:r>
      <w:r>
        <w:rPr>
          <w:szCs w:val="21"/>
        </w:rPr>
        <w:t>。</w:t>
      </w:r>
    </w:p>
    <w:p>
      <w:pPr>
        <w:jc w:val="center"/>
        <w:rPr>
          <w:szCs w:val="21"/>
        </w:rPr>
      </w:pPr>
      <w:r>
        <w:rPr>
          <w:szCs w:val="21"/>
        </w:rPr>
        <w:t>表7</w:t>
      </w:r>
      <w:r>
        <w:rPr>
          <w:rFonts w:hint="eastAsia"/>
          <w:szCs w:val="21"/>
        </w:rPr>
        <w:t>.1 设备</w:t>
      </w:r>
      <w:r>
        <w:rPr>
          <w:szCs w:val="21"/>
        </w:rPr>
        <w:t>投资成本费用表</w:t>
      </w:r>
      <w:r>
        <w:rPr>
          <w:rFonts w:hint="eastAsia"/>
          <w:szCs w:val="21"/>
        </w:rPr>
        <w:t>（投标方填写）</w:t>
      </w:r>
    </w:p>
    <w:tbl>
      <w:tblPr>
        <w:tblStyle w:val="84"/>
        <w:tblW w:w="4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rPr>
                <w:kern w:val="0"/>
                <w:szCs w:val="21"/>
              </w:rPr>
            </w:pPr>
            <w:r>
              <w:rPr>
                <w:kern w:val="0"/>
                <w:szCs w:val="21"/>
              </w:rPr>
              <w:t>序号</w:t>
            </w:r>
          </w:p>
        </w:tc>
        <w:tc>
          <w:tcPr>
            <w:tcW w:w="1096" w:type="dxa"/>
            <w:vAlign w:val="center"/>
          </w:tcPr>
          <w:p>
            <w:pPr>
              <w:autoSpaceDE w:val="0"/>
              <w:autoSpaceDN w:val="0"/>
              <w:adjustRightInd w:val="0"/>
              <w:snapToGrid w:val="0"/>
              <w:spacing w:line="360" w:lineRule="auto"/>
              <w:rPr>
                <w:kern w:val="0"/>
                <w:szCs w:val="21"/>
              </w:rPr>
            </w:pPr>
            <w:r>
              <w:rPr>
                <w:rFonts w:hint="eastAsia"/>
                <w:kern w:val="0"/>
                <w:szCs w:val="21"/>
              </w:rPr>
              <w:t>设备</w:t>
            </w:r>
            <w:r>
              <w:rPr>
                <w:kern w:val="0"/>
                <w:szCs w:val="21"/>
              </w:rPr>
              <w:t>型号</w:t>
            </w:r>
          </w:p>
        </w:tc>
        <w:tc>
          <w:tcPr>
            <w:tcW w:w="539" w:type="dxa"/>
            <w:vAlign w:val="center"/>
          </w:tcPr>
          <w:p>
            <w:pPr>
              <w:autoSpaceDE w:val="0"/>
              <w:autoSpaceDN w:val="0"/>
              <w:adjustRightInd w:val="0"/>
              <w:snapToGrid w:val="0"/>
              <w:spacing w:line="360" w:lineRule="auto"/>
              <w:rPr>
                <w:kern w:val="0"/>
                <w:szCs w:val="21"/>
              </w:rPr>
            </w:pPr>
            <w:r>
              <w:rPr>
                <w:rFonts w:hint="eastAsia"/>
                <w:kern w:val="0"/>
                <w:szCs w:val="21"/>
              </w:rPr>
              <w:t>数量</w:t>
            </w:r>
          </w:p>
        </w:tc>
        <w:tc>
          <w:tcPr>
            <w:tcW w:w="539" w:type="dxa"/>
            <w:vAlign w:val="center"/>
          </w:tcPr>
          <w:p>
            <w:pPr>
              <w:autoSpaceDE w:val="0"/>
              <w:autoSpaceDN w:val="0"/>
              <w:adjustRightInd w:val="0"/>
              <w:snapToGrid w:val="0"/>
              <w:spacing w:line="360" w:lineRule="auto"/>
              <w:rPr>
                <w:kern w:val="0"/>
                <w:szCs w:val="21"/>
              </w:rPr>
            </w:pPr>
            <w:r>
              <w:rPr>
                <w:kern w:val="0"/>
                <w:szCs w:val="21"/>
              </w:rPr>
              <w:t>单价</w:t>
            </w:r>
          </w:p>
        </w:tc>
        <w:tc>
          <w:tcPr>
            <w:tcW w:w="1112" w:type="dxa"/>
            <w:vAlign w:val="center"/>
          </w:tcPr>
          <w:p>
            <w:pPr>
              <w:autoSpaceDE w:val="0"/>
              <w:autoSpaceDN w:val="0"/>
              <w:adjustRightInd w:val="0"/>
              <w:snapToGrid w:val="0"/>
              <w:spacing w:line="360" w:lineRule="auto"/>
              <w:rPr>
                <w:kern w:val="0"/>
                <w:szCs w:val="21"/>
              </w:rPr>
            </w:pPr>
            <w:r>
              <w:rPr>
                <w:kern w:val="0"/>
                <w:szCs w:val="21"/>
              </w:rPr>
              <w:t>专用工具费</w:t>
            </w:r>
          </w:p>
        </w:tc>
        <w:tc>
          <w:tcPr>
            <w:tcW w:w="750" w:type="dxa"/>
            <w:vAlign w:val="center"/>
          </w:tcPr>
          <w:p>
            <w:pPr>
              <w:autoSpaceDE w:val="0"/>
              <w:autoSpaceDN w:val="0"/>
              <w:adjustRightInd w:val="0"/>
              <w:snapToGrid w:val="0"/>
              <w:spacing w:line="360" w:lineRule="auto"/>
              <w:rPr>
                <w:kern w:val="0"/>
                <w:szCs w:val="21"/>
              </w:rPr>
            </w:pPr>
            <w:r>
              <w:rPr>
                <w:kern w:val="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bl>
    <w:p>
      <w:pPr>
        <w:rPr>
          <w:szCs w:val="21"/>
        </w:rPr>
      </w:pPr>
    </w:p>
    <w:bookmarkEnd w:id="396"/>
    <w:bookmarkEnd w:id="397"/>
    <w:bookmarkEnd w:id="398"/>
    <w:bookmarkEnd w:id="399"/>
    <w:bookmarkEnd w:id="400"/>
    <w:bookmarkEnd w:id="401"/>
    <w:bookmarkEnd w:id="402"/>
    <w:bookmarkEnd w:id="403"/>
    <w:bookmarkEnd w:id="404"/>
    <w:bookmarkEnd w:id="405"/>
    <w:bookmarkEnd w:id="406"/>
    <w:p>
      <w:pPr>
        <w:rPr>
          <w:szCs w:val="21"/>
        </w:rPr>
      </w:pPr>
    </w:p>
    <w:sectPr>
      <w:headerReference r:id="rId14" w:type="first"/>
      <w:footerReference r:id="rId17" w:type="first"/>
      <w:footerReference r:id="rId15" w:type="default"/>
      <w:headerReference r:id="rId13" w:type="even"/>
      <w:footerReference r:id="rId16"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panose1 w:val="02010601030101010101"/>
    <w:charset w:val="86"/>
    <w:family w:val="auto"/>
    <w:pitch w:val="default"/>
    <w:sig w:usb0="00000001" w:usb1="080E0000" w:usb2="0000000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rPr>
        <w:caps/>
      </w:rPr>
    </w:pPr>
    <w:r>
      <w:rPr>
        <w:caps/>
      </w:rPr>
      <w:fldChar w:fldCharType="begin"/>
    </w:r>
    <w:r>
      <w:rPr>
        <w:caps/>
      </w:rPr>
      <w:instrText xml:space="preserve"> PAGE   \* MERGEFORMAT </w:instrText>
    </w:r>
    <w:r>
      <w:rPr>
        <w:caps/>
      </w:rPr>
      <w:fldChar w:fldCharType="separate"/>
    </w:r>
    <w:r>
      <w:rPr>
        <w:caps/>
      </w:rPr>
      <w:t>6</w:t>
    </w:r>
    <w:r>
      <w:rPr>
        <w:caps/>
      </w:rPr>
      <w:fldChar w:fldCharType="end"/>
    </w:r>
  </w:p>
  <w:p>
    <w:pPr>
      <w:pStyle w:val="51"/>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33884"/>
    </w:sdtPr>
    <w:sdtContent>
      <w:p>
        <w:pPr>
          <w:pStyle w:val="51"/>
          <w:jc w:val="center"/>
        </w:pPr>
        <w:r>
          <w:fldChar w:fldCharType="begin"/>
        </w:r>
        <w:r>
          <w:instrText xml:space="preserve"> PAGE   \* MERGEFORMAT </w:instrText>
        </w:r>
        <w:r>
          <w:fldChar w:fldCharType="separate"/>
        </w:r>
        <w:r>
          <w:rPr>
            <w:lang w:val="zh-CN"/>
          </w:rPr>
          <w:t>11</w:t>
        </w:r>
        <w:r>
          <w:rPr>
            <w:lang w:val="zh-CN"/>
          </w:rPr>
          <w:fldChar w:fldCharType="end"/>
        </w:r>
      </w:p>
    </w:sdtContent>
  </w:sdt>
  <w:p>
    <w:pPr>
      <w:pStyle w:val="51"/>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零序电流互感器技术规范书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零序电流互感器技术规范书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0E8"/>
    <w:rsid w:val="00001E2C"/>
    <w:rsid w:val="0000728B"/>
    <w:rsid w:val="00010C9D"/>
    <w:rsid w:val="00015D91"/>
    <w:rsid w:val="00015D98"/>
    <w:rsid w:val="000227D3"/>
    <w:rsid w:val="00027705"/>
    <w:rsid w:val="0003054A"/>
    <w:rsid w:val="00030F11"/>
    <w:rsid w:val="00031D87"/>
    <w:rsid w:val="00033322"/>
    <w:rsid w:val="00033523"/>
    <w:rsid w:val="0003430E"/>
    <w:rsid w:val="000352CB"/>
    <w:rsid w:val="00037E66"/>
    <w:rsid w:val="00041CFC"/>
    <w:rsid w:val="000532B0"/>
    <w:rsid w:val="000561A3"/>
    <w:rsid w:val="00060853"/>
    <w:rsid w:val="00062E07"/>
    <w:rsid w:val="00064CED"/>
    <w:rsid w:val="00066A93"/>
    <w:rsid w:val="0006743B"/>
    <w:rsid w:val="00067937"/>
    <w:rsid w:val="0007137F"/>
    <w:rsid w:val="00075B90"/>
    <w:rsid w:val="00075E31"/>
    <w:rsid w:val="00080CD9"/>
    <w:rsid w:val="00080D97"/>
    <w:rsid w:val="00083921"/>
    <w:rsid w:val="0008596D"/>
    <w:rsid w:val="00086739"/>
    <w:rsid w:val="00090950"/>
    <w:rsid w:val="000A068F"/>
    <w:rsid w:val="000A0AAA"/>
    <w:rsid w:val="000A200F"/>
    <w:rsid w:val="000A27AC"/>
    <w:rsid w:val="000A616C"/>
    <w:rsid w:val="000A6648"/>
    <w:rsid w:val="000A7AD4"/>
    <w:rsid w:val="000B23D7"/>
    <w:rsid w:val="000B42E4"/>
    <w:rsid w:val="000B78E1"/>
    <w:rsid w:val="000C3A91"/>
    <w:rsid w:val="000C544D"/>
    <w:rsid w:val="000C5CEB"/>
    <w:rsid w:val="000C7DF1"/>
    <w:rsid w:val="000D1E24"/>
    <w:rsid w:val="000D37C9"/>
    <w:rsid w:val="000D5E3D"/>
    <w:rsid w:val="000D6577"/>
    <w:rsid w:val="000E11AE"/>
    <w:rsid w:val="000E288E"/>
    <w:rsid w:val="000E554A"/>
    <w:rsid w:val="000E681C"/>
    <w:rsid w:val="000F1461"/>
    <w:rsid w:val="000F2AC0"/>
    <w:rsid w:val="000F652B"/>
    <w:rsid w:val="001065A8"/>
    <w:rsid w:val="00107973"/>
    <w:rsid w:val="00111D41"/>
    <w:rsid w:val="00115840"/>
    <w:rsid w:val="00123DBB"/>
    <w:rsid w:val="001269A7"/>
    <w:rsid w:val="0013146E"/>
    <w:rsid w:val="00133385"/>
    <w:rsid w:val="001343CA"/>
    <w:rsid w:val="0014301B"/>
    <w:rsid w:val="001509BF"/>
    <w:rsid w:val="00150A48"/>
    <w:rsid w:val="001522F8"/>
    <w:rsid w:val="00153BBD"/>
    <w:rsid w:val="00156030"/>
    <w:rsid w:val="00157548"/>
    <w:rsid w:val="00160A68"/>
    <w:rsid w:val="00161075"/>
    <w:rsid w:val="0016484E"/>
    <w:rsid w:val="00166690"/>
    <w:rsid w:val="00172547"/>
    <w:rsid w:val="00172A27"/>
    <w:rsid w:val="001735F5"/>
    <w:rsid w:val="001748C3"/>
    <w:rsid w:val="00177B6C"/>
    <w:rsid w:val="001829E8"/>
    <w:rsid w:val="00183634"/>
    <w:rsid w:val="0018486B"/>
    <w:rsid w:val="00186A81"/>
    <w:rsid w:val="00187404"/>
    <w:rsid w:val="00190BA0"/>
    <w:rsid w:val="00190C31"/>
    <w:rsid w:val="00194C9B"/>
    <w:rsid w:val="001A0BA6"/>
    <w:rsid w:val="001A1A26"/>
    <w:rsid w:val="001A24A4"/>
    <w:rsid w:val="001A2EA6"/>
    <w:rsid w:val="001A59F3"/>
    <w:rsid w:val="001B2AC7"/>
    <w:rsid w:val="001B2F56"/>
    <w:rsid w:val="001B4549"/>
    <w:rsid w:val="001B5C66"/>
    <w:rsid w:val="001B5C8E"/>
    <w:rsid w:val="001B7886"/>
    <w:rsid w:val="001C2100"/>
    <w:rsid w:val="001C56E7"/>
    <w:rsid w:val="001D2864"/>
    <w:rsid w:val="001D361F"/>
    <w:rsid w:val="001D45BB"/>
    <w:rsid w:val="001E24BF"/>
    <w:rsid w:val="001E3B94"/>
    <w:rsid w:val="001E455A"/>
    <w:rsid w:val="001E6DE6"/>
    <w:rsid w:val="001E7EE3"/>
    <w:rsid w:val="001F3EC6"/>
    <w:rsid w:val="001F3F6F"/>
    <w:rsid w:val="001F5807"/>
    <w:rsid w:val="001F5B02"/>
    <w:rsid w:val="001F6852"/>
    <w:rsid w:val="00200B11"/>
    <w:rsid w:val="00201D01"/>
    <w:rsid w:val="00213FC9"/>
    <w:rsid w:val="0021690B"/>
    <w:rsid w:val="002172AC"/>
    <w:rsid w:val="00234DFB"/>
    <w:rsid w:val="00234EBB"/>
    <w:rsid w:val="00237788"/>
    <w:rsid w:val="00241F15"/>
    <w:rsid w:val="002435C7"/>
    <w:rsid w:val="002443DB"/>
    <w:rsid w:val="002448D8"/>
    <w:rsid w:val="00244C95"/>
    <w:rsid w:val="002514B2"/>
    <w:rsid w:val="00252855"/>
    <w:rsid w:val="00253AF9"/>
    <w:rsid w:val="00254086"/>
    <w:rsid w:val="00262130"/>
    <w:rsid w:val="00266BB2"/>
    <w:rsid w:val="002755B0"/>
    <w:rsid w:val="00281A0A"/>
    <w:rsid w:val="00281CA4"/>
    <w:rsid w:val="002821FF"/>
    <w:rsid w:val="00282FBC"/>
    <w:rsid w:val="00291427"/>
    <w:rsid w:val="00295651"/>
    <w:rsid w:val="002A3063"/>
    <w:rsid w:val="002A3BE4"/>
    <w:rsid w:val="002A4519"/>
    <w:rsid w:val="002B0863"/>
    <w:rsid w:val="002B26DB"/>
    <w:rsid w:val="002B55B8"/>
    <w:rsid w:val="002B6445"/>
    <w:rsid w:val="002B655D"/>
    <w:rsid w:val="002B668C"/>
    <w:rsid w:val="002B75CB"/>
    <w:rsid w:val="002C351B"/>
    <w:rsid w:val="002D4249"/>
    <w:rsid w:val="002D7B44"/>
    <w:rsid w:val="002F04FD"/>
    <w:rsid w:val="002F0E4E"/>
    <w:rsid w:val="002F4DBE"/>
    <w:rsid w:val="0030051E"/>
    <w:rsid w:val="0030180E"/>
    <w:rsid w:val="003048BA"/>
    <w:rsid w:val="00305ADE"/>
    <w:rsid w:val="00306031"/>
    <w:rsid w:val="0030757F"/>
    <w:rsid w:val="00310C12"/>
    <w:rsid w:val="003138B5"/>
    <w:rsid w:val="00314FDF"/>
    <w:rsid w:val="00317D1A"/>
    <w:rsid w:val="003212F8"/>
    <w:rsid w:val="00324145"/>
    <w:rsid w:val="0032458C"/>
    <w:rsid w:val="0032703B"/>
    <w:rsid w:val="0033059F"/>
    <w:rsid w:val="00335143"/>
    <w:rsid w:val="00335CA1"/>
    <w:rsid w:val="003404EE"/>
    <w:rsid w:val="00343056"/>
    <w:rsid w:val="00343F52"/>
    <w:rsid w:val="003452EC"/>
    <w:rsid w:val="00346C38"/>
    <w:rsid w:val="00350C64"/>
    <w:rsid w:val="00353C15"/>
    <w:rsid w:val="0035714B"/>
    <w:rsid w:val="003647B4"/>
    <w:rsid w:val="00367272"/>
    <w:rsid w:val="003677EF"/>
    <w:rsid w:val="003725CD"/>
    <w:rsid w:val="003729D9"/>
    <w:rsid w:val="003752B3"/>
    <w:rsid w:val="0038061B"/>
    <w:rsid w:val="00382D13"/>
    <w:rsid w:val="00382DCC"/>
    <w:rsid w:val="00384077"/>
    <w:rsid w:val="00386D56"/>
    <w:rsid w:val="00396AEF"/>
    <w:rsid w:val="003972C8"/>
    <w:rsid w:val="003A0E87"/>
    <w:rsid w:val="003A46C5"/>
    <w:rsid w:val="003A477A"/>
    <w:rsid w:val="003A6AEB"/>
    <w:rsid w:val="003A6BC0"/>
    <w:rsid w:val="003B182F"/>
    <w:rsid w:val="003B1AD9"/>
    <w:rsid w:val="003B1E59"/>
    <w:rsid w:val="003B1E6D"/>
    <w:rsid w:val="003B34E1"/>
    <w:rsid w:val="003B37F3"/>
    <w:rsid w:val="003B550A"/>
    <w:rsid w:val="003C25B2"/>
    <w:rsid w:val="003C3234"/>
    <w:rsid w:val="003C34BD"/>
    <w:rsid w:val="003D655D"/>
    <w:rsid w:val="003D6B2A"/>
    <w:rsid w:val="003D7157"/>
    <w:rsid w:val="003D71A0"/>
    <w:rsid w:val="003E43E2"/>
    <w:rsid w:val="003F0C72"/>
    <w:rsid w:val="003F141B"/>
    <w:rsid w:val="003F4893"/>
    <w:rsid w:val="003F6F32"/>
    <w:rsid w:val="003F79C5"/>
    <w:rsid w:val="004009ED"/>
    <w:rsid w:val="004029C3"/>
    <w:rsid w:val="00402FAF"/>
    <w:rsid w:val="0040692A"/>
    <w:rsid w:val="00407656"/>
    <w:rsid w:val="00414670"/>
    <w:rsid w:val="00414F96"/>
    <w:rsid w:val="00415069"/>
    <w:rsid w:val="00421D40"/>
    <w:rsid w:val="00424CBA"/>
    <w:rsid w:val="0042581D"/>
    <w:rsid w:val="00426AE2"/>
    <w:rsid w:val="00426BC5"/>
    <w:rsid w:val="004322FA"/>
    <w:rsid w:val="00432563"/>
    <w:rsid w:val="0043310C"/>
    <w:rsid w:val="00434DAA"/>
    <w:rsid w:val="00441301"/>
    <w:rsid w:val="0044151B"/>
    <w:rsid w:val="0044213E"/>
    <w:rsid w:val="004443BB"/>
    <w:rsid w:val="00455E2B"/>
    <w:rsid w:val="004611B6"/>
    <w:rsid w:val="00463288"/>
    <w:rsid w:val="00464B39"/>
    <w:rsid w:val="0046609C"/>
    <w:rsid w:val="00475327"/>
    <w:rsid w:val="00480354"/>
    <w:rsid w:val="00486D22"/>
    <w:rsid w:val="00491962"/>
    <w:rsid w:val="00495DB4"/>
    <w:rsid w:val="004A2190"/>
    <w:rsid w:val="004A2717"/>
    <w:rsid w:val="004A3AEC"/>
    <w:rsid w:val="004B0925"/>
    <w:rsid w:val="004B0C9A"/>
    <w:rsid w:val="004B1985"/>
    <w:rsid w:val="004B24BA"/>
    <w:rsid w:val="004B28C3"/>
    <w:rsid w:val="004B3F29"/>
    <w:rsid w:val="004B5178"/>
    <w:rsid w:val="004C5EC4"/>
    <w:rsid w:val="004C5FCB"/>
    <w:rsid w:val="004C66A1"/>
    <w:rsid w:val="004D0198"/>
    <w:rsid w:val="004D77A1"/>
    <w:rsid w:val="004E18F5"/>
    <w:rsid w:val="004E2824"/>
    <w:rsid w:val="004E3228"/>
    <w:rsid w:val="004E6A8A"/>
    <w:rsid w:val="00500513"/>
    <w:rsid w:val="00503236"/>
    <w:rsid w:val="005039C5"/>
    <w:rsid w:val="00511A20"/>
    <w:rsid w:val="005130DF"/>
    <w:rsid w:val="0051668D"/>
    <w:rsid w:val="0052134E"/>
    <w:rsid w:val="00522E42"/>
    <w:rsid w:val="00527350"/>
    <w:rsid w:val="005304D4"/>
    <w:rsid w:val="005306C7"/>
    <w:rsid w:val="005332EF"/>
    <w:rsid w:val="005374BE"/>
    <w:rsid w:val="00537802"/>
    <w:rsid w:val="00537ADB"/>
    <w:rsid w:val="00541420"/>
    <w:rsid w:val="00551F86"/>
    <w:rsid w:val="0055414C"/>
    <w:rsid w:val="00554E0C"/>
    <w:rsid w:val="005554AD"/>
    <w:rsid w:val="00555BFD"/>
    <w:rsid w:val="00555FF4"/>
    <w:rsid w:val="005562C4"/>
    <w:rsid w:val="00560DD2"/>
    <w:rsid w:val="005611DC"/>
    <w:rsid w:val="005643FA"/>
    <w:rsid w:val="00564C43"/>
    <w:rsid w:val="00567650"/>
    <w:rsid w:val="0058007D"/>
    <w:rsid w:val="00581C69"/>
    <w:rsid w:val="005863C9"/>
    <w:rsid w:val="00592818"/>
    <w:rsid w:val="00593929"/>
    <w:rsid w:val="00594D3D"/>
    <w:rsid w:val="005953B6"/>
    <w:rsid w:val="0059552C"/>
    <w:rsid w:val="0059708D"/>
    <w:rsid w:val="005A2C0D"/>
    <w:rsid w:val="005A2F65"/>
    <w:rsid w:val="005B3CD6"/>
    <w:rsid w:val="005B63CE"/>
    <w:rsid w:val="005C357D"/>
    <w:rsid w:val="005C41AD"/>
    <w:rsid w:val="005C5432"/>
    <w:rsid w:val="005D286F"/>
    <w:rsid w:val="005D5718"/>
    <w:rsid w:val="005D6B37"/>
    <w:rsid w:val="005D7BAA"/>
    <w:rsid w:val="005D7E8C"/>
    <w:rsid w:val="005E27E2"/>
    <w:rsid w:val="005E6983"/>
    <w:rsid w:val="005E6ECB"/>
    <w:rsid w:val="005F14D2"/>
    <w:rsid w:val="005F3FCB"/>
    <w:rsid w:val="005F4666"/>
    <w:rsid w:val="005F5EDD"/>
    <w:rsid w:val="00600260"/>
    <w:rsid w:val="00600AA9"/>
    <w:rsid w:val="00601EB7"/>
    <w:rsid w:val="0060350E"/>
    <w:rsid w:val="0060523F"/>
    <w:rsid w:val="00613C25"/>
    <w:rsid w:val="00614589"/>
    <w:rsid w:val="00616530"/>
    <w:rsid w:val="00620B5A"/>
    <w:rsid w:val="00620DC3"/>
    <w:rsid w:val="00622411"/>
    <w:rsid w:val="00623563"/>
    <w:rsid w:val="00625F27"/>
    <w:rsid w:val="00627D22"/>
    <w:rsid w:val="00633CDF"/>
    <w:rsid w:val="0063532E"/>
    <w:rsid w:val="00642D15"/>
    <w:rsid w:val="00643966"/>
    <w:rsid w:val="006475C0"/>
    <w:rsid w:val="00647CD0"/>
    <w:rsid w:val="00653B7C"/>
    <w:rsid w:val="006633AB"/>
    <w:rsid w:val="006659A9"/>
    <w:rsid w:val="006659DA"/>
    <w:rsid w:val="0067283D"/>
    <w:rsid w:val="006743D0"/>
    <w:rsid w:val="00675ADD"/>
    <w:rsid w:val="006815F8"/>
    <w:rsid w:val="00681DDA"/>
    <w:rsid w:val="00681F83"/>
    <w:rsid w:val="00684515"/>
    <w:rsid w:val="006855F8"/>
    <w:rsid w:val="00685DDD"/>
    <w:rsid w:val="00686BB2"/>
    <w:rsid w:val="006914F7"/>
    <w:rsid w:val="006924D7"/>
    <w:rsid w:val="00695FDC"/>
    <w:rsid w:val="006A68A0"/>
    <w:rsid w:val="006A6ACC"/>
    <w:rsid w:val="006A7553"/>
    <w:rsid w:val="006B0599"/>
    <w:rsid w:val="006B2952"/>
    <w:rsid w:val="006C1EA0"/>
    <w:rsid w:val="006C23AA"/>
    <w:rsid w:val="006C3346"/>
    <w:rsid w:val="006C3BAA"/>
    <w:rsid w:val="006C443A"/>
    <w:rsid w:val="006C580E"/>
    <w:rsid w:val="006C7E2E"/>
    <w:rsid w:val="006D2BC1"/>
    <w:rsid w:val="006F081C"/>
    <w:rsid w:val="006F16BF"/>
    <w:rsid w:val="006F2C05"/>
    <w:rsid w:val="006F401A"/>
    <w:rsid w:val="006F631E"/>
    <w:rsid w:val="006F7E98"/>
    <w:rsid w:val="00716491"/>
    <w:rsid w:val="00720B17"/>
    <w:rsid w:val="00731173"/>
    <w:rsid w:val="00733677"/>
    <w:rsid w:val="00741C14"/>
    <w:rsid w:val="007424E8"/>
    <w:rsid w:val="00745183"/>
    <w:rsid w:val="00745616"/>
    <w:rsid w:val="0074681E"/>
    <w:rsid w:val="00747310"/>
    <w:rsid w:val="007524E9"/>
    <w:rsid w:val="00754C84"/>
    <w:rsid w:val="00760AE8"/>
    <w:rsid w:val="00762AA2"/>
    <w:rsid w:val="00763058"/>
    <w:rsid w:val="007634C9"/>
    <w:rsid w:val="00763831"/>
    <w:rsid w:val="007666C2"/>
    <w:rsid w:val="00767856"/>
    <w:rsid w:val="00774B7B"/>
    <w:rsid w:val="007765C0"/>
    <w:rsid w:val="007779AD"/>
    <w:rsid w:val="007808BC"/>
    <w:rsid w:val="00780F7E"/>
    <w:rsid w:val="00781D8C"/>
    <w:rsid w:val="00781F01"/>
    <w:rsid w:val="00790764"/>
    <w:rsid w:val="007918B5"/>
    <w:rsid w:val="00793F90"/>
    <w:rsid w:val="00794159"/>
    <w:rsid w:val="00794FC4"/>
    <w:rsid w:val="00797297"/>
    <w:rsid w:val="007A05B6"/>
    <w:rsid w:val="007A1A08"/>
    <w:rsid w:val="007A40BB"/>
    <w:rsid w:val="007A40EC"/>
    <w:rsid w:val="007A4AC6"/>
    <w:rsid w:val="007A651A"/>
    <w:rsid w:val="007B024C"/>
    <w:rsid w:val="007B10A7"/>
    <w:rsid w:val="007B2BEA"/>
    <w:rsid w:val="007B32E0"/>
    <w:rsid w:val="007B5836"/>
    <w:rsid w:val="007B6111"/>
    <w:rsid w:val="007B6B9B"/>
    <w:rsid w:val="007B6D3A"/>
    <w:rsid w:val="007B7B23"/>
    <w:rsid w:val="007C043B"/>
    <w:rsid w:val="007C33BB"/>
    <w:rsid w:val="007C34E4"/>
    <w:rsid w:val="007C5757"/>
    <w:rsid w:val="007C74EC"/>
    <w:rsid w:val="007C777C"/>
    <w:rsid w:val="007D154B"/>
    <w:rsid w:val="007D46F2"/>
    <w:rsid w:val="007D6A3C"/>
    <w:rsid w:val="007E1ED1"/>
    <w:rsid w:val="007E4EF2"/>
    <w:rsid w:val="007E68CC"/>
    <w:rsid w:val="007E722C"/>
    <w:rsid w:val="007E7FE3"/>
    <w:rsid w:val="007F069E"/>
    <w:rsid w:val="007F2A41"/>
    <w:rsid w:val="007F2B71"/>
    <w:rsid w:val="007F3876"/>
    <w:rsid w:val="007F6A16"/>
    <w:rsid w:val="0080467A"/>
    <w:rsid w:val="00807A88"/>
    <w:rsid w:val="00810F76"/>
    <w:rsid w:val="00812A65"/>
    <w:rsid w:val="00816549"/>
    <w:rsid w:val="00816C72"/>
    <w:rsid w:val="00817305"/>
    <w:rsid w:val="008236BD"/>
    <w:rsid w:val="00824BD8"/>
    <w:rsid w:val="00826DE9"/>
    <w:rsid w:val="00827249"/>
    <w:rsid w:val="00833493"/>
    <w:rsid w:val="00837A53"/>
    <w:rsid w:val="00842554"/>
    <w:rsid w:val="00843664"/>
    <w:rsid w:val="008445F3"/>
    <w:rsid w:val="0085044E"/>
    <w:rsid w:val="00851E60"/>
    <w:rsid w:val="008546A3"/>
    <w:rsid w:val="00857E22"/>
    <w:rsid w:val="00862D98"/>
    <w:rsid w:val="00863D2A"/>
    <w:rsid w:val="008657B1"/>
    <w:rsid w:val="008713D4"/>
    <w:rsid w:val="00871F03"/>
    <w:rsid w:val="00873134"/>
    <w:rsid w:val="00880049"/>
    <w:rsid w:val="008830A8"/>
    <w:rsid w:val="00885BEB"/>
    <w:rsid w:val="00895CEC"/>
    <w:rsid w:val="00897AE5"/>
    <w:rsid w:val="008A0457"/>
    <w:rsid w:val="008A104B"/>
    <w:rsid w:val="008A19C6"/>
    <w:rsid w:val="008A5814"/>
    <w:rsid w:val="008A6A6F"/>
    <w:rsid w:val="008A70C6"/>
    <w:rsid w:val="008B0249"/>
    <w:rsid w:val="008B4AED"/>
    <w:rsid w:val="008C01BF"/>
    <w:rsid w:val="008C16A6"/>
    <w:rsid w:val="008C6EED"/>
    <w:rsid w:val="008D05B9"/>
    <w:rsid w:val="008D092B"/>
    <w:rsid w:val="008D0C04"/>
    <w:rsid w:val="008D1786"/>
    <w:rsid w:val="008D181D"/>
    <w:rsid w:val="008E712B"/>
    <w:rsid w:val="008E7245"/>
    <w:rsid w:val="008F1191"/>
    <w:rsid w:val="008F58C7"/>
    <w:rsid w:val="008F7B89"/>
    <w:rsid w:val="00901DFA"/>
    <w:rsid w:val="00913224"/>
    <w:rsid w:val="00915601"/>
    <w:rsid w:val="00921FBB"/>
    <w:rsid w:val="00926BA0"/>
    <w:rsid w:val="009271B1"/>
    <w:rsid w:val="00927BA5"/>
    <w:rsid w:val="00936D15"/>
    <w:rsid w:val="00937073"/>
    <w:rsid w:val="009370B4"/>
    <w:rsid w:val="00937D72"/>
    <w:rsid w:val="0094374F"/>
    <w:rsid w:val="00944A5C"/>
    <w:rsid w:val="00946B4B"/>
    <w:rsid w:val="009475BC"/>
    <w:rsid w:val="00947C4D"/>
    <w:rsid w:val="00950BCF"/>
    <w:rsid w:val="009515C9"/>
    <w:rsid w:val="00952E96"/>
    <w:rsid w:val="009550F2"/>
    <w:rsid w:val="00964434"/>
    <w:rsid w:val="00965465"/>
    <w:rsid w:val="009659E4"/>
    <w:rsid w:val="009659F5"/>
    <w:rsid w:val="00966F16"/>
    <w:rsid w:val="0097369B"/>
    <w:rsid w:val="00973C13"/>
    <w:rsid w:val="00974508"/>
    <w:rsid w:val="00975164"/>
    <w:rsid w:val="00975295"/>
    <w:rsid w:val="00976991"/>
    <w:rsid w:val="00986C51"/>
    <w:rsid w:val="009911C4"/>
    <w:rsid w:val="009A3083"/>
    <w:rsid w:val="009A63D6"/>
    <w:rsid w:val="009B1B37"/>
    <w:rsid w:val="009B1EEC"/>
    <w:rsid w:val="009B588C"/>
    <w:rsid w:val="009B6871"/>
    <w:rsid w:val="009C3560"/>
    <w:rsid w:val="009C5C49"/>
    <w:rsid w:val="009D0979"/>
    <w:rsid w:val="009D1A80"/>
    <w:rsid w:val="009D1C3F"/>
    <w:rsid w:val="009D1E87"/>
    <w:rsid w:val="009D270A"/>
    <w:rsid w:val="009D3CD1"/>
    <w:rsid w:val="009D4C43"/>
    <w:rsid w:val="009D6506"/>
    <w:rsid w:val="009D6EBF"/>
    <w:rsid w:val="009E4342"/>
    <w:rsid w:val="009E718C"/>
    <w:rsid w:val="009E76BD"/>
    <w:rsid w:val="009F4CF1"/>
    <w:rsid w:val="009F7290"/>
    <w:rsid w:val="009F7773"/>
    <w:rsid w:val="009F7EB2"/>
    <w:rsid w:val="00A0044E"/>
    <w:rsid w:val="00A05173"/>
    <w:rsid w:val="00A11086"/>
    <w:rsid w:val="00A153E9"/>
    <w:rsid w:val="00A2489B"/>
    <w:rsid w:val="00A25760"/>
    <w:rsid w:val="00A25E0F"/>
    <w:rsid w:val="00A32639"/>
    <w:rsid w:val="00A36442"/>
    <w:rsid w:val="00A40584"/>
    <w:rsid w:val="00A41C76"/>
    <w:rsid w:val="00A42B4B"/>
    <w:rsid w:val="00A440C1"/>
    <w:rsid w:val="00A4412A"/>
    <w:rsid w:val="00A449DB"/>
    <w:rsid w:val="00A5092A"/>
    <w:rsid w:val="00A5145E"/>
    <w:rsid w:val="00A55247"/>
    <w:rsid w:val="00A55DE6"/>
    <w:rsid w:val="00A57686"/>
    <w:rsid w:val="00A57E09"/>
    <w:rsid w:val="00A62765"/>
    <w:rsid w:val="00A63917"/>
    <w:rsid w:val="00A63A41"/>
    <w:rsid w:val="00A722FA"/>
    <w:rsid w:val="00A73DB6"/>
    <w:rsid w:val="00A742A8"/>
    <w:rsid w:val="00A744C8"/>
    <w:rsid w:val="00A74541"/>
    <w:rsid w:val="00A80016"/>
    <w:rsid w:val="00A82975"/>
    <w:rsid w:val="00A8499D"/>
    <w:rsid w:val="00A8659F"/>
    <w:rsid w:val="00A8748B"/>
    <w:rsid w:val="00A97FA8"/>
    <w:rsid w:val="00AA0038"/>
    <w:rsid w:val="00AA089E"/>
    <w:rsid w:val="00AB17DB"/>
    <w:rsid w:val="00AB296A"/>
    <w:rsid w:val="00AB642B"/>
    <w:rsid w:val="00AB6BEE"/>
    <w:rsid w:val="00AC29E9"/>
    <w:rsid w:val="00AC2C18"/>
    <w:rsid w:val="00AC7D80"/>
    <w:rsid w:val="00AE195C"/>
    <w:rsid w:val="00AE2CCC"/>
    <w:rsid w:val="00AE6D9E"/>
    <w:rsid w:val="00AF158C"/>
    <w:rsid w:val="00AF447C"/>
    <w:rsid w:val="00B00308"/>
    <w:rsid w:val="00B018E3"/>
    <w:rsid w:val="00B10BB5"/>
    <w:rsid w:val="00B21B70"/>
    <w:rsid w:val="00B22ACF"/>
    <w:rsid w:val="00B2525C"/>
    <w:rsid w:val="00B27BED"/>
    <w:rsid w:val="00B30981"/>
    <w:rsid w:val="00B32BE6"/>
    <w:rsid w:val="00B362E6"/>
    <w:rsid w:val="00B4129F"/>
    <w:rsid w:val="00B43D4F"/>
    <w:rsid w:val="00B44A7A"/>
    <w:rsid w:val="00B44D70"/>
    <w:rsid w:val="00B4595F"/>
    <w:rsid w:val="00B471F3"/>
    <w:rsid w:val="00B5044F"/>
    <w:rsid w:val="00B52B75"/>
    <w:rsid w:val="00B53420"/>
    <w:rsid w:val="00B55680"/>
    <w:rsid w:val="00B61B2F"/>
    <w:rsid w:val="00B66496"/>
    <w:rsid w:val="00B72B24"/>
    <w:rsid w:val="00B73028"/>
    <w:rsid w:val="00B7341E"/>
    <w:rsid w:val="00B7428B"/>
    <w:rsid w:val="00B80179"/>
    <w:rsid w:val="00B810F2"/>
    <w:rsid w:val="00B81E94"/>
    <w:rsid w:val="00B85915"/>
    <w:rsid w:val="00B86C2D"/>
    <w:rsid w:val="00B908A1"/>
    <w:rsid w:val="00B96239"/>
    <w:rsid w:val="00BA074A"/>
    <w:rsid w:val="00BA1406"/>
    <w:rsid w:val="00BA2ABD"/>
    <w:rsid w:val="00BA4430"/>
    <w:rsid w:val="00BA45B9"/>
    <w:rsid w:val="00BA466D"/>
    <w:rsid w:val="00BA643F"/>
    <w:rsid w:val="00BB2B32"/>
    <w:rsid w:val="00BC0AE3"/>
    <w:rsid w:val="00BC19B4"/>
    <w:rsid w:val="00BC27A2"/>
    <w:rsid w:val="00BC3BDD"/>
    <w:rsid w:val="00BD04B7"/>
    <w:rsid w:val="00BD4B3A"/>
    <w:rsid w:val="00BD51AC"/>
    <w:rsid w:val="00BD6B6A"/>
    <w:rsid w:val="00BE05B6"/>
    <w:rsid w:val="00BE2CED"/>
    <w:rsid w:val="00BE6AF3"/>
    <w:rsid w:val="00BF23C1"/>
    <w:rsid w:val="00BF6825"/>
    <w:rsid w:val="00C00E46"/>
    <w:rsid w:val="00C030DE"/>
    <w:rsid w:val="00C03DA1"/>
    <w:rsid w:val="00C050AC"/>
    <w:rsid w:val="00C059FB"/>
    <w:rsid w:val="00C07A50"/>
    <w:rsid w:val="00C125E9"/>
    <w:rsid w:val="00C12CB0"/>
    <w:rsid w:val="00C14DE4"/>
    <w:rsid w:val="00C20975"/>
    <w:rsid w:val="00C240C4"/>
    <w:rsid w:val="00C2497C"/>
    <w:rsid w:val="00C30092"/>
    <w:rsid w:val="00C34290"/>
    <w:rsid w:val="00C356B6"/>
    <w:rsid w:val="00C401FE"/>
    <w:rsid w:val="00C40267"/>
    <w:rsid w:val="00C426CB"/>
    <w:rsid w:val="00C500AD"/>
    <w:rsid w:val="00C50833"/>
    <w:rsid w:val="00C538EA"/>
    <w:rsid w:val="00C558B6"/>
    <w:rsid w:val="00C56EC6"/>
    <w:rsid w:val="00C60327"/>
    <w:rsid w:val="00C61314"/>
    <w:rsid w:val="00C62124"/>
    <w:rsid w:val="00C631BF"/>
    <w:rsid w:val="00C66B03"/>
    <w:rsid w:val="00C70F89"/>
    <w:rsid w:val="00C71E33"/>
    <w:rsid w:val="00C73187"/>
    <w:rsid w:val="00C733D1"/>
    <w:rsid w:val="00C75C84"/>
    <w:rsid w:val="00C75FCB"/>
    <w:rsid w:val="00C822CA"/>
    <w:rsid w:val="00C830B6"/>
    <w:rsid w:val="00C8739E"/>
    <w:rsid w:val="00C87762"/>
    <w:rsid w:val="00C8777D"/>
    <w:rsid w:val="00C87919"/>
    <w:rsid w:val="00C91F55"/>
    <w:rsid w:val="00C951D0"/>
    <w:rsid w:val="00C96B19"/>
    <w:rsid w:val="00CA0622"/>
    <w:rsid w:val="00CA1B02"/>
    <w:rsid w:val="00CA7D28"/>
    <w:rsid w:val="00CB211C"/>
    <w:rsid w:val="00CB219C"/>
    <w:rsid w:val="00CB2C3D"/>
    <w:rsid w:val="00CB7B80"/>
    <w:rsid w:val="00CC2127"/>
    <w:rsid w:val="00CC351C"/>
    <w:rsid w:val="00CC3A0A"/>
    <w:rsid w:val="00CC5744"/>
    <w:rsid w:val="00CC6DB6"/>
    <w:rsid w:val="00CD1365"/>
    <w:rsid w:val="00CD3940"/>
    <w:rsid w:val="00CE106E"/>
    <w:rsid w:val="00CE1B67"/>
    <w:rsid w:val="00CE59BF"/>
    <w:rsid w:val="00CE5A4A"/>
    <w:rsid w:val="00CE63C5"/>
    <w:rsid w:val="00CF043E"/>
    <w:rsid w:val="00CF0B98"/>
    <w:rsid w:val="00CF179C"/>
    <w:rsid w:val="00D017BC"/>
    <w:rsid w:val="00D024C5"/>
    <w:rsid w:val="00D03CAB"/>
    <w:rsid w:val="00D0434A"/>
    <w:rsid w:val="00D053B9"/>
    <w:rsid w:val="00D10C53"/>
    <w:rsid w:val="00D11F77"/>
    <w:rsid w:val="00D17467"/>
    <w:rsid w:val="00D23A69"/>
    <w:rsid w:val="00D30783"/>
    <w:rsid w:val="00D33C3A"/>
    <w:rsid w:val="00D35927"/>
    <w:rsid w:val="00D4123A"/>
    <w:rsid w:val="00D41E6C"/>
    <w:rsid w:val="00D46C17"/>
    <w:rsid w:val="00D515F9"/>
    <w:rsid w:val="00D54715"/>
    <w:rsid w:val="00D60A1C"/>
    <w:rsid w:val="00D625E5"/>
    <w:rsid w:val="00D71513"/>
    <w:rsid w:val="00D7350A"/>
    <w:rsid w:val="00D743F5"/>
    <w:rsid w:val="00D76DB1"/>
    <w:rsid w:val="00D801CE"/>
    <w:rsid w:val="00D811D2"/>
    <w:rsid w:val="00D8214E"/>
    <w:rsid w:val="00D828FA"/>
    <w:rsid w:val="00D836CF"/>
    <w:rsid w:val="00D94F2F"/>
    <w:rsid w:val="00D95C7C"/>
    <w:rsid w:val="00DA02E6"/>
    <w:rsid w:val="00DA035B"/>
    <w:rsid w:val="00DA0A65"/>
    <w:rsid w:val="00DA1DC4"/>
    <w:rsid w:val="00DB081F"/>
    <w:rsid w:val="00DB45A9"/>
    <w:rsid w:val="00DB6EA1"/>
    <w:rsid w:val="00DC0214"/>
    <w:rsid w:val="00DC033A"/>
    <w:rsid w:val="00DC39C4"/>
    <w:rsid w:val="00DC48B7"/>
    <w:rsid w:val="00DC7548"/>
    <w:rsid w:val="00DD0C46"/>
    <w:rsid w:val="00DE04FA"/>
    <w:rsid w:val="00DE20DB"/>
    <w:rsid w:val="00DE566C"/>
    <w:rsid w:val="00DE5998"/>
    <w:rsid w:val="00DE5A60"/>
    <w:rsid w:val="00DF1083"/>
    <w:rsid w:val="00DF11D5"/>
    <w:rsid w:val="00DF2D7C"/>
    <w:rsid w:val="00DF3CD7"/>
    <w:rsid w:val="00DF519A"/>
    <w:rsid w:val="00DF5D02"/>
    <w:rsid w:val="00DF762F"/>
    <w:rsid w:val="00E0038E"/>
    <w:rsid w:val="00E00FFB"/>
    <w:rsid w:val="00E01B24"/>
    <w:rsid w:val="00E0391B"/>
    <w:rsid w:val="00E10E93"/>
    <w:rsid w:val="00E128EA"/>
    <w:rsid w:val="00E150D0"/>
    <w:rsid w:val="00E23E6F"/>
    <w:rsid w:val="00E26198"/>
    <w:rsid w:val="00E27A76"/>
    <w:rsid w:val="00E32653"/>
    <w:rsid w:val="00E32A10"/>
    <w:rsid w:val="00E3375A"/>
    <w:rsid w:val="00E359B0"/>
    <w:rsid w:val="00E36778"/>
    <w:rsid w:val="00E43105"/>
    <w:rsid w:val="00E440BC"/>
    <w:rsid w:val="00E4463A"/>
    <w:rsid w:val="00E45C9B"/>
    <w:rsid w:val="00E46145"/>
    <w:rsid w:val="00E51186"/>
    <w:rsid w:val="00E51DB4"/>
    <w:rsid w:val="00E532AF"/>
    <w:rsid w:val="00E53757"/>
    <w:rsid w:val="00E540FE"/>
    <w:rsid w:val="00E5539D"/>
    <w:rsid w:val="00E557BF"/>
    <w:rsid w:val="00E56159"/>
    <w:rsid w:val="00E568C1"/>
    <w:rsid w:val="00E57F7F"/>
    <w:rsid w:val="00E607E7"/>
    <w:rsid w:val="00E64C33"/>
    <w:rsid w:val="00E665CC"/>
    <w:rsid w:val="00E725F8"/>
    <w:rsid w:val="00E74191"/>
    <w:rsid w:val="00E74FB5"/>
    <w:rsid w:val="00E76E21"/>
    <w:rsid w:val="00E772B5"/>
    <w:rsid w:val="00E84D31"/>
    <w:rsid w:val="00E84E3C"/>
    <w:rsid w:val="00E84EDF"/>
    <w:rsid w:val="00E85423"/>
    <w:rsid w:val="00E85CF7"/>
    <w:rsid w:val="00E907C5"/>
    <w:rsid w:val="00E97D64"/>
    <w:rsid w:val="00E97DF6"/>
    <w:rsid w:val="00EA3FAD"/>
    <w:rsid w:val="00EA4732"/>
    <w:rsid w:val="00EA6DB1"/>
    <w:rsid w:val="00EA7C59"/>
    <w:rsid w:val="00EB0882"/>
    <w:rsid w:val="00EB1B8F"/>
    <w:rsid w:val="00EB76A9"/>
    <w:rsid w:val="00EC433B"/>
    <w:rsid w:val="00EC60CE"/>
    <w:rsid w:val="00ED36DF"/>
    <w:rsid w:val="00ED4BB0"/>
    <w:rsid w:val="00EE08D8"/>
    <w:rsid w:val="00EE22D8"/>
    <w:rsid w:val="00EE5D3B"/>
    <w:rsid w:val="00EF095D"/>
    <w:rsid w:val="00EF0EE8"/>
    <w:rsid w:val="00EF34EE"/>
    <w:rsid w:val="00EF66DE"/>
    <w:rsid w:val="00F01658"/>
    <w:rsid w:val="00F027C8"/>
    <w:rsid w:val="00F03137"/>
    <w:rsid w:val="00F03294"/>
    <w:rsid w:val="00F03449"/>
    <w:rsid w:val="00F06583"/>
    <w:rsid w:val="00F07351"/>
    <w:rsid w:val="00F07ED4"/>
    <w:rsid w:val="00F12215"/>
    <w:rsid w:val="00F16C19"/>
    <w:rsid w:val="00F20605"/>
    <w:rsid w:val="00F2656B"/>
    <w:rsid w:val="00F26990"/>
    <w:rsid w:val="00F32E23"/>
    <w:rsid w:val="00F342BD"/>
    <w:rsid w:val="00F343F8"/>
    <w:rsid w:val="00F346DC"/>
    <w:rsid w:val="00F35EA8"/>
    <w:rsid w:val="00F40B05"/>
    <w:rsid w:val="00F42EBD"/>
    <w:rsid w:val="00F431B5"/>
    <w:rsid w:val="00F60747"/>
    <w:rsid w:val="00F62715"/>
    <w:rsid w:val="00F637FB"/>
    <w:rsid w:val="00F65439"/>
    <w:rsid w:val="00F70B68"/>
    <w:rsid w:val="00F71ACB"/>
    <w:rsid w:val="00F73740"/>
    <w:rsid w:val="00F75376"/>
    <w:rsid w:val="00F849EA"/>
    <w:rsid w:val="00F95836"/>
    <w:rsid w:val="00F95A7B"/>
    <w:rsid w:val="00F95B63"/>
    <w:rsid w:val="00F96DE1"/>
    <w:rsid w:val="00F9794E"/>
    <w:rsid w:val="00FA1348"/>
    <w:rsid w:val="00FA2947"/>
    <w:rsid w:val="00FA5FFC"/>
    <w:rsid w:val="00FA6FC3"/>
    <w:rsid w:val="00FB0A38"/>
    <w:rsid w:val="00FD0F21"/>
    <w:rsid w:val="00FD48B1"/>
    <w:rsid w:val="00FD607C"/>
    <w:rsid w:val="00FE7C7B"/>
    <w:rsid w:val="00FF3E56"/>
    <w:rsid w:val="00FF6A07"/>
    <w:rsid w:val="00FF75E9"/>
    <w:rsid w:val="00FF7E4B"/>
    <w:rsid w:val="0330024A"/>
    <w:rsid w:val="060E6151"/>
    <w:rsid w:val="085D7656"/>
    <w:rsid w:val="10846EBA"/>
    <w:rsid w:val="12E135C3"/>
    <w:rsid w:val="159857BD"/>
    <w:rsid w:val="31DD7A48"/>
    <w:rsid w:val="32560A74"/>
    <w:rsid w:val="389A2421"/>
    <w:rsid w:val="389B0140"/>
    <w:rsid w:val="4BB178C2"/>
    <w:rsid w:val="5CAC5219"/>
    <w:rsid w:val="63987132"/>
    <w:rsid w:val="6B8E0937"/>
    <w:rsid w:val="6D6C7F13"/>
    <w:rsid w:val="6DD7198C"/>
    <w:rsid w:val="75040C2C"/>
    <w:rsid w:val="7FA963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6"/>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48"/>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46"/>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300"/>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301"/>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30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303"/>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uiPriority w:val="1"/>
  </w:style>
  <w:style w:type="table" w:default="1" w:styleId="84">
    <w:name w:val="Normal Table"/>
    <w:semiHidden/>
    <w:unhideWhenUsed/>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307"/>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32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313"/>
    <w:qFormat/>
    <w:uiPriority w:val="0"/>
    <w:pPr>
      <w:shd w:val="clear" w:color="auto" w:fill="000080"/>
    </w:pPr>
  </w:style>
  <w:style w:type="paragraph" w:styleId="25">
    <w:name w:val="annotation text"/>
    <w:basedOn w:val="1"/>
    <w:link w:val="135"/>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328"/>
    <w:qFormat/>
    <w:uiPriority w:val="0"/>
  </w:style>
  <w:style w:type="paragraph" w:styleId="28">
    <w:name w:val="Body Text 3"/>
    <w:basedOn w:val="1"/>
    <w:link w:val="330"/>
    <w:qFormat/>
    <w:uiPriority w:val="0"/>
    <w:pPr>
      <w:spacing w:after="120"/>
    </w:pPr>
    <w:rPr>
      <w:sz w:val="16"/>
    </w:rPr>
  </w:style>
  <w:style w:type="paragraph" w:styleId="29">
    <w:name w:val="Closing"/>
    <w:basedOn w:val="1"/>
    <w:link w:val="32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314"/>
    <w:qFormat/>
    <w:uiPriority w:val="0"/>
    <w:pPr>
      <w:spacing w:after="120"/>
    </w:pPr>
  </w:style>
  <w:style w:type="paragraph" w:styleId="32">
    <w:name w:val="Body Text Indent"/>
    <w:basedOn w:val="1"/>
    <w:link w:val="105"/>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31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9"/>
    <w:qFormat/>
    <w:uiPriority w:val="99"/>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27"/>
    <w:qFormat/>
    <w:uiPriority w:val="0"/>
  </w:style>
  <w:style w:type="paragraph" w:styleId="48">
    <w:name w:val="Body Text Indent 2"/>
    <w:basedOn w:val="1"/>
    <w:link w:val="319"/>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317"/>
    <w:qFormat/>
    <w:uiPriority w:val="0"/>
    <w:rPr>
      <w:sz w:val="18"/>
    </w:rPr>
  </w:style>
  <w:style w:type="paragraph" w:styleId="51">
    <w:name w:val="footer"/>
    <w:basedOn w:val="1"/>
    <w:link w:val="132"/>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7"/>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323"/>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318"/>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4"/>
    <w:qFormat/>
    <w:uiPriority w:val="0"/>
    <w:pPr>
      <w:snapToGrid w:val="0"/>
      <w:jc w:val="left"/>
    </w:pPr>
    <w:rPr>
      <w:sz w:val="18"/>
    </w:rPr>
  </w:style>
  <w:style w:type="paragraph" w:styleId="64">
    <w:name w:val="toc 6"/>
    <w:basedOn w:val="1"/>
    <w:next w:val="1"/>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30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329"/>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325"/>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316"/>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22"/>
    <w:qFormat/>
    <w:uiPriority w:val="0"/>
    <w:pPr>
      <w:spacing w:before="240" w:after="60"/>
      <w:jc w:val="center"/>
      <w:outlineLvl w:val="0"/>
    </w:pPr>
    <w:rPr>
      <w:rFonts w:ascii="Arial" w:hAnsi="Arial"/>
      <w:b/>
      <w:sz w:val="32"/>
    </w:rPr>
  </w:style>
  <w:style w:type="paragraph" w:styleId="81">
    <w:name w:val="annotation subject"/>
    <w:basedOn w:val="25"/>
    <w:next w:val="25"/>
    <w:link w:val="310"/>
    <w:qFormat/>
    <w:uiPriority w:val="0"/>
    <w:rPr>
      <w:b/>
    </w:rPr>
  </w:style>
  <w:style w:type="paragraph" w:styleId="82">
    <w:name w:val="Body Text First Indent"/>
    <w:basedOn w:val="31"/>
    <w:link w:val="315"/>
    <w:qFormat/>
    <w:uiPriority w:val="0"/>
    <w:pPr>
      <w:ind w:firstLine="420"/>
    </w:pPr>
  </w:style>
  <w:style w:type="paragraph" w:styleId="83">
    <w:name w:val="Body Text First Indent 2"/>
    <w:basedOn w:val="32"/>
    <w:link w:val="311"/>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字符"/>
    <w:link w:val="3"/>
    <w:qFormat/>
    <w:uiPriority w:val="0"/>
    <w:rPr>
      <w:rFonts w:eastAsia="黑体"/>
      <w:kern w:val="2"/>
      <w:sz w:val="21"/>
    </w:rPr>
  </w:style>
  <w:style w:type="character" w:customStyle="1" w:styleId="105">
    <w:name w:val="正文文本缩进 字符"/>
    <w:link w:val="32"/>
    <w:qFormat/>
    <w:uiPriority w:val="99"/>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tabs>
        <w:tab w:val="left" w:pos="1571"/>
      </w:tabs>
      <w:ind w:left="1418" w:hanging="567"/>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basedOn w:val="116"/>
    <w:link w:val="118"/>
    <w:qFormat/>
    <w:uiPriority w:val="0"/>
    <w:rPr>
      <w:rFonts w:eastAsia="宋体"/>
      <w:kern w:val="2"/>
      <w:sz w:val="18"/>
      <w:lang w:val="en-US" w:eastAsia="zh-CN"/>
    </w:rPr>
  </w:style>
  <w:style w:type="character" w:customStyle="1" w:styleId="116">
    <w:name w:val="表内居中小五 Char"/>
    <w:link w:val="117"/>
    <w:qFormat/>
    <w:uiPriority w:val="0"/>
    <w:rPr>
      <w:rFonts w:eastAsia="宋体"/>
      <w:kern w:val="2"/>
      <w:sz w:val="18"/>
      <w:lang w:val="en-US" w:eastAsia="zh-CN"/>
    </w:rPr>
  </w:style>
  <w:style w:type="paragraph" w:customStyle="1" w:styleId="117">
    <w:name w:val="表内居中小五"/>
    <w:basedOn w:val="1"/>
    <w:link w:val="116"/>
    <w:qFormat/>
    <w:uiPriority w:val="0"/>
    <w:pPr>
      <w:jc w:val="center"/>
    </w:pPr>
    <w:rPr>
      <w:sz w:val="18"/>
    </w:rPr>
  </w:style>
  <w:style w:type="paragraph" w:customStyle="1" w:styleId="118">
    <w:name w:val="表内居两端对齐"/>
    <w:basedOn w:val="117"/>
    <w:link w:val="115"/>
    <w:qFormat/>
    <w:uiPriority w:val="0"/>
    <w:pPr>
      <w:jc w:val="both"/>
    </w:pPr>
  </w:style>
  <w:style w:type="character" w:customStyle="1" w:styleId="119">
    <w:name w:val="一级条标题 Char"/>
    <w:link w:val="120"/>
    <w:qFormat/>
    <w:uiPriority w:val="0"/>
    <w:rPr>
      <w:rFonts w:ascii="黑体" w:eastAsia="黑体"/>
      <w:b/>
      <w:sz w:val="21"/>
    </w:rPr>
  </w:style>
  <w:style w:type="paragraph" w:customStyle="1" w:styleId="120">
    <w:name w:val="一级条标题"/>
    <w:basedOn w:val="121"/>
    <w:next w:val="122"/>
    <w:link w:val="119"/>
    <w:qFormat/>
    <w:uiPriority w:val="0"/>
    <w:pPr>
      <w:tabs>
        <w:tab w:val="left" w:pos="420"/>
        <w:tab w:val="left" w:pos="525"/>
      </w:tabs>
      <w:spacing w:beforeLines="0" w:afterLines="0"/>
      <w:outlineLvl w:val="2"/>
    </w:pPr>
  </w:style>
  <w:style w:type="paragraph" w:customStyle="1" w:styleId="121">
    <w:name w:val="章标题"/>
    <w:next w:val="122"/>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22">
    <w:name w:val="段"/>
    <w:qFormat/>
    <w:uiPriority w:val="99"/>
    <w:pPr>
      <w:ind w:firstLine="200" w:firstLineChars="200"/>
      <w:jc w:val="both"/>
    </w:pPr>
    <w:rPr>
      <w:rFonts w:ascii="宋体" w:hAnsi="Times New Roman" w:eastAsia="宋体" w:cs="Times New Roman"/>
      <w:sz w:val="21"/>
      <w:lang w:val="en-US" w:eastAsia="zh-CN" w:bidi="ar-SA"/>
    </w:rPr>
  </w:style>
  <w:style w:type="character" w:customStyle="1" w:styleId="123">
    <w:name w:val="Char Char2"/>
    <w:qFormat/>
    <w:uiPriority w:val="0"/>
    <w:rPr>
      <w:rFonts w:eastAsia="汉仪大宋简"/>
      <w:kern w:val="44"/>
      <w:sz w:val="22"/>
      <w:lang w:val="en-US" w:eastAsia="zh-CN"/>
    </w:rPr>
  </w:style>
  <w:style w:type="character" w:customStyle="1" w:styleId="124">
    <w:name w:val="jl 正文 Char Char Char"/>
    <w:link w:val="125"/>
    <w:qFormat/>
    <w:uiPriority w:val="0"/>
    <w:rPr>
      <w:rFonts w:ascii="宋体" w:eastAsia="宋体"/>
      <w:kern w:val="2"/>
      <w:sz w:val="24"/>
      <w:lang w:val="en-US" w:eastAsia="zh-CN"/>
    </w:rPr>
  </w:style>
  <w:style w:type="paragraph" w:customStyle="1" w:styleId="125">
    <w:name w:val="jl 正文 Char Char"/>
    <w:basedOn w:val="1"/>
    <w:link w:val="124"/>
    <w:qFormat/>
    <w:uiPriority w:val="0"/>
    <w:pPr>
      <w:autoSpaceDE w:val="0"/>
      <w:autoSpaceDN w:val="0"/>
      <w:adjustRightInd w:val="0"/>
      <w:ind w:firstLine="200" w:firstLineChars="200"/>
      <w:jc w:val="left"/>
      <w:textAlignment w:val="baseline"/>
    </w:pPr>
    <w:rPr>
      <w:rFonts w:ascii="宋体"/>
      <w:sz w:val="24"/>
    </w:rPr>
  </w:style>
  <w:style w:type="character" w:customStyle="1" w:styleId="126">
    <w:name w:val="标题 3 字符"/>
    <w:link w:val="4"/>
    <w:qFormat/>
    <w:uiPriority w:val="0"/>
    <w:rPr>
      <w:rFonts w:eastAsia="黑体"/>
      <w:kern w:val="2"/>
      <w:sz w:val="28"/>
    </w:rPr>
  </w:style>
  <w:style w:type="character" w:customStyle="1" w:styleId="127">
    <w:name w:val="个人答复风格"/>
    <w:qFormat/>
    <w:uiPriority w:val="0"/>
    <w:rPr>
      <w:rFonts w:ascii="Arial" w:hAnsi="Arial" w:eastAsia="宋体"/>
      <w:color w:val="auto"/>
      <w:sz w:val="20"/>
    </w:rPr>
  </w:style>
  <w:style w:type="character" w:customStyle="1" w:styleId="128">
    <w:name w:val="Char Char4"/>
    <w:qFormat/>
    <w:uiPriority w:val="0"/>
    <w:rPr>
      <w:rFonts w:eastAsia="汉仪大宋简"/>
      <w:kern w:val="44"/>
      <w:sz w:val="22"/>
      <w:lang w:val="en-US" w:eastAsia="zh-CN"/>
    </w:rPr>
  </w:style>
  <w:style w:type="character" w:customStyle="1" w:styleId="129">
    <w:name w:val="纯文本 字符"/>
    <w:link w:val="42"/>
    <w:qFormat/>
    <w:uiPriority w:val="99"/>
    <w:rPr>
      <w:rFonts w:ascii="宋体" w:hAnsi="Courier New" w:eastAsia="宋体"/>
      <w:kern w:val="2"/>
      <w:sz w:val="21"/>
      <w:lang w:val="en-US" w:eastAsia="zh-CN"/>
    </w:rPr>
  </w:style>
  <w:style w:type="character" w:customStyle="1" w:styleId="130">
    <w:name w:val="jl 三级 Char Char"/>
    <w:link w:val="131"/>
    <w:qFormat/>
    <w:uiPriority w:val="0"/>
    <w:rPr>
      <w:rFonts w:ascii="宋体" w:hAnsi="宋体" w:eastAsia="宋体"/>
      <w:b/>
      <w:color w:val="000000"/>
      <w:kern w:val="2"/>
      <w:sz w:val="24"/>
      <w:lang w:val="en-US" w:eastAsia="zh-CN"/>
    </w:rPr>
  </w:style>
  <w:style w:type="paragraph" w:customStyle="1" w:styleId="131">
    <w:name w:val="jl 三级 Char"/>
    <w:basedOn w:val="1"/>
    <w:link w:val="130"/>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
    <w:name w:val="页脚 字符"/>
    <w:link w:val="51"/>
    <w:qFormat/>
    <w:uiPriority w:val="99"/>
    <w:rPr>
      <w:rFonts w:eastAsia="宋体"/>
      <w:kern w:val="2"/>
      <w:sz w:val="18"/>
      <w:lang w:val="en-US" w:eastAsia="zh-CN"/>
    </w:rPr>
  </w:style>
  <w:style w:type="character" w:customStyle="1" w:styleId="133">
    <w:name w:val="个人撰写风格"/>
    <w:qFormat/>
    <w:uiPriority w:val="0"/>
    <w:rPr>
      <w:rFonts w:ascii="Arial" w:hAnsi="Arial" w:eastAsia="宋体"/>
      <w:color w:val="auto"/>
      <w:sz w:val="20"/>
    </w:rPr>
  </w:style>
  <w:style w:type="character" w:customStyle="1" w:styleId="134">
    <w:name w:val="脚注文本 字符"/>
    <w:link w:val="63"/>
    <w:qFormat/>
    <w:uiPriority w:val="0"/>
    <w:rPr>
      <w:kern w:val="2"/>
      <w:sz w:val="18"/>
    </w:rPr>
  </w:style>
  <w:style w:type="character" w:customStyle="1" w:styleId="135">
    <w:name w:val="批注文字 字符"/>
    <w:link w:val="25"/>
    <w:qFormat/>
    <w:uiPriority w:val="99"/>
    <w:rPr>
      <w:kern w:val="2"/>
      <w:sz w:val="21"/>
    </w:rPr>
  </w:style>
  <w:style w:type="character" w:customStyle="1" w:styleId="136">
    <w:name w:val="Char Char16"/>
    <w:qFormat/>
    <w:uiPriority w:val="0"/>
    <w:rPr>
      <w:rFonts w:ascii="Arial" w:hAnsi="Arial" w:eastAsia="黑体"/>
      <w:b/>
      <w:kern w:val="2"/>
      <w:sz w:val="32"/>
      <w:lang w:val="en-US" w:eastAsia="zh-CN"/>
    </w:rPr>
  </w:style>
  <w:style w:type="character" w:customStyle="1" w:styleId="137">
    <w:name w:val="页眉 字符"/>
    <w:link w:val="53"/>
    <w:qFormat/>
    <w:uiPriority w:val="0"/>
    <w:rPr>
      <w:rFonts w:eastAsia="宋体"/>
      <w:kern w:val="2"/>
      <w:sz w:val="18"/>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样式 标题 4 + (符号) 宋体 Char"/>
    <w:link w:val="140"/>
    <w:qFormat/>
    <w:uiPriority w:val="0"/>
    <w:rPr>
      <w:rFonts w:ascii="宋体"/>
      <w:kern w:val="2"/>
      <w:sz w:val="21"/>
    </w:rPr>
  </w:style>
  <w:style w:type="paragraph" w:customStyle="1" w:styleId="140">
    <w:name w:val="样式 标题 4 + (符号) 宋体"/>
    <w:basedOn w:val="5"/>
    <w:link w:val="13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1">
    <w:name w:val="标题 1 Char Char"/>
    <w:qFormat/>
    <w:uiPriority w:val="0"/>
    <w:rPr>
      <w:rFonts w:ascii="宋体" w:eastAsia="宋体"/>
      <w:b/>
      <w:kern w:val="44"/>
      <w:sz w:val="21"/>
      <w:lang w:val="en-US" w:eastAsia="zh-CN"/>
    </w:rPr>
  </w:style>
  <w:style w:type="character" w:customStyle="1" w:styleId="142">
    <w:name w:val="节标题 1.1 Char"/>
    <w:qFormat/>
    <w:uiPriority w:val="0"/>
    <w:rPr>
      <w:rFonts w:eastAsia="黑体"/>
      <w:kern w:val="2"/>
      <w:sz w:val="21"/>
      <w:lang w:val="en-US" w:eastAsia="zh-CN"/>
    </w:rPr>
  </w:style>
  <w:style w:type="character" w:customStyle="1" w:styleId="143">
    <w:name w:val="Char Char14"/>
    <w:qFormat/>
    <w:uiPriority w:val="0"/>
    <w:rPr>
      <w:rFonts w:eastAsia="宋体"/>
      <w:kern w:val="2"/>
      <w:sz w:val="21"/>
      <w:lang w:val="en-US" w:eastAsia="zh-CN"/>
    </w:rPr>
  </w:style>
  <w:style w:type="character" w:customStyle="1" w:styleId="144">
    <w:name w:val="首行缩进 Char"/>
    <w:link w:val="145"/>
    <w:qFormat/>
    <w:uiPriority w:val="99"/>
    <w:rPr>
      <w:rFonts w:eastAsia="方正书宋简体"/>
      <w:kern w:val="2"/>
      <w:sz w:val="21"/>
      <w:lang w:val="en-US" w:eastAsia="zh-CN"/>
    </w:rPr>
  </w:style>
  <w:style w:type="paragraph" w:customStyle="1" w:styleId="145">
    <w:name w:val="首行缩进"/>
    <w:basedOn w:val="1"/>
    <w:link w:val="144"/>
    <w:qFormat/>
    <w:uiPriority w:val="99"/>
    <w:pPr>
      <w:spacing w:line="300" w:lineRule="auto"/>
      <w:ind w:firstLine="420" w:firstLineChars="200"/>
    </w:pPr>
    <w:rPr>
      <w:rFonts w:eastAsia="方正书宋简体"/>
    </w:rPr>
  </w:style>
  <w:style w:type="character" w:customStyle="1" w:styleId="146">
    <w:name w:val="标题 5 字符"/>
    <w:link w:val="6"/>
    <w:qFormat/>
    <w:uiPriority w:val="0"/>
    <w:rPr>
      <w:rFonts w:eastAsia="黑体"/>
      <w:kern w:val="2"/>
      <w:sz w:val="21"/>
    </w:rPr>
  </w:style>
  <w:style w:type="character" w:customStyle="1" w:styleId="147">
    <w:name w:val="正文缩进 字符"/>
    <w:link w:val="19"/>
    <w:qFormat/>
    <w:uiPriority w:val="0"/>
    <w:rPr>
      <w:rFonts w:eastAsia="宋体"/>
      <w:kern w:val="2"/>
      <w:sz w:val="21"/>
      <w:lang w:val="en-US" w:eastAsia="zh-CN"/>
    </w:rPr>
  </w:style>
  <w:style w:type="character" w:customStyle="1" w:styleId="148">
    <w:name w:val="标题 4 字符"/>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字符"/>
    <w:link w:val="2"/>
    <w:qFormat/>
    <w:uiPriority w:val="0"/>
    <w:rPr>
      <w:rFonts w:eastAsia="汉仪大宋简"/>
      <w:kern w:val="44"/>
      <w:sz w:val="22"/>
    </w:rPr>
  </w:style>
  <w:style w:type="paragraph" w:customStyle="1" w:styleId="154">
    <w:name w:val="正文1"/>
    <w:basedOn w:val="155"/>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2"/>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2"/>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2"/>
    <w:qFormat/>
    <w:uiPriority w:val="0"/>
    <w:pPr>
      <w:tabs>
        <w:tab w:val="left" w:pos="360"/>
        <w:tab w:val="left" w:pos="2040"/>
      </w:tabs>
      <w:ind w:left="2040" w:hanging="360"/>
      <w:outlineLvl w:val="5"/>
    </w:pPr>
  </w:style>
  <w:style w:type="paragraph" w:customStyle="1" w:styleId="175">
    <w:name w:val="附录三级条标题"/>
    <w:basedOn w:val="1"/>
    <w:next w:val="122"/>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181">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2"/>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jc w:val="both"/>
    </w:pPr>
    <w:rPr>
      <w:rFonts w:ascii="Times New Roman" w:hAnsi="Times New Roman" w:eastAsia="宋体" w:cs="Times New Roman"/>
      <w:lang w:val="en-US" w:eastAsia="zh-CN" w:bidi="ar-SA"/>
    </w:rPr>
  </w:style>
  <w:style w:type="paragraph" w:customStyle="1" w:styleId="204">
    <w:name w:val="图表脚注"/>
    <w:next w:val="12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2"/>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2"/>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2"/>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2"/>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style>
  <w:style w:type="paragraph" w:customStyle="1" w:styleId="224">
    <w:name w:val="附录五级条标题"/>
    <w:basedOn w:val="174"/>
    <w:next w:val="122"/>
    <w:qFormat/>
    <w:uiPriority w:val="0"/>
    <w:pPr>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tabs>
        <w:tab w:val="left" w:pos="360"/>
        <w:tab w:val="left" w:pos="6405"/>
      </w:tabs>
      <w:spacing w:after="200"/>
      <w:ind w:left="0" w:firstLine="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2"/>
    <w:qFormat/>
    <w:uiPriority w:val="0"/>
    <w:p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44">
    <w:name w:val="正文表标题"/>
    <w:next w:val="122"/>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tabs>
        <w:tab w:val="left" w:pos="840"/>
      </w:tabs>
      <w:ind w:left="840" w:hanging="420"/>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2"/>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2"/>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2"/>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2"/>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2"/>
    <w:qFormat/>
    <w:uiPriority w:val="0"/>
    <w:pPr>
      <w:tabs>
        <w:tab w:val="left" w:pos="2040"/>
      </w:tabs>
      <w:ind w:left="2040" w:hanging="360"/>
      <w:outlineLvl w:val="3"/>
    </w:pPr>
  </w:style>
  <w:style w:type="paragraph" w:customStyle="1" w:styleId="28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标题 6 字符"/>
    <w:link w:val="7"/>
    <w:qFormat/>
    <w:uiPriority w:val="0"/>
    <w:rPr>
      <w:rFonts w:ascii="Arial" w:hAnsi="Arial" w:eastAsia="黑体"/>
      <w:b/>
      <w:kern w:val="2"/>
      <w:sz w:val="24"/>
    </w:rPr>
  </w:style>
  <w:style w:type="character" w:customStyle="1" w:styleId="301">
    <w:name w:val="标题 7 字符"/>
    <w:link w:val="8"/>
    <w:qFormat/>
    <w:uiPriority w:val="0"/>
    <w:rPr>
      <w:b/>
      <w:kern w:val="2"/>
      <w:sz w:val="24"/>
    </w:rPr>
  </w:style>
  <w:style w:type="character" w:customStyle="1" w:styleId="302">
    <w:name w:val="标题 8 字符"/>
    <w:link w:val="9"/>
    <w:qFormat/>
    <w:uiPriority w:val="0"/>
    <w:rPr>
      <w:rFonts w:ascii="Arial" w:hAnsi="Arial" w:eastAsia="黑体"/>
      <w:kern w:val="2"/>
      <w:sz w:val="24"/>
    </w:rPr>
  </w:style>
  <w:style w:type="character" w:customStyle="1" w:styleId="303">
    <w:name w:val="标题 9 字符"/>
    <w:link w:val="10"/>
    <w:qFormat/>
    <w:uiPriority w:val="0"/>
    <w:rPr>
      <w:rFonts w:ascii="Arial" w:hAnsi="Arial" w:eastAsia="黑体"/>
      <w:kern w:val="2"/>
      <w:sz w:val="21"/>
    </w:rPr>
  </w:style>
  <w:style w:type="character" w:customStyle="1" w:styleId="304">
    <w:name w:val="正文 Char"/>
    <w:qFormat/>
    <w:uiPriority w:val="0"/>
    <w:rPr>
      <w:rFonts w:eastAsia="宋体" w:cs="宋体"/>
      <w:kern w:val="2"/>
      <w:sz w:val="21"/>
      <w:lang w:val="en-US" w:eastAsia="zh-CN" w:bidi="ar-SA"/>
    </w:rPr>
  </w:style>
  <w:style w:type="character" w:customStyle="1" w:styleId="305">
    <w:name w:val="页脚 Char1"/>
    <w:semiHidden/>
    <w:qFormat/>
    <w:uiPriority w:val="99"/>
    <w:rPr>
      <w:kern w:val="2"/>
      <w:sz w:val="18"/>
      <w:szCs w:val="18"/>
    </w:rPr>
  </w:style>
  <w:style w:type="character" w:customStyle="1" w:styleId="306">
    <w:name w:val="正文文本缩进 3 字符"/>
    <w:link w:val="66"/>
    <w:qFormat/>
    <w:uiPriority w:val="0"/>
    <w:rPr>
      <w:kern w:val="2"/>
      <w:sz w:val="16"/>
    </w:rPr>
  </w:style>
  <w:style w:type="character" w:customStyle="1" w:styleId="307">
    <w:name w:val="注释标题 字符"/>
    <w:link w:val="14"/>
    <w:qFormat/>
    <w:uiPriority w:val="0"/>
    <w:rPr>
      <w:kern w:val="2"/>
      <w:sz w:val="21"/>
    </w:rPr>
  </w:style>
  <w:style w:type="character" w:customStyle="1" w:styleId="308">
    <w:name w:val="纯文本 Char1"/>
    <w:semiHidden/>
    <w:qFormat/>
    <w:uiPriority w:val="0"/>
    <w:rPr>
      <w:rFonts w:ascii="宋体" w:hAnsi="Courier New" w:cs="Courier New"/>
      <w:kern w:val="2"/>
      <w:sz w:val="21"/>
      <w:szCs w:val="21"/>
    </w:rPr>
  </w:style>
  <w:style w:type="character" w:customStyle="1" w:styleId="309">
    <w:name w:val="页眉 Char1"/>
    <w:semiHidden/>
    <w:qFormat/>
    <w:uiPriority w:val="99"/>
    <w:rPr>
      <w:kern w:val="2"/>
      <w:sz w:val="18"/>
      <w:szCs w:val="18"/>
    </w:rPr>
  </w:style>
  <w:style w:type="character" w:customStyle="1" w:styleId="310">
    <w:name w:val="批注主题 字符"/>
    <w:link w:val="81"/>
    <w:qFormat/>
    <w:uiPriority w:val="0"/>
    <w:rPr>
      <w:b/>
      <w:kern w:val="2"/>
      <w:sz w:val="21"/>
    </w:rPr>
  </w:style>
  <w:style w:type="character" w:customStyle="1" w:styleId="311">
    <w:name w:val="正文首行缩进 2 字符"/>
    <w:link w:val="83"/>
    <w:qFormat/>
    <w:uiPriority w:val="0"/>
    <w:rPr>
      <w:kern w:val="2"/>
      <w:sz w:val="21"/>
    </w:rPr>
  </w:style>
  <w:style w:type="character" w:customStyle="1" w:styleId="312">
    <w:name w:val="HTML 地址 字符"/>
    <w:link w:val="38"/>
    <w:qFormat/>
    <w:uiPriority w:val="0"/>
    <w:rPr>
      <w:i/>
      <w:kern w:val="2"/>
      <w:sz w:val="21"/>
    </w:rPr>
  </w:style>
  <w:style w:type="character" w:customStyle="1" w:styleId="313">
    <w:name w:val="文档结构图 字符"/>
    <w:link w:val="24"/>
    <w:qFormat/>
    <w:uiPriority w:val="0"/>
    <w:rPr>
      <w:kern w:val="2"/>
      <w:sz w:val="21"/>
      <w:shd w:val="clear" w:color="auto" w:fill="000080"/>
    </w:rPr>
  </w:style>
  <w:style w:type="character" w:customStyle="1" w:styleId="314">
    <w:name w:val="正文文本 字符"/>
    <w:link w:val="31"/>
    <w:qFormat/>
    <w:uiPriority w:val="0"/>
    <w:rPr>
      <w:kern w:val="2"/>
      <w:sz w:val="21"/>
    </w:rPr>
  </w:style>
  <w:style w:type="character" w:customStyle="1" w:styleId="315">
    <w:name w:val="正文首行缩进 字符"/>
    <w:basedOn w:val="314"/>
    <w:link w:val="82"/>
    <w:qFormat/>
    <w:uiPriority w:val="0"/>
    <w:rPr>
      <w:kern w:val="2"/>
      <w:sz w:val="21"/>
    </w:rPr>
  </w:style>
  <w:style w:type="character" w:customStyle="1" w:styleId="316">
    <w:name w:val="HTML 预设格式 字符"/>
    <w:link w:val="76"/>
    <w:qFormat/>
    <w:uiPriority w:val="0"/>
    <w:rPr>
      <w:rFonts w:ascii="Courier New" w:hAnsi="Courier New"/>
      <w:kern w:val="2"/>
    </w:rPr>
  </w:style>
  <w:style w:type="character" w:customStyle="1" w:styleId="317">
    <w:name w:val="批注框文本 字符"/>
    <w:link w:val="50"/>
    <w:qFormat/>
    <w:uiPriority w:val="0"/>
    <w:rPr>
      <w:kern w:val="2"/>
      <w:sz w:val="18"/>
    </w:rPr>
  </w:style>
  <w:style w:type="character" w:customStyle="1" w:styleId="318">
    <w:name w:val="副标题 字符"/>
    <w:link w:val="60"/>
    <w:qFormat/>
    <w:uiPriority w:val="0"/>
    <w:rPr>
      <w:rFonts w:ascii="Arial" w:hAnsi="Arial"/>
      <w:b/>
      <w:kern w:val="28"/>
      <w:sz w:val="32"/>
    </w:rPr>
  </w:style>
  <w:style w:type="character" w:customStyle="1" w:styleId="319">
    <w:name w:val="正文文本缩进 2 字符"/>
    <w:link w:val="48"/>
    <w:qFormat/>
    <w:uiPriority w:val="0"/>
    <w:rPr>
      <w:kern w:val="2"/>
      <w:sz w:val="21"/>
    </w:rPr>
  </w:style>
  <w:style w:type="paragraph" w:customStyle="1" w:styleId="320">
    <w:name w:val="默认段落字体 Para Char Char Char Char Char"/>
    <w:basedOn w:val="1"/>
    <w:qFormat/>
    <w:uiPriority w:val="0"/>
    <w:rPr>
      <w:rFonts w:ascii="宋体" w:hAnsi="宋体"/>
      <w:b/>
      <w:color w:val="000000"/>
      <w:sz w:val="24"/>
      <w:szCs w:val="24"/>
    </w:rPr>
  </w:style>
  <w:style w:type="character" w:customStyle="1" w:styleId="321">
    <w:name w:val="结束语 字符"/>
    <w:link w:val="29"/>
    <w:qFormat/>
    <w:uiPriority w:val="0"/>
    <w:rPr>
      <w:kern w:val="2"/>
      <w:sz w:val="21"/>
    </w:rPr>
  </w:style>
  <w:style w:type="character" w:customStyle="1" w:styleId="322">
    <w:name w:val="标题 字符"/>
    <w:link w:val="80"/>
    <w:qFormat/>
    <w:uiPriority w:val="0"/>
    <w:rPr>
      <w:rFonts w:ascii="Arial" w:hAnsi="Arial"/>
      <w:b/>
      <w:kern w:val="2"/>
      <w:sz w:val="32"/>
    </w:rPr>
  </w:style>
  <w:style w:type="character" w:customStyle="1" w:styleId="323">
    <w:name w:val="签名 字符"/>
    <w:link w:val="54"/>
    <w:qFormat/>
    <w:uiPriority w:val="0"/>
    <w:rPr>
      <w:kern w:val="2"/>
      <w:sz w:val="21"/>
    </w:rPr>
  </w:style>
  <w:style w:type="paragraph" w:customStyle="1" w:styleId="324">
    <w:name w:val="样式 首行缩进:  0 厘米 行距: 单倍行距 Char"/>
    <w:basedOn w:val="1"/>
    <w:qFormat/>
    <w:uiPriority w:val="0"/>
    <w:pPr>
      <w:adjustRightInd w:val="0"/>
      <w:textAlignment w:val="baseline"/>
    </w:pPr>
    <w:rPr>
      <w:kern w:val="0"/>
      <w:szCs w:val="21"/>
    </w:rPr>
  </w:style>
  <w:style w:type="character" w:customStyle="1" w:styleId="325">
    <w:name w:val="信息标题 字符"/>
    <w:link w:val="75"/>
    <w:qFormat/>
    <w:uiPriority w:val="0"/>
    <w:rPr>
      <w:rFonts w:ascii="Arial" w:hAnsi="Arial"/>
      <w:kern w:val="2"/>
      <w:sz w:val="24"/>
      <w:shd w:val="pct20" w:color="auto" w:fill="auto"/>
    </w:rPr>
  </w:style>
  <w:style w:type="character" w:customStyle="1" w:styleId="326">
    <w:name w:val="电子邮件签名 字符"/>
    <w:link w:val="17"/>
    <w:qFormat/>
    <w:uiPriority w:val="0"/>
    <w:rPr>
      <w:kern w:val="2"/>
      <w:sz w:val="21"/>
    </w:rPr>
  </w:style>
  <w:style w:type="character" w:customStyle="1" w:styleId="327">
    <w:name w:val="日期 字符"/>
    <w:link w:val="47"/>
    <w:qFormat/>
    <w:uiPriority w:val="0"/>
    <w:rPr>
      <w:kern w:val="2"/>
      <w:sz w:val="21"/>
    </w:rPr>
  </w:style>
  <w:style w:type="character" w:customStyle="1" w:styleId="328">
    <w:name w:val="称呼 字符"/>
    <w:link w:val="27"/>
    <w:qFormat/>
    <w:uiPriority w:val="0"/>
    <w:rPr>
      <w:kern w:val="2"/>
      <w:sz w:val="21"/>
    </w:rPr>
  </w:style>
  <w:style w:type="character" w:customStyle="1" w:styleId="329">
    <w:name w:val="正文文本 2 字符"/>
    <w:link w:val="72"/>
    <w:qFormat/>
    <w:uiPriority w:val="0"/>
    <w:rPr>
      <w:kern w:val="2"/>
      <w:sz w:val="21"/>
    </w:rPr>
  </w:style>
  <w:style w:type="character" w:customStyle="1" w:styleId="330">
    <w:name w:val="正文文本 3 字符"/>
    <w:link w:val="28"/>
    <w:qFormat/>
    <w:uiPriority w:val="0"/>
    <w:rPr>
      <w:kern w:val="2"/>
      <w:sz w:val="16"/>
    </w:rPr>
  </w:style>
  <w:style w:type="paragraph" w:customStyle="1" w:styleId="331">
    <w:name w:val="TOC 标题1"/>
    <w:basedOn w:val="2"/>
    <w:next w:val="1"/>
    <w:unhideWhenUsed/>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character" w:customStyle="1" w:styleId="332">
    <w:name w:val="占位符文本1"/>
    <w:basedOn w:val="85"/>
    <w:semiHidden/>
    <w:qFormat/>
    <w:uiPriority w:val="99"/>
    <w:rPr>
      <w:color w:val="808080"/>
    </w:rPr>
  </w:style>
  <w:style w:type="paragraph" w:styleId="33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2BA20-311D-4D26-8AAE-3626854A9123}">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13</Pages>
  <Words>5247</Words>
  <Characters>5869</Characters>
  <Lines>58</Lines>
  <Paragraphs>16</Paragraphs>
  <TotalTime>1</TotalTime>
  <ScaleCrop>false</ScaleCrop>
  <LinksUpToDate>false</LinksUpToDate>
  <CharactersWithSpaces>5954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2024-11-13T03:33:00Z</dcterms:created>
  <dc:creator>邓威</dc:creator>
  <cp:lastModifiedBy>1C18660E81654AE5B18EB19DCC2B4C8E</cp:lastModifiedBy>
  <cp:lastPrinted>2015-10-28T13:34:00Z</cp:lastPrinted>
  <dcterms:modified xsi:type="dcterms:W3CDTF">2025-08-19T04:16:35Z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KSOTemplateDocerSaveRecord">
    <vt:lpwstr>eyJoZGlkIjoiYTg5ZTE0M2Q0NjU2OGE4NDQ2Y2RkMDNiMjNlZDY3MzgiLCJ1c2VySWQiOiIxNTk5ODQwMTI2In0=</vt:lpwstr>
  </property>
  <property fmtid="{D5CDD505-2E9C-101B-9397-08002B2CF9AE}" pid="5" name="ICV">
    <vt:lpwstr>4D86C64D67BF42E1BC7798358B61A479_12</vt:lpwstr>
  </property>
</Properties>
</file>