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val="0"/>
          <w:color w:val="auto"/>
          <w:sz w:val="44"/>
          <w:szCs w:val="44"/>
          <w:lang w:val="en-US" w:eastAsia="zh-CN"/>
        </w:rPr>
      </w:pPr>
      <w:bookmarkStart w:id="0" w:name="_Toc499716096"/>
      <w:bookmarkStart w:id="1" w:name="_Toc28598"/>
      <w:bookmarkStart w:id="2" w:name="_Toc21240"/>
    </w:p>
    <w:p>
      <w:pPr>
        <w:jc w:val="center"/>
        <w:rPr>
          <w:rFonts w:hint="eastAsia"/>
          <w:b/>
          <w:bCs w:val="0"/>
          <w:color w:val="auto"/>
          <w:sz w:val="44"/>
          <w:szCs w:val="44"/>
          <w:lang w:val="en-US" w:eastAsia="zh-CN"/>
        </w:rPr>
      </w:pPr>
    </w:p>
    <w:p>
      <w:pPr>
        <w:jc w:val="center"/>
        <w:rPr>
          <w:b/>
          <w:bCs w:val="0"/>
          <w:color w:val="auto"/>
        </w:rPr>
      </w:pPr>
      <w:r>
        <w:rPr>
          <w:rFonts w:hint="eastAsia"/>
          <w:b/>
          <w:bCs w:val="0"/>
          <w:color w:val="auto"/>
          <w:sz w:val="44"/>
          <w:szCs w:val="44"/>
          <w:lang w:val="en-US" w:eastAsia="zh-CN"/>
        </w:rPr>
        <w:t>2025年南方电网数字电网研究院股份有限公司内蒙古分公司办公场地维修专项采购</w:t>
      </w:r>
    </w:p>
    <w:p>
      <w:pPr>
        <w:rPr>
          <w:b/>
          <w:bCs w:val="0"/>
          <w:color w:val="auto"/>
        </w:rPr>
      </w:pPr>
    </w:p>
    <w:p>
      <w:pPr>
        <w:rPr>
          <w:b/>
          <w:bCs w:val="0"/>
          <w:color w:val="auto"/>
        </w:rPr>
      </w:pPr>
    </w:p>
    <w:p>
      <w:pPr>
        <w:pStyle w:val="10"/>
        <w:jc w:val="center"/>
        <w:rPr>
          <w:rFonts w:ascii="Calibri" w:hAnsi="Calibri"/>
          <w:b/>
          <w:bCs w:val="0"/>
          <w:color w:val="auto"/>
          <w:w w:val="80"/>
          <w:sz w:val="72"/>
          <w:szCs w:val="72"/>
        </w:rPr>
      </w:pPr>
      <w:r>
        <w:rPr>
          <w:rFonts w:ascii="Calibri" w:hAnsi="宋体"/>
          <w:b/>
          <w:bCs w:val="0"/>
          <w:color w:val="auto"/>
          <w:sz w:val="72"/>
          <w:szCs w:val="72"/>
        </w:rPr>
        <w:t>技术规范书</w:t>
      </w:r>
    </w:p>
    <w:p>
      <w:pPr>
        <w:pStyle w:val="14"/>
        <w:rPr>
          <w:rFonts w:hint="eastAsia" w:ascii="仿宋_GB2312" w:hAnsi="仿宋" w:eastAsia="仿宋_GB2312"/>
          <w:b/>
          <w:color w:val="000000"/>
          <w:sz w:val="44"/>
        </w:rPr>
      </w:pPr>
    </w:p>
    <w:p>
      <w:pPr>
        <w:pStyle w:val="14"/>
        <w:rPr>
          <w:rFonts w:hint="eastAsia" w:ascii="仿宋_GB2312" w:hAnsi="仿宋" w:eastAsia="仿宋_GB2312"/>
          <w:b/>
          <w:color w:val="000000"/>
          <w:sz w:val="44"/>
        </w:rPr>
      </w:pPr>
    </w:p>
    <w:p>
      <w:pPr>
        <w:pStyle w:val="14"/>
        <w:rPr>
          <w:rFonts w:hint="eastAsia" w:ascii="仿宋_GB2312" w:hAnsi="仿宋" w:eastAsia="仿宋_GB2312"/>
          <w:b/>
          <w:color w:val="000000"/>
          <w:sz w:val="44"/>
        </w:rPr>
      </w:pPr>
    </w:p>
    <w:p>
      <w:pPr>
        <w:pStyle w:val="14"/>
        <w:rPr>
          <w:rFonts w:hint="eastAsia" w:ascii="仿宋_GB2312" w:hAnsi="仿宋" w:eastAsia="仿宋_GB2312"/>
          <w:b/>
          <w:color w:val="000000"/>
          <w:sz w:val="44"/>
        </w:rPr>
      </w:pPr>
    </w:p>
    <w:p>
      <w:pPr>
        <w:jc w:val="center"/>
        <w:rPr>
          <w:rFonts w:ascii="黑体" w:eastAsia="黑体"/>
          <w:b/>
          <w:color w:val="000000"/>
          <w:sz w:val="52"/>
        </w:rPr>
      </w:pPr>
    </w:p>
    <w:p>
      <w:pPr>
        <w:jc w:val="center"/>
        <w:rPr>
          <w:rFonts w:ascii="黑体" w:eastAsia="黑体"/>
          <w:b/>
          <w:color w:val="000000"/>
          <w:sz w:val="52"/>
        </w:rPr>
      </w:pPr>
    </w:p>
    <w:p>
      <w:pPr>
        <w:jc w:val="center"/>
        <w:rPr>
          <w:rFonts w:ascii="黑体" w:eastAsia="黑体"/>
          <w:b/>
          <w:color w:val="000000"/>
          <w:sz w:val="52"/>
        </w:rPr>
      </w:pPr>
    </w:p>
    <w:p>
      <w:pPr>
        <w:pStyle w:val="10"/>
        <w:tabs>
          <w:tab w:val="left" w:pos="1300"/>
          <w:tab w:val="left" w:pos="1800"/>
        </w:tabs>
        <w:spacing w:line="700" w:lineRule="exact"/>
        <w:rPr>
          <w:rFonts w:ascii="Calibri" w:hAnsi="Calibri"/>
          <w:b/>
          <w:color w:val="auto"/>
        </w:rPr>
      </w:pPr>
    </w:p>
    <w:p>
      <w:pPr>
        <w:jc w:val="center"/>
        <w:rPr>
          <w:rFonts w:hint="eastAsia" w:hAnsi="宋体"/>
          <w:b/>
          <w:color w:val="auto"/>
          <w:sz w:val="30"/>
        </w:rPr>
      </w:pPr>
    </w:p>
    <w:p>
      <w:pPr>
        <w:jc w:val="center"/>
        <w:rPr>
          <w:rFonts w:hint="eastAsia" w:hAnsi="宋体"/>
          <w:b/>
          <w:color w:val="auto"/>
          <w:sz w:val="30"/>
        </w:rPr>
      </w:pPr>
    </w:p>
    <w:p>
      <w:pPr>
        <w:jc w:val="center"/>
        <w:rPr>
          <w:rFonts w:hint="eastAsia" w:hAnsi="宋体"/>
          <w:b/>
          <w:color w:val="auto"/>
          <w:sz w:val="30"/>
        </w:rPr>
      </w:pPr>
    </w:p>
    <w:p>
      <w:pPr>
        <w:jc w:val="center"/>
        <w:rPr>
          <w:rFonts w:hint="eastAsia" w:hAnsi="宋体"/>
          <w:b/>
          <w:color w:val="auto"/>
          <w:sz w:val="30"/>
        </w:rPr>
      </w:pPr>
    </w:p>
    <w:p>
      <w:pPr>
        <w:jc w:val="center"/>
        <w:rPr>
          <w:rFonts w:hint="eastAsia" w:hAnsi="宋体"/>
          <w:b/>
          <w:color w:val="auto"/>
          <w:sz w:val="30"/>
        </w:rPr>
      </w:pPr>
    </w:p>
    <w:p>
      <w:pPr>
        <w:jc w:val="center"/>
        <w:rPr>
          <w:rFonts w:hint="eastAsia" w:hAnsi="宋体"/>
          <w:b/>
          <w:color w:val="auto"/>
          <w:sz w:val="30"/>
        </w:rPr>
      </w:pPr>
    </w:p>
    <w:p>
      <w:pPr>
        <w:jc w:val="center"/>
        <w:rPr>
          <w:rFonts w:hint="eastAsia" w:hAnsi="宋体"/>
          <w:b/>
          <w:color w:val="auto"/>
          <w:sz w:val="30"/>
        </w:rPr>
      </w:pPr>
    </w:p>
    <w:p>
      <w:pPr>
        <w:jc w:val="center"/>
        <w:rPr>
          <w:rFonts w:hint="eastAsia" w:hAnsi="宋体"/>
          <w:b/>
          <w:color w:val="auto"/>
          <w:sz w:val="30"/>
        </w:rPr>
      </w:pPr>
    </w:p>
    <w:p>
      <w:pPr>
        <w:jc w:val="center"/>
        <w:rPr>
          <w:color w:val="auto"/>
        </w:rPr>
      </w:pPr>
      <w:r>
        <w:rPr>
          <w:rFonts w:hint="eastAsia" w:hAnsi="宋体"/>
          <w:b/>
          <w:color w:val="auto"/>
          <w:sz w:val="30"/>
        </w:rPr>
        <w:t>二〇</w:t>
      </w:r>
      <w:r>
        <w:rPr>
          <w:rFonts w:hint="eastAsia" w:hAnsi="宋体"/>
          <w:b/>
          <w:color w:val="auto"/>
          <w:sz w:val="30"/>
          <w:lang w:val="en-US" w:eastAsia="zh-CN"/>
        </w:rPr>
        <w:t>二五</w:t>
      </w:r>
      <w:r>
        <w:rPr>
          <w:rFonts w:hAnsi="宋体"/>
          <w:b/>
          <w:color w:val="auto"/>
          <w:sz w:val="30"/>
        </w:rPr>
        <w:t>年</w:t>
      </w:r>
      <w:r>
        <w:rPr>
          <w:rFonts w:hint="eastAsia" w:hAnsi="宋体"/>
          <w:b/>
          <w:color w:val="auto"/>
          <w:sz w:val="30"/>
          <w:lang w:eastAsia="zh-CN"/>
        </w:rPr>
        <w:t>八</w:t>
      </w:r>
      <w:r>
        <w:rPr>
          <w:rFonts w:hAnsi="宋体"/>
          <w:b/>
          <w:color w:val="auto"/>
          <w:sz w:val="30"/>
        </w:rPr>
        <w:t>月</w:t>
      </w:r>
    </w:p>
    <w:p>
      <w:pPr>
        <w:pStyle w:val="14"/>
        <w:rPr>
          <w:rFonts w:hint="eastAsia" w:ascii="仿宋_GB2312" w:hAnsi="仿宋" w:eastAsia="仿宋_GB2312"/>
          <w:b/>
          <w:color w:val="000000"/>
          <w:sz w:val="44"/>
        </w:rPr>
      </w:pPr>
      <w:r>
        <w:rPr>
          <w:rFonts w:hint="eastAsia" w:ascii="仿宋_GB2312" w:hAnsi="仿宋" w:eastAsia="仿宋_GB2312"/>
          <w:b/>
          <w:color w:val="000000"/>
          <w:sz w:val="44"/>
        </w:rPr>
        <w:br w:type="page"/>
      </w:r>
    </w:p>
    <w:p>
      <w:pPr>
        <w:pStyle w:val="4"/>
        <w:keepNext/>
        <w:keepLines/>
        <w:numPr>
          <w:ilvl w:val="0"/>
          <w:numId w:val="3"/>
        </w:numPr>
        <w:autoSpaceDE/>
        <w:autoSpaceDN/>
        <w:adjustRightInd/>
        <w:spacing w:before="340" w:after="120" w:line="480" w:lineRule="auto"/>
        <w:ind w:left="-643" w:leftChars="0" w:firstLine="643" w:firstLineChars="0"/>
        <w:jc w:val="both"/>
        <w:rPr>
          <w:rFonts w:hint="eastAsia" w:ascii="Calibri" w:hAnsi="Calibri" w:eastAsia="宋体" w:cs="Times New Roman"/>
          <w:b/>
          <w:bCs/>
          <w:color w:val="auto"/>
          <w:kern w:val="44"/>
          <w:sz w:val="32"/>
          <w:szCs w:val="32"/>
        </w:rPr>
      </w:pPr>
      <w:bookmarkStart w:id="3" w:name="_Toc25044"/>
      <w:bookmarkStart w:id="4" w:name="_Toc19555"/>
      <w:bookmarkStart w:id="5" w:name="_Toc6805"/>
      <w:bookmarkStart w:id="6" w:name="_Toc6149"/>
      <w:bookmarkStart w:id="7" w:name="_Toc2689"/>
      <w:bookmarkStart w:id="8" w:name="_Toc26473"/>
      <w:bookmarkStart w:id="9" w:name="_Toc18619"/>
      <w:r>
        <w:rPr>
          <w:rFonts w:hint="eastAsia" w:ascii="Calibri" w:hAnsi="Calibri" w:cs="Times New Roman"/>
          <w:b/>
          <w:bCs/>
          <w:color w:val="auto"/>
          <w:kern w:val="44"/>
          <w:sz w:val="32"/>
          <w:szCs w:val="32"/>
          <w:lang w:val="en-US" w:eastAsia="zh-CN"/>
        </w:rPr>
        <w:t>项目概述</w:t>
      </w:r>
      <w:bookmarkEnd w:id="3"/>
      <w:bookmarkEnd w:id="4"/>
      <w:bookmarkEnd w:id="5"/>
      <w:bookmarkEnd w:id="6"/>
      <w:bookmarkEnd w:id="7"/>
      <w:bookmarkEnd w:id="8"/>
    </w:p>
    <w:p>
      <w:pPr>
        <w:spacing w:line="360" w:lineRule="auto"/>
        <w:ind w:firstLine="480" w:firstLineChars="200"/>
        <w:rPr>
          <w:rFonts w:hint="eastAsia" w:ascii="宋体" w:hAnsi="宋体" w:eastAsia="宋体" w:cs="宋体"/>
          <w:b/>
          <w:caps/>
          <w:kern w:val="0"/>
          <w:sz w:val="21"/>
          <w:szCs w:val="21"/>
        </w:rPr>
      </w:pPr>
      <w:r>
        <w:rPr>
          <w:rFonts w:hint="eastAsia" w:ascii="宋体" w:hAnsi="宋体" w:eastAsia="宋体" w:cs="Times New Roman"/>
          <w:color w:val="auto"/>
          <w:sz w:val="24"/>
          <w:szCs w:val="21"/>
        </w:rPr>
        <w:t>本项目</w:t>
      </w:r>
      <w:r>
        <w:rPr>
          <w:rFonts w:hint="eastAsia" w:ascii="宋体" w:hAnsi="宋体" w:eastAsia="宋体" w:cs="Times New Roman"/>
          <w:color w:val="auto"/>
          <w:sz w:val="24"/>
          <w:szCs w:val="21"/>
          <w:lang w:eastAsia="zh-CN"/>
        </w:rPr>
        <w:t>为</w:t>
      </w:r>
      <w:r>
        <w:rPr>
          <w:rFonts w:hint="eastAsia" w:ascii="宋体" w:hAnsi="宋体" w:cs="Times New Roman"/>
          <w:color w:val="auto"/>
          <w:sz w:val="24"/>
          <w:szCs w:val="21"/>
          <w:lang w:val="en-US" w:eastAsia="zh-CN"/>
        </w:rPr>
        <w:t>南网数研院</w:t>
      </w:r>
      <w:r>
        <w:rPr>
          <w:rFonts w:hint="eastAsia" w:ascii="宋体" w:hAnsi="宋体" w:cs="Times New Roman"/>
          <w:b w:val="0"/>
          <w:bCs w:val="0"/>
          <w:color w:val="auto"/>
          <w:sz w:val="24"/>
          <w:szCs w:val="21"/>
          <w:lang w:val="en-US" w:eastAsia="zh-CN"/>
        </w:rPr>
        <w:t>内蒙古</w:t>
      </w:r>
      <w:r>
        <w:rPr>
          <w:rFonts w:hint="eastAsia" w:ascii="宋体" w:hAnsi="宋体" w:eastAsia="宋体" w:cs="Times New Roman"/>
          <w:b w:val="0"/>
          <w:bCs w:val="0"/>
          <w:color w:val="auto"/>
          <w:sz w:val="24"/>
          <w:szCs w:val="21"/>
          <w:lang w:val="en-US" w:eastAsia="zh-CN"/>
        </w:rPr>
        <w:t>分公司办公场地维修</w:t>
      </w:r>
      <w:r>
        <w:rPr>
          <w:rFonts w:hint="eastAsia" w:ascii="宋体" w:hAnsi="宋体" w:cs="Times New Roman"/>
          <w:b w:val="0"/>
          <w:bCs w:val="0"/>
          <w:color w:val="auto"/>
          <w:sz w:val="24"/>
          <w:szCs w:val="21"/>
          <w:lang w:val="en-US" w:eastAsia="zh-CN"/>
        </w:rPr>
        <w:t>项目</w:t>
      </w:r>
      <w:r>
        <w:rPr>
          <w:rFonts w:hint="eastAsia" w:ascii="宋体" w:hAnsi="宋体" w:eastAsia="宋体" w:cs="Times New Roman"/>
          <w:color w:val="auto"/>
          <w:sz w:val="24"/>
          <w:szCs w:val="21"/>
        </w:rPr>
        <w:t>，</w:t>
      </w:r>
      <w:r>
        <w:rPr>
          <w:rFonts w:hint="eastAsia" w:ascii="宋体" w:hAnsi="宋体" w:eastAsia="宋体" w:cs="Times New Roman"/>
          <w:color w:val="auto"/>
          <w:sz w:val="24"/>
          <w:szCs w:val="21"/>
          <w:lang w:val="en-US" w:eastAsia="zh-CN"/>
        </w:rPr>
        <w:t>场地</w:t>
      </w:r>
      <w:r>
        <w:rPr>
          <w:rFonts w:hint="eastAsia" w:ascii="宋体" w:hAnsi="宋体" w:eastAsia="宋体" w:cs="Times New Roman"/>
          <w:color w:val="auto"/>
          <w:sz w:val="24"/>
          <w:szCs w:val="21"/>
          <w:u w:val="none"/>
        </w:rPr>
        <w:t>位于</w:t>
      </w:r>
      <w:r>
        <w:rPr>
          <w:rFonts w:hint="eastAsia" w:ascii="宋体" w:hAnsi="宋体" w:cs="Times New Roman"/>
          <w:color w:val="auto"/>
          <w:sz w:val="24"/>
          <w:szCs w:val="21"/>
          <w:u w:val="none"/>
          <w:lang w:val="en-US" w:eastAsia="zh-CN"/>
        </w:rPr>
        <w:t>内蒙古呼和浩特市赛罕区绿地蓝海大厦A座</w:t>
      </w:r>
      <w:r>
        <w:rPr>
          <w:rFonts w:hint="eastAsia" w:ascii="宋体" w:hAnsi="宋体" w:eastAsia="宋体" w:cs="Times New Roman"/>
          <w:color w:val="auto"/>
          <w:sz w:val="24"/>
          <w:szCs w:val="21"/>
          <w:u w:val="none"/>
        </w:rPr>
        <w:t>，</w:t>
      </w:r>
      <w:r>
        <w:rPr>
          <w:rFonts w:hint="eastAsia" w:ascii="宋体" w:hAnsi="宋体" w:eastAsia="宋体" w:cs="Times New Roman"/>
          <w:b w:val="0"/>
          <w:bCs w:val="0"/>
          <w:color w:val="auto"/>
          <w:kern w:val="2"/>
          <w:sz w:val="24"/>
          <w:szCs w:val="21"/>
          <w:u w:val="none"/>
          <w:lang w:val="en-US" w:eastAsia="zh-CN" w:bidi="ar-SA"/>
        </w:rPr>
        <w:t>维修</w:t>
      </w:r>
      <w:r>
        <w:rPr>
          <w:rFonts w:hint="eastAsia" w:ascii="宋体" w:hAnsi="宋体" w:cs="Times New Roman"/>
          <w:b w:val="0"/>
          <w:bCs w:val="0"/>
          <w:color w:val="auto"/>
          <w:kern w:val="2"/>
          <w:sz w:val="24"/>
          <w:szCs w:val="21"/>
          <w:u w:val="none"/>
          <w:lang w:val="en-US" w:eastAsia="zh-CN" w:bidi="ar-SA"/>
        </w:rPr>
        <w:t>内容</w:t>
      </w:r>
      <w:r>
        <w:rPr>
          <w:rFonts w:hint="eastAsia" w:ascii="宋体" w:hAnsi="宋体" w:eastAsia="宋体" w:cs="Times New Roman"/>
          <w:b w:val="0"/>
          <w:bCs w:val="0"/>
          <w:color w:val="auto"/>
          <w:kern w:val="2"/>
          <w:sz w:val="24"/>
          <w:szCs w:val="21"/>
          <w:u w:val="none"/>
          <w:lang w:val="en-US" w:eastAsia="zh-CN" w:bidi="ar-SA"/>
        </w:rPr>
        <w:t>主要</w:t>
      </w:r>
      <w:r>
        <w:rPr>
          <w:rFonts w:hint="eastAsia" w:ascii="宋体" w:hAnsi="宋体" w:eastAsia="宋体" w:cs="Times New Roman"/>
          <w:color w:val="auto"/>
          <w:sz w:val="24"/>
          <w:szCs w:val="21"/>
          <w:lang w:val="en-US" w:eastAsia="zh-CN"/>
        </w:rPr>
        <w:t>包括：</w:t>
      </w:r>
      <w:r>
        <w:rPr>
          <w:rFonts w:hint="eastAsia" w:ascii="宋体" w:hAnsi="宋体" w:cs="Times New Roman"/>
          <w:color w:val="auto"/>
          <w:sz w:val="24"/>
          <w:szCs w:val="21"/>
          <w:lang w:val="en-US" w:eastAsia="zh-CN"/>
        </w:rPr>
        <w:t>修复屋面的破损缺陷</w:t>
      </w:r>
      <w:r>
        <w:rPr>
          <w:rFonts w:hint="eastAsia" w:ascii="宋体" w:hAnsi="宋体" w:eastAsia="宋体" w:cs="Times New Roman"/>
          <w:color w:val="auto"/>
          <w:sz w:val="24"/>
          <w:szCs w:val="21"/>
          <w:highlight w:val="none"/>
          <w:lang w:val="en-US" w:eastAsia="zh-CN"/>
        </w:rPr>
        <w:t>、</w:t>
      </w:r>
      <w:r>
        <w:rPr>
          <w:rFonts w:hint="eastAsia" w:ascii="宋体" w:hAnsi="宋体" w:cs="Times New Roman"/>
          <w:color w:val="auto"/>
          <w:sz w:val="24"/>
          <w:szCs w:val="21"/>
          <w:highlight w:val="none"/>
          <w:lang w:val="en-US" w:eastAsia="zh-CN"/>
        </w:rPr>
        <w:t>办公室家具移位与拆摆、专用门更换、</w:t>
      </w:r>
      <w:r>
        <w:rPr>
          <w:rFonts w:hint="eastAsia" w:ascii="宋体" w:hAnsi="宋体" w:eastAsia="宋体" w:cs="Times New Roman"/>
          <w:color w:val="auto"/>
          <w:sz w:val="24"/>
          <w:szCs w:val="21"/>
          <w:highlight w:val="none"/>
          <w:lang w:val="en-US" w:eastAsia="zh-CN"/>
        </w:rPr>
        <w:t>办公</w:t>
      </w:r>
      <w:r>
        <w:rPr>
          <w:rFonts w:hint="eastAsia" w:ascii="宋体" w:hAnsi="宋体" w:cs="Times New Roman"/>
          <w:color w:val="auto"/>
          <w:sz w:val="24"/>
          <w:szCs w:val="21"/>
          <w:highlight w:val="none"/>
          <w:lang w:val="en-US" w:eastAsia="zh-CN"/>
        </w:rPr>
        <w:t>区域设施</w:t>
      </w:r>
      <w:r>
        <w:rPr>
          <w:rFonts w:hint="eastAsia" w:ascii="宋体" w:hAnsi="宋体" w:eastAsia="宋体" w:cs="Times New Roman"/>
          <w:color w:val="auto"/>
          <w:sz w:val="24"/>
          <w:szCs w:val="21"/>
          <w:highlight w:val="none"/>
          <w:lang w:val="en-US" w:eastAsia="zh-CN"/>
        </w:rPr>
        <w:t>修理</w:t>
      </w:r>
      <w:r>
        <w:rPr>
          <w:rFonts w:hint="eastAsia" w:ascii="宋体" w:hAnsi="宋体" w:cs="Times New Roman"/>
          <w:color w:val="auto"/>
          <w:sz w:val="24"/>
          <w:szCs w:val="21"/>
          <w:highlight w:val="none"/>
          <w:lang w:val="en-US" w:eastAsia="zh-CN"/>
        </w:rPr>
        <w:t>、指定位置加装防盗护栏及会议设备安装及接线</w:t>
      </w:r>
      <w:r>
        <w:rPr>
          <w:rFonts w:hint="eastAsia" w:ascii="宋体" w:hAnsi="宋体" w:eastAsia="宋体" w:cs="Times New Roman"/>
          <w:color w:val="auto"/>
          <w:sz w:val="24"/>
          <w:szCs w:val="21"/>
          <w:lang w:val="en-US" w:eastAsia="zh-CN"/>
        </w:rPr>
        <w:t>。</w:t>
      </w:r>
    </w:p>
    <w:bookmarkEnd w:id="9"/>
    <w:p>
      <w:pPr>
        <w:keepNext w:val="0"/>
        <w:keepLines w:val="0"/>
        <w:pageBreakBefore w:val="0"/>
        <w:widowControl w:val="0"/>
        <w:numPr>
          <w:ilvl w:val="0"/>
          <w:numId w:val="3"/>
        </w:numPr>
        <w:tabs>
          <w:tab w:val="left" w:pos="4980"/>
        </w:tabs>
        <w:kinsoku/>
        <w:wordWrap/>
        <w:overflowPunct/>
        <w:topLinePunct w:val="0"/>
        <w:autoSpaceDE/>
        <w:autoSpaceDN/>
        <w:bidi w:val="0"/>
        <w:adjustRightInd/>
        <w:snapToGrid/>
        <w:spacing w:after="157" w:afterLines="50" w:line="360" w:lineRule="auto"/>
        <w:ind w:left="-643" w:right="0" w:rightChars="0" w:firstLine="643"/>
        <w:jc w:val="both"/>
        <w:textAlignment w:val="auto"/>
        <w:outlineLvl w:val="1"/>
        <w:rPr>
          <w:rFonts w:hint="eastAsia" w:ascii="宋体" w:hAnsi="宋体" w:cs="宋体"/>
          <w:b/>
          <w:caps/>
          <w:kern w:val="0"/>
          <w:sz w:val="32"/>
          <w:szCs w:val="32"/>
          <w:lang w:val="en-US" w:eastAsia="zh-CN"/>
        </w:rPr>
      </w:pPr>
      <w:bookmarkStart w:id="10" w:name="_Toc2251"/>
      <w:r>
        <w:rPr>
          <w:rFonts w:hint="eastAsia" w:ascii="宋体" w:hAnsi="宋体" w:cs="宋体"/>
          <w:b/>
          <w:caps/>
          <w:kern w:val="0"/>
          <w:sz w:val="32"/>
          <w:szCs w:val="32"/>
          <w:lang w:val="en-US" w:eastAsia="zh-CN"/>
        </w:rPr>
        <w:t>应遵循的主要标准</w:t>
      </w:r>
    </w:p>
    <w:p>
      <w:pPr>
        <w:pStyle w:val="13"/>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420" w:leftChars="0" w:right="0" w:firstLine="0" w:firstLineChars="0"/>
        <w:jc w:val="left"/>
        <w:textAlignment w:val="baseline"/>
        <w:rPr>
          <w:rFonts w:hint="eastAsia" w:ascii="宋体" w:hAnsi="宋体" w:eastAsia="宋体" w:cs="Times New Roman"/>
          <w:i w:val="0"/>
          <w:iCs w:val="0"/>
          <w:caps w:val="0"/>
          <w:color w:val="auto"/>
          <w:spacing w:val="0"/>
          <w:kern w:val="2"/>
          <w:sz w:val="24"/>
          <w:szCs w:val="21"/>
          <w:u w:val="none"/>
          <w:vertAlign w:val="baseline"/>
          <w:lang w:bidi="ar-SA"/>
        </w:rPr>
      </w:pPr>
      <w:r>
        <w:rPr>
          <w:rFonts w:hint="eastAsia" w:ascii="宋体" w:hAnsi="宋体" w:eastAsia="宋体" w:cs="Times New Roman"/>
          <w:i w:val="0"/>
          <w:iCs w:val="0"/>
          <w:caps w:val="0"/>
          <w:color w:val="auto"/>
          <w:spacing w:val="0"/>
          <w:kern w:val="2"/>
          <w:sz w:val="24"/>
          <w:szCs w:val="21"/>
          <w:u w:val="none"/>
          <w:vertAlign w:val="baseline"/>
          <w:lang w:bidi="ar-SA"/>
        </w:rPr>
        <w:t>《南方电网数字电网集团有限公司项目管理办法》</w:t>
      </w:r>
    </w:p>
    <w:p>
      <w:pPr>
        <w:pStyle w:val="13"/>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420" w:leftChars="0" w:right="0" w:firstLine="0" w:firstLineChars="0"/>
        <w:jc w:val="left"/>
        <w:textAlignment w:val="baseline"/>
        <w:rPr>
          <w:rFonts w:hint="eastAsia" w:ascii="宋体" w:hAnsi="宋体" w:eastAsia="宋体" w:cs="Times New Roman"/>
          <w:i w:val="0"/>
          <w:iCs w:val="0"/>
          <w:caps w:val="0"/>
          <w:color w:val="auto"/>
          <w:spacing w:val="0"/>
          <w:kern w:val="2"/>
          <w:sz w:val="24"/>
          <w:szCs w:val="21"/>
          <w:u w:val="none"/>
          <w:vertAlign w:val="baseline"/>
          <w:lang w:bidi="ar-SA"/>
        </w:rPr>
      </w:pPr>
      <w:r>
        <w:rPr>
          <w:rFonts w:hint="eastAsia" w:ascii="宋体" w:hAnsi="宋体" w:eastAsia="宋体" w:cs="Times New Roman"/>
          <w:i w:val="0"/>
          <w:iCs w:val="0"/>
          <w:caps w:val="0"/>
          <w:color w:val="auto"/>
          <w:spacing w:val="0"/>
          <w:kern w:val="2"/>
          <w:sz w:val="24"/>
          <w:szCs w:val="21"/>
          <w:u w:val="none"/>
          <w:vertAlign w:val="baseline"/>
          <w:lang w:bidi="ar-SA"/>
        </w:rPr>
        <w:t>《安全防范工程技术标准》GB50348-2018</w:t>
      </w:r>
    </w:p>
    <w:p>
      <w:pPr>
        <w:pStyle w:val="13"/>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420" w:leftChars="0" w:right="0" w:firstLine="0" w:firstLineChars="0"/>
        <w:jc w:val="left"/>
        <w:textAlignment w:val="baseline"/>
        <w:rPr>
          <w:rFonts w:hint="eastAsia" w:ascii="宋体" w:hAnsi="宋体" w:eastAsia="宋体" w:cs="Times New Roman"/>
          <w:i w:val="0"/>
          <w:iCs w:val="0"/>
          <w:caps w:val="0"/>
          <w:color w:val="auto"/>
          <w:spacing w:val="0"/>
          <w:kern w:val="2"/>
          <w:sz w:val="24"/>
          <w:szCs w:val="21"/>
          <w:u w:val="none"/>
          <w:vertAlign w:val="baseline"/>
          <w:lang w:bidi="ar-SA"/>
        </w:rPr>
      </w:pPr>
      <w:r>
        <w:rPr>
          <w:rFonts w:hint="eastAsia" w:ascii="宋体" w:hAnsi="宋体" w:eastAsia="宋体" w:cs="Times New Roman"/>
          <w:i w:val="0"/>
          <w:iCs w:val="0"/>
          <w:caps w:val="0"/>
          <w:color w:val="auto"/>
          <w:spacing w:val="0"/>
          <w:kern w:val="2"/>
          <w:sz w:val="24"/>
          <w:szCs w:val="21"/>
          <w:u w:val="none"/>
          <w:vertAlign w:val="baseline"/>
          <w:lang w:bidi="ar-SA"/>
        </w:rPr>
        <w:t>安全防范工程通用规范》GB55029-2022</w:t>
      </w:r>
    </w:p>
    <w:p>
      <w:pPr>
        <w:pStyle w:val="13"/>
        <w:widowControl/>
        <w:numPr>
          <w:ilvl w:val="0"/>
          <w:numId w:val="4"/>
        </w:numPr>
        <w:pBdr>
          <w:top w:val="none" w:color="auto" w:sz="0" w:space="0"/>
          <w:left w:val="none" w:color="auto" w:sz="0" w:space="0"/>
          <w:bottom w:val="none" w:color="auto" w:sz="0" w:space="0"/>
          <w:right w:val="none" w:color="auto" w:sz="0" w:space="0"/>
        </w:pBdr>
        <w:spacing w:after="0" w:line="360" w:lineRule="auto"/>
        <w:ind w:left="420" w:firstLine="0"/>
        <w:jc w:val="left"/>
        <w:textAlignment w:val="baseline"/>
        <w:rPr>
          <w:rFonts w:hint="eastAsia" w:ascii="宋体" w:hAnsi="宋体" w:cs="Times New Roman"/>
          <w:b w:val="0"/>
          <w:caps w:val="0"/>
          <w:color w:val="auto"/>
          <w:kern w:val="2"/>
          <w:sz w:val="24"/>
          <w:szCs w:val="21"/>
          <w:lang w:val="en-US" w:eastAsia="zh-CN" w:bidi="ar-SA"/>
        </w:rPr>
      </w:pPr>
      <w:r>
        <w:rPr>
          <w:rFonts w:hint="eastAsia" w:ascii="宋体" w:hAnsi="宋体" w:eastAsia="宋体" w:cs="Times New Roman"/>
          <w:i w:val="0"/>
          <w:iCs w:val="0"/>
          <w:caps w:val="0"/>
          <w:color w:val="auto"/>
          <w:spacing w:val="0"/>
          <w:kern w:val="2"/>
          <w:sz w:val="24"/>
          <w:szCs w:val="21"/>
          <w:u w:val="none"/>
          <w:vertAlign w:val="baseline"/>
          <w:lang w:bidi="ar-SA"/>
        </w:rPr>
        <w:t>其它相关最新国家及行业规范和标准</w:t>
      </w:r>
    </w:p>
    <w:p>
      <w:pPr>
        <w:pStyle w:val="2"/>
        <w:numPr>
          <w:ilvl w:val="-1"/>
          <w:numId w:val="0"/>
        </w:numPr>
        <w:ind w:left="0" w:firstLine="0"/>
        <w:rPr>
          <w:rFonts w:hint="default"/>
          <w:lang w:val="en-US" w:eastAsia="zh-CN"/>
        </w:rPr>
      </w:pPr>
    </w:p>
    <w:p>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right="0" w:rightChars="0"/>
        <w:jc w:val="both"/>
        <w:textAlignment w:val="auto"/>
        <w:outlineLvl w:val="1"/>
        <w:rPr>
          <w:rFonts w:hint="eastAsia" w:ascii="宋体" w:hAnsi="宋体" w:eastAsia="宋体" w:cs="宋体"/>
          <w:b/>
          <w:caps/>
          <w:kern w:val="0"/>
          <w:sz w:val="21"/>
          <w:szCs w:val="21"/>
        </w:rPr>
      </w:pPr>
      <w:r>
        <w:rPr>
          <w:rFonts w:hint="eastAsia" w:ascii="宋体" w:hAnsi="宋体" w:cs="宋体"/>
          <w:b/>
          <w:caps/>
          <w:kern w:val="0"/>
          <w:sz w:val="32"/>
          <w:szCs w:val="32"/>
          <w:lang w:val="en-US" w:eastAsia="zh-CN"/>
        </w:rPr>
        <w:t>三、具体维修要求</w:t>
      </w:r>
      <w:bookmarkEnd w:id="10"/>
      <w:bookmarkStart w:id="11" w:name="_Toc2369"/>
    </w:p>
    <w:bookmarkEnd w:id="11"/>
    <w:p>
      <w:pPr>
        <w:keepNext w:val="0"/>
        <w:keepLines w:val="0"/>
        <w:pageBreakBefore w:val="0"/>
        <w:widowControl w:val="0"/>
        <w:kinsoku/>
        <w:wordWrap/>
        <w:overflowPunct/>
        <w:topLinePunct w:val="0"/>
        <w:autoSpaceDE/>
        <w:autoSpaceDN/>
        <w:bidi w:val="0"/>
        <w:adjustRightInd/>
        <w:snapToGrid/>
        <w:spacing w:after="156" w:afterLines="50" w:line="360" w:lineRule="auto"/>
        <w:ind w:firstLine="480" w:firstLineChars="200"/>
        <w:textAlignment w:val="auto"/>
        <w:rPr>
          <w:rFonts w:hint="default" w:ascii="宋体" w:hAnsi="宋体" w:eastAsia="宋体" w:cs="宋体"/>
          <w:caps/>
          <w:kern w:val="0"/>
          <w:sz w:val="24"/>
          <w:szCs w:val="24"/>
          <w:highlight w:val="none"/>
          <w:lang w:val="en-US" w:eastAsia="zh-CN"/>
        </w:rPr>
      </w:pPr>
      <w:r>
        <w:rPr>
          <w:rFonts w:hint="eastAsia" w:ascii="宋体" w:hAnsi="宋体" w:eastAsia="宋体" w:cs="宋体"/>
          <w:caps/>
          <w:kern w:val="0"/>
          <w:sz w:val="24"/>
          <w:szCs w:val="24"/>
          <w:highlight w:val="none"/>
          <w:lang w:val="en-US" w:eastAsia="zh-CN"/>
        </w:rPr>
        <w:t>1.</w:t>
      </w:r>
      <w:r>
        <w:rPr>
          <w:rFonts w:hint="eastAsia" w:ascii="宋体" w:hAnsi="宋体" w:cs="宋体"/>
          <w:caps/>
          <w:kern w:val="0"/>
          <w:sz w:val="24"/>
          <w:szCs w:val="24"/>
          <w:highlight w:val="none"/>
          <w:lang w:val="en-US" w:eastAsia="zh-CN"/>
        </w:rPr>
        <w:t>建筑</w:t>
      </w:r>
      <w:r>
        <w:rPr>
          <w:rFonts w:hint="eastAsia" w:ascii="宋体" w:hAnsi="宋体" w:eastAsia="宋体" w:cs="宋体"/>
          <w:caps/>
          <w:kern w:val="0"/>
          <w:sz w:val="24"/>
          <w:szCs w:val="24"/>
          <w:highlight w:val="none"/>
          <w:lang w:val="en-US" w:eastAsia="zh-CN"/>
        </w:rPr>
        <w:t>顶面</w:t>
      </w:r>
      <w:r>
        <w:rPr>
          <w:rFonts w:hint="eastAsia" w:ascii="宋体" w:hAnsi="宋体" w:cs="宋体"/>
          <w:caps/>
          <w:kern w:val="0"/>
          <w:sz w:val="24"/>
          <w:szCs w:val="24"/>
          <w:highlight w:val="none"/>
          <w:lang w:val="en-US" w:eastAsia="zh-CN"/>
        </w:rPr>
        <w:t>修复</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480" w:firstLineChars="200"/>
        <w:textAlignment w:val="auto"/>
        <w:rPr>
          <w:rFonts w:hint="default" w:ascii="宋体" w:hAnsi="宋体" w:cs="宋体"/>
          <w:caps/>
          <w:kern w:val="0"/>
          <w:sz w:val="24"/>
          <w:szCs w:val="24"/>
          <w:highlight w:val="none"/>
          <w:lang w:val="en-US" w:eastAsia="zh-CN"/>
        </w:rPr>
      </w:pPr>
      <w:r>
        <w:rPr>
          <w:rFonts w:hint="eastAsia" w:ascii="宋体" w:hAnsi="宋体" w:cs="宋体"/>
          <w:caps/>
          <w:kern w:val="0"/>
          <w:sz w:val="24"/>
          <w:szCs w:val="24"/>
          <w:highlight w:val="none"/>
          <w:lang w:val="en-US" w:eastAsia="zh-CN"/>
        </w:rPr>
        <w:t>修复屋面的破损缺陷，破损面约0.09平米。破损屋面照片如下:</w:t>
      </w:r>
    </w:p>
    <w:p>
      <w:pPr>
        <w:pStyle w:val="2"/>
        <w:jc w:val="center"/>
        <w:rPr>
          <w:rFonts w:hint="default"/>
          <w:lang w:val="en-US" w:eastAsia="zh-CN"/>
        </w:rPr>
      </w:pPr>
      <w:r>
        <w:rPr>
          <w:rFonts w:hint="default"/>
          <w:lang w:val="en-US" w:eastAsia="zh-CN"/>
        </w:rPr>
        <w:drawing>
          <wp:inline distT="0" distB="0" distL="114300" distR="114300">
            <wp:extent cx="4315460" cy="3237230"/>
            <wp:effectExtent l="0" t="0" r="8890" b="1270"/>
            <wp:docPr id="1" name="图片 1" descr="871045727737425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71045727737425782"/>
                    <pic:cNvPicPr>
                      <a:picLocks noChangeAspect="1"/>
                    </pic:cNvPicPr>
                  </pic:nvPicPr>
                  <pic:blipFill>
                    <a:blip r:embed="rId6"/>
                    <a:stretch>
                      <a:fillRect/>
                    </a:stretch>
                  </pic:blipFill>
                  <pic:spPr>
                    <a:xfrm>
                      <a:off x="0" y="0"/>
                      <a:ext cx="4315460" cy="323723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480" w:firstLineChars="200"/>
        <w:textAlignment w:val="auto"/>
        <w:rPr>
          <w:rFonts w:hint="eastAsia" w:ascii="宋体" w:hAnsi="宋体" w:eastAsia="宋体" w:cs="宋体"/>
          <w:caps/>
          <w:kern w:val="0"/>
          <w:sz w:val="24"/>
          <w:szCs w:val="24"/>
          <w:highlight w:val="none"/>
          <w:lang w:val="en-US" w:eastAsia="zh-CN"/>
        </w:rPr>
      </w:pPr>
      <w:r>
        <w:rPr>
          <w:rFonts w:hint="eastAsia" w:ascii="宋体" w:hAnsi="宋体" w:eastAsia="宋体" w:cs="宋体"/>
          <w:caps/>
          <w:kern w:val="0"/>
          <w:sz w:val="24"/>
          <w:szCs w:val="24"/>
          <w:highlight w:val="none"/>
          <w:lang w:val="en-US" w:eastAsia="zh-CN"/>
        </w:rPr>
        <w:t>2.</w:t>
      </w:r>
      <w:r>
        <w:rPr>
          <w:rFonts w:hint="eastAsia" w:ascii="宋体" w:hAnsi="宋体" w:cs="Times New Roman"/>
          <w:color w:val="auto"/>
          <w:sz w:val="24"/>
          <w:szCs w:val="21"/>
          <w:lang w:val="en-US" w:eastAsia="zh-CN"/>
        </w:rPr>
        <w:t>办公室家具移位与拆摆</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480" w:firstLineChars="200"/>
        <w:textAlignment w:val="auto"/>
        <w:rPr>
          <w:rFonts w:hint="eastAsia" w:ascii="宋体" w:hAnsi="宋体" w:eastAsia="宋体" w:cs="宋体"/>
          <w:caps/>
          <w:kern w:val="0"/>
          <w:sz w:val="24"/>
          <w:szCs w:val="24"/>
          <w:highlight w:val="none"/>
          <w:lang w:val="en-US" w:eastAsia="zh-CN"/>
        </w:rPr>
      </w:pPr>
      <w:r>
        <w:rPr>
          <w:rFonts w:hint="eastAsia" w:ascii="宋体" w:hAnsi="宋体" w:eastAsia="宋体" w:cs="宋体"/>
          <w:caps/>
          <w:kern w:val="0"/>
          <w:sz w:val="24"/>
          <w:szCs w:val="24"/>
          <w:highlight w:val="none"/>
          <w:lang w:val="en-US" w:eastAsia="zh-CN"/>
        </w:rPr>
        <w:t>拆除</w:t>
      </w:r>
      <w:r>
        <w:rPr>
          <w:rFonts w:hint="eastAsia" w:ascii="宋体" w:hAnsi="宋体" w:cs="宋体"/>
          <w:caps/>
          <w:kern w:val="0"/>
          <w:sz w:val="24"/>
          <w:szCs w:val="24"/>
          <w:highlight w:val="none"/>
          <w:lang w:val="en-US" w:eastAsia="zh-CN"/>
        </w:rPr>
        <w:t>和移动办公柜、办公桌、办公椅等其他家具物品至指定位置</w:t>
      </w:r>
      <w:r>
        <w:rPr>
          <w:rFonts w:hint="eastAsia" w:ascii="宋体" w:hAnsi="宋体" w:eastAsia="宋体" w:cs="宋体"/>
          <w:caps/>
          <w:kern w:val="0"/>
          <w:sz w:val="24"/>
          <w:szCs w:val="24"/>
          <w:highlight w:val="none"/>
          <w:lang w:val="en-US" w:eastAsia="zh-CN"/>
        </w:rPr>
        <w:t>。</w:t>
      </w:r>
    </w:p>
    <w:p>
      <w:pPr>
        <w:pStyle w:val="2"/>
        <w:numPr>
          <w:ilvl w:val="0"/>
          <w:numId w:val="0"/>
        </w:numPr>
        <w:bidi w:val="0"/>
        <w:ind w:firstLine="480" w:firstLineChars="200"/>
        <w:rPr>
          <w:rFonts w:hint="eastAsia" w:ascii="宋体" w:hAnsi="宋体" w:cs="宋体"/>
          <w:caps/>
          <w:kern w:val="0"/>
          <w:sz w:val="24"/>
          <w:szCs w:val="24"/>
          <w:highlight w:val="none"/>
          <w:lang w:val="en-US" w:eastAsia="zh-CN" w:bidi="ar-SA"/>
        </w:rPr>
      </w:pPr>
      <w:r>
        <w:rPr>
          <w:rFonts w:hint="eastAsia" w:ascii="宋体" w:hAnsi="宋体" w:cs="宋体"/>
          <w:caps/>
          <w:kern w:val="0"/>
          <w:sz w:val="24"/>
          <w:szCs w:val="24"/>
          <w:highlight w:val="none"/>
          <w:lang w:val="en-US" w:eastAsia="zh-CN"/>
        </w:rPr>
        <w:t>3</w:t>
      </w:r>
      <w:r>
        <w:rPr>
          <w:rFonts w:hint="eastAsia" w:ascii="宋体" w:hAnsi="宋体" w:eastAsia="宋体" w:cs="宋体"/>
          <w:caps/>
          <w:kern w:val="0"/>
          <w:sz w:val="24"/>
          <w:szCs w:val="24"/>
          <w:highlight w:val="none"/>
          <w:lang w:val="en-US" w:eastAsia="zh-CN"/>
        </w:rPr>
        <w:t>.</w:t>
      </w:r>
      <w:r>
        <w:rPr>
          <w:rFonts w:hint="eastAsia" w:ascii="宋体" w:hAnsi="宋体" w:cs="宋体"/>
          <w:caps/>
          <w:kern w:val="0"/>
          <w:sz w:val="24"/>
          <w:szCs w:val="24"/>
          <w:highlight w:val="none"/>
          <w:lang w:val="en-US" w:eastAsia="zh-CN" w:bidi="ar-SA"/>
        </w:rPr>
        <w:t>专用门更换</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480" w:firstLineChars="200"/>
        <w:textAlignment w:val="auto"/>
        <w:rPr>
          <w:rFonts w:hint="eastAsia" w:ascii="宋体" w:hAnsi="宋体" w:eastAsia="宋体" w:cs="宋体"/>
          <w:caps/>
          <w:kern w:val="0"/>
          <w:sz w:val="24"/>
          <w:szCs w:val="24"/>
          <w:highlight w:val="none"/>
          <w:lang w:val="en-US" w:eastAsia="zh-CN"/>
        </w:rPr>
      </w:pPr>
      <w:r>
        <w:rPr>
          <w:rFonts w:hint="eastAsia" w:ascii="宋体" w:hAnsi="宋体" w:cs="宋体"/>
          <w:caps/>
          <w:kern w:val="0"/>
          <w:sz w:val="24"/>
          <w:szCs w:val="24"/>
          <w:highlight w:val="none"/>
          <w:lang w:val="en-US" w:eastAsia="zh-CN"/>
        </w:rPr>
        <w:t>（1）</w:t>
      </w:r>
      <w:r>
        <w:rPr>
          <w:rFonts w:hint="eastAsia" w:ascii="宋体" w:hAnsi="宋体" w:eastAsia="宋体" w:cs="宋体"/>
          <w:caps/>
          <w:kern w:val="0"/>
          <w:sz w:val="24"/>
          <w:szCs w:val="24"/>
          <w:highlight w:val="none"/>
          <w:lang w:val="en-US" w:eastAsia="zh-CN"/>
        </w:rPr>
        <w:t>拆除旧门及门框；</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480" w:firstLineChars="200"/>
        <w:textAlignment w:val="auto"/>
        <w:rPr>
          <w:rFonts w:hint="default"/>
          <w:lang w:val="en-US" w:eastAsia="zh-CN"/>
        </w:rPr>
      </w:pPr>
      <w:r>
        <w:rPr>
          <w:rFonts w:hint="eastAsia" w:ascii="宋体" w:hAnsi="宋体" w:cs="宋体"/>
          <w:caps/>
          <w:kern w:val="0"/>
          <w:sz w:val="24"/>
          <w:szCs w:val="24"/>
          <w:highlight w:val="none"/>
          <w:lang w:val="en-US" w:eastAsia="zh-CN"/>
        </w:rPr>
        <w:t>（2）</w:t>
      </w:r>
      <w:r>
        <w:rPr>
          <w:rFonts w:hint="eastAsia" w:ascii="宋体" w:hAnsi="宋体" w:eastAsia="宋体" w:cs="宋体"/>
          <w:caps/>
          <w:kern w:val="0"/>
          <w:sz w:val="24"/>
          <w:szCs w:val="24"/>
          <w:highlight w:val="none"/>
          <w:lang w:val="en-US" w:eastAsia="zh-CN"/>
        </w:rPr>
        <w:t>安装符合</w:t>
      </w:r>
      <w:r>
        <w:rPr>
          <w:rFonts w:hint="eastAsia" w:ascii="宋体" w:hAnsi="宋体" w:cs="宋体"/>
          <w:caps/>
          <w:kern w:val="0"/>
          <w:sz w:val="24"/>
          <w:szCs w:val="24"/>
          <w:highlight w:val="none"/>
          <w:lang w:val="en-US" w:eastAsia="zh-CN"/>
        </w:rPr>
        <w:t>GB17565国标，具备甲级/乙级防盗、机械锁和人脸锁（密码锁）双重解锁功能，含自动闭门器的防盗门</w:t>
      </w:r>
      <w:r>
        <w:rPr>
          <w:rFonts w:hint="eastAsia" w:ascii="宋体" w:hAnsi="宋体" w:eastAsia="宋体" w:cs="宋体"/>
          <w:caps/>
          <w:kern w:val="0"/>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480" w:firstLineChars="200"/>
        <w:textAlignment w:val="auto"/>
        <w:rPr>
          <w:rFonts w:hint="default" w:ascii="宋体" w:hAnsi="宋体" w:eastAsia="宋体" w:cs="宋体"/>
          <w:caps/>
          <w:kern w:val="0"/>
          <w:sz w:val="24"/>
          <w:szCs w:val="24"/>
          <w:highlight w:val="none"/>
          <w:lang w:val="en-US" w:eastAsia="zh-CN"/>
        </w:rPr>
      </w:pPr>
      <w:r>
        <w:rPr>
          <w:rFonts w:hint="eastAsia" w:ascii="宋体" w:hAnsi="宋体" w:cs="宋体"/>
          <w:caps/>
          <w:kern w:val="0"/>
          <w:sz w:val="24"/>
          <w:szCs w:val="24"/>
          <w:highlight w:val="none"/>
          <w:lang w:val="en-US" w:eastAsia="zh-CN"/>
        </w:rPr>
        <w:t>4</w:t>
      </w:r>
      <w:r>
        <w:rPr>
          <w:rFonts w:hint="eastAsia" w:ascii="宋体" w:hAnsi="宋体" w:eastAsia="宋体" w:cs="宋体"/>
          <w:caps/>
          <w:kern w:val="0"/>
          <w:sz w:val="24"/>
          <w:szCs w:val="24"/>
          <w:highlight w:val="none"/>
          <w:lang w:val="en-US" w:eastAsia="zh-CN"/>
        </w:rPr>
        <w:t>.办公</w:t>
      </w:r>
      <w:r>
        <w:rPr>
          <w:rFonts w:hint="eastAsia" w:ascii="宋体" w:hAnsi="宋体" w:cs="宋体"/>
          <w:caps/>
          <w:kern w:val="0"/>
          <w:sz w:val="24"/>
          <w:szCs w:val="24"/>
          <w:highlight w:val="none"/>
          <w:lang w:val="en-US" w:eastAsia="zh-CN"/>
        </w:rPr>
        <w:t>区域设施维修</w:t>
      </w:r>
    </w:p>
    <w:p>
      <w:pPr>
        <w:pStyle w:val="2"/>
        <w:keepNext w:val="0"/>
        <w:keepLines w:val="0"/>
        <w:pageBreakBefore w:val="0"/>
        <w:widowControl w:val="0"/>
        <w:kinsoku/>
        <w:wordWrap/>
        <w:overflowPunct/>
        <w:topLinePunct w:val="0"/>
        <w:autoSpaceDE/>
        <w:autoSpaceDN/>
        <w:bidi w:val="0"/>
        <w:adjustRightInd/>
        <w:snapToGrid/>
        <w:spacing w:after="157" w:afterLines="50" w:line="360" w:lineRule="auto"/>
        <w:ind w:firstLine="480" w:firstLineChars="200"/>
        <w:textAlignment w:val="auto"/>
        <w:rPr>
          <w:rFonts w:hint="eastAsia" w:ascii="宋体" w:hAnsi="宋体" w:eastAsia="宋体" w:cs="宋体"/>
          <w:caps/>
          <w:kern w:val="0"/>
          <w:sz w:val="24"/>
          <w:szCs w:val="24"/>
          <w:highlight w:val="none"/>
          <w:lang w:val="en-US" w:eastAsia="zh-CN"/>
        </w:rPr>
      </w:pPr>
      <w:r>
        <w:rPr>
          <w:rFonts w:hint="eastAsia" w:ascii="宋体" w:hAnsi="宋体" w:cs="宋体"/>
          <w:caps/>
          <w:kern w:val="0"/>
          <w:sz w:val="24"/>
          <w:szCs w:val="24"/>
          <w:highlight w:val="none"/>
          <w:lang w:val="en-US" w:eastAsia="zh-CN"/>
        </w:rPr>
        <w:t>更换故障灯管、破损灯罩，修复灯具松动、线路接触不良等隐患</w:t>
      </w:r>
      <w:r>
        <w:rPr>
          <w:rFonts w:hint="eastAsia" w:ascii="宋体" w:hAnsi="宋体" w:eastAsia="宋体" w:cs="宋体"/>
          <w:caps/>
          <w:kern w:val="0"/>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156" w:afterLines="50" w:line="360" w:lineRule="auto"/>
        <w:ind w:firstLine="480" w:firstLineChars="200"/>
        <w:textAlignment w:val="auto"/>
        <w:rPr>
          <w:rFonts w:hint="default"/>
          <w:lang w:val="en-US" w:eastAsia="zh-CN"/>
        </w:rPr>
      </w:pPr>
      <w:r>
        <w:rPr>
          <w:rFonts w:hint="eastAsia" w:ascii="宋体" w:hAnsi="宋体" w:cs="宋体"/>
          <w:caps/>
          <w:kern w:val="0"/>
          <w:sz w:val="24"/>
          <w:szCs w:val="24"/>
          <w:highlight w:val="none"/>
          <w:lang w:val="en-US" w:eastAsia="zh-CN"/>
        </w:rPr>
        <w:t>5.指定位置加装防盗护栏</w:t>
      </w:r>
    </w:p>
    <w:p>
      <w:pPr>
        <w:pStyle w:val="2"/>
        <w:keepNext w:val="0"/>
        <w:keepLines w:val="0"/>
        <w:pageBreakBefore w:val="0"/>
        <w:widowControl w:val="0"/>
        <w:kinsoku/>
        <w:wordWrap/>
        <w:overflowPunct/>
        <w:topLinePunct w:val="0"/>
        <w:autoSpaceDE/>
        <w:autoSpaceDN/>
        <w:bidi w:val="0"/>
        <w:adjustRightInd/>
        <w:snapToGrid/>
        <w:spacing w:after="157" w:afterLines="50" w:line="360" w:lineRule="auto"/>
        <w:ind w:firstLine="480" w:firstLineChars="200"/>
        <w:textAlignment w:val="auto"/>
        <w:rPr>
          <w:rFonts w:hint="eastAsia" w:ascii="宋体" w:hAnsi="宋体" w:eastAsia="宋体" w:cs="宋体"/>
          <w:caps/>
          <w:kern w:val="0"/>
          <w:sz w:val="24"/>
          <w:szCs w:val="24"/>
          <w:highlight w:val="none"/>
          <w:lang w:val="en-US" w:eastAsia="zh-CN"/>
        </w:rPr>
      </w:pPr>
      <w:r>
        <w:rPr>
          <w:rFonts w:hint="eastAsia" w:ascii="宋体" w:hAnsi="宋体" w:eastAsia="宋体" w:cs="宋体"/>
          <w:caps/>
          <w:kern w:val="0"/>
          <w:sz w:val="24"/>
          <w:szCs w:val="24"/>
          <w:highlight w:val="none"/>
          <w:lang w:val="en-US" w:eastAsia="zh-CN"/>
        </w:rPr>
        <w:t>在指定窗户加装不锈钢材质的防盗护栏，共5扇窗户。</w:t>
      </w:r>
    </w:p>
    <w:p>
      <w:pPr>
        <w:pStyle w:val="2"/>
        <w:bidi w:val="0"/>
        <w:jc w:val="center"/>
        <w:rPr>
          <w:rFonts w:hint="default"/>
          <w:lang w:val="en-US" w:eastAsia="zh-CN"/>
        </w:rPr>
      </w:pPr>
      <w:r>
        <w:rPr>
          <w:rFonts w:hint="default"/>
          <w:lang w:val="en-US" w:eastAsia="zh-CN"/>
        </w:rPr>
        <w:drawing>
          <wp:inline distT="0" distB="0" distL="114300" distR="114300">
            <wp:extent cx="4140200" cy="4807585"/>
            <wp:effectExtent l="0" t="0" r="12700" b="12065"/>
            <wp:docPr id="3" name="图片 3" descr="3007332768790335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3007332768790335574"/>
                    <pic:cNvPicPr>
                      <a:picLocks noChangeAspect="1"/>
                    </pic:cNvPicPr>
                  </pic:nvPicPr>
                  <pic:blipFill>
                    <a:blip r:embed="rId7"/>
                    <a:srcRect t="13073" r="169"/>
                    <a:stretch>
                      <a:fillRect/>
                    </a:stretch>
                  </pic:blipFill>
                  <pic:spPr>
                    <a:xfrm>
                      <a:off x="0" y="0"/>
                      <a:ext cx="4140200" cy="480758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after="156" w:afterLines="50" w:line="360" w:lineRule="auto"/>
        <w:ind w:firstLine="480" w:firstLineChars="200"/>
        <w:textAlignment w:val="auto"/>
        <w:rPr>
          <w:rFonts w:hint="default"/>
          <w:lang w:val="en-US" w:eastAsia="zh-CN"/>
        </w:rPr>
      </w:pPr>
      <w:r>
        <w:rPr>
          <w:rFonts w:hint="eastAsia" w:ascii="宋体" w:hAnsi="宋体" w:cs="宋体"/>
          <w:caps/>
          <w:kern w:val="0"/>
          <w:sz w:val="24"/>
          <w:szCs w:val="24"/>
          <w:highlight w:val="none"/>
          <w:lang w:val="en-US" w:eastAsia="zh-CN"/>
        </w:rPr>
        <w:t>6.会议设备安装及接线</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480" w:firstLineChars="200"/>
        <w:textAlignment w:val="auto"/>
        <w:rPr>
          <w:rFonts w:hint="eastAsia" w:ascii="宋体" w:hAnsi="宋体" w:cs="宋体"/>
          <w:caps/>
          <w:kern w:val="0"/>
          <w:sz w:val="24"/>
          <w:szCs w:val="24"/>
          <w:highlight w:val="none"/>
          <w:lang w:val="en-US" w:eastAsia="zh-CN"/>
        </w:rPr>
      </w:pPr>
      <w:r>
        <w:rPr>
          <w:rFonts w:hint="eastAsia" w:ascii="宋体" w:hAnsi="宋体" w:cs="宋体"/>
          <w:caps/>
          <w:kern w:val="0"/>
          <w:sz w:val="24"/>
          <w:szCs w:val="24"/>
          <w:highlight w:val="none"/>
          <w:lang w:val="en-US" w:eastAsia="zh-CN"/>
        </w:rPr>
        <w:t>安装会议设备至指定位置，并按要求布线。</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480" w:firstLineChars="200"/>
        <w:textAlignment w:val="auto"/>
        <w:rPr>
          <w:rFonts w:hint="default" w:ascii="宋体" w:hAnsi="宋体" w:eastAsia="宋体" w:cs="宋体"/>
          <w:caps/>
          <w:kern w:val="0"/>
          <w:sz w:val="24"/>
          <w:szCs w:val="24"/>
          <w:highlight w:val="none"/>
          <w:lang w:val="en-US" w:eastAsia="zh-CN"/>
        </w:rPr>
      </w:pPr>
      <w:r>
        <w:rPr>
          <w:rFonts w:hint="eastAsia" w:ascii="宋体" w:hAnsi="宋体" w:cs="宋体"/>
          <w:caps/>
          <w:kern w:val="0"/>
          <w:sz w:val="24"/>
          <w:szCs w:val="24"/>
          <w:highlight w:val="none"/>
          <w:lang w:val="en-US" w:eastAsia="zh-CN"/>
        </w:rPr>
        <w:t>7</w:t>
      </w:r>
      <w:r>
        <w:rPr>
          <w:rFonts w:hint="eastAsia" w:ascii="宋体" w:hAnsi="宋体" w:eastAsia="宋体" w:cs="宋体"/>
          <w:caps/>
          <w:kern w:val="0"/>
          <w:sz w:val="24"/>
          <w:szCs w:val="24"/>
          <w:highlight w:val="none"/>
          <w:lang w:val="en-US" w:eastAsia="zh-CN"/>
        </w:rPr>
        <w:t>.维修材料</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480" w:firstLineChars="200"/>
        <w:textAlignment w:val="auto"/>
        <w:rPr>
          <w:rFonts w:hint="eastAsia" w:ascii="宋体" w:hAnsi="宋体" w:eastAsia="宋体" w:cs="宋体"/>
          <w:caps/>
          <w:kern w:val="0"/>
          <w:sz w:val="24"/>
          <w:szCs w:val="24"/>
          <w:highlight w:val="none"/>
          <w:lang w:val="en-US" w:eastAsia="zh-CN"/>
        </w:rPr>
      </w:pPr>
      <w:r>
        <w:rPr>
          <w:rFonts w:hint="eastAsia" w:ascii="宋体" w:hAnsi="宋体" w:cs="宋体"/>
          <w:caps/>
          <w:kern w:val="0"/>
          <w:sz w:val="24"/>
          <w:szCs w:val="24"/>
          <w:highlight w:val="none"/>
          <w:lang w:val="en-US" w:eastAsia="zh-CN"/>
        </w:rPr>
        <w:t>7</w:t>
      </w:r>
      <w:r>
        <w:rPr>
          <w:rFonts w:hint="eastAsia" w:ascii="宋体" w:hAnsi="宋体" w:eastAsia="宋体" w:cs="宋体"/>
          <w:caps/>
          <w:kern w:val="0"/>
          <w:sz w:val="24"/>
          <w:szCs w:val="24"/>
          <w:highlight w:val="none"/>
          <w:lang w:val="en-US" w:eastAsia="zh-CN"/>
        </w:rPr>
        <w:t>.1</w:t>
      </w:r>
      <w:r>
        <w:rPr>
          <w:rFonts w:hint="eastAsia" w:ascii="宋体" w:hAnsi="宋体" w:cs="宋体"/>
          <w:caps/>
          <w:kern w:val="0"/>
          <w:sz w:val="24"/>
          <w:szCs w:val="24"/>
          <w:highlight w:val="none"/>
          <w:lang w:val="en-US" w:eastAsia="zh-CN"/>
        </w:rPr>
        <w:t>投标</w:t>
      </w:r>
      <w:r>
        <w:rPr>
          <w:rFonts w:hint="eastAsia" w:ascii="宋体" w:hAnsi="宋体" w:eastAsia="宋体" w:cs="宋体"/>
          <w:caps/>
          <w:kern w:val="0"/>
          <w:sz w:val="24"/>
          <w:szCs w:val="24"/>
          <w:highlight w:val="none"/>
          <w:lang w:val="en-US" w:eastAsia="zh-CN"/>
        </w:rPr>
        <w:t>人负责提供的维修材料必须符合国家最新规范要求及技术指标要求。</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480" w:firstLineChars="200"/>
        <w:textAlignment w:val="auto"/>
        <w:rPr>
          <w:rFonts w:hint="eastAsia" w:ascii="宋体" w:hAnsi="宋体" w:eastAsia="宋体" w:cs="宋体"/>
          <w:caps/>
          <w:kern w:val="0"/>
          <w:sz w:val="24"/>
          <w:szCs w:val="24"/>
          <w:highlight w:val="none"/>
          <w:lang w:val="en-US" w:eastAsia="zh-CN"/>
        </w:rPr>
      </w:pPr>
      <w:r>
        <w:rPr>
          <w:rFonts w:hint="eastAsia" w:ascii="宋体" w:hAnsi="宋体" w:cs="宋体"/>
          <w:caps/>
          <w:kern w:val="0"/>
          <w:sz w:val="24"/>
          <w:szCs w:val="24"/>
          <w:highlight w:val="none"/>
          <w:lang w:val="en-US" w:eastAsia="zh-CN"/>
        </w:rPr>
        <w:t>7</w:t>
      </w:r>
      <w:r>
        <w:rPr>
          <w:rFonts w:hint="eastAsia" w:ascii="宋体" w:hAnsi="宋体" w:eastAsia="宋体" w:cs="宋体"/>
          <w:caps/>
          <w:kern w:val="0"/>
          <w:sz w:val="24"/>
          <w:szCs w:val="24"/>
          <w:highlight w:val="none"/>
          <w:lang w:val="en-US" w:eastAsia="zh-CN"/>
        </w:rPr>
        <w:t>.2</w:t>
      </w:r>
      <w:r>
        <w:rPr>
          <w:rFonts w:hint="eastAsia" w:ascii="宋体" w:hAnsi="宋体" w:cs="宋体"/>
          <w:caps/>
          <w:kern w:val="0"/>
          <w:sz w:val="24"/>
          <w:szCs w:val="24"/>
          <w:highlight w:val="none"/>
          <w:lang w:val="en-US" w:eastAsia="zh-CN"/>
        </w:rPr>
        <w:t>投标</w:t>
      </w:r>
      <w:r>
        <w:rPr>
          <w:rFonts w:hint="eastAsia" w:ascii="宋体" w:hAnsi="宋体" w:eastAsia="宋体" w:cs="宋体"/>
          <w:caps/>
          <w:kern w:val="0"/>
          <w:sz w:val="24"/>
          <w:szCs w:val="24"/>
          <w:highlight w:val="none"/>
          <w:lang w:val="en-US" w:eastAsia="zh-CN"/>
        </w:rPr>
        <w:t>人在维修过程中，</w:t>
      </w:r>
      <w:r>
        <w:rPr>
          <w:rFonts w:hint="eastAsia" w:ascii="宋体" w:hAnsi="宋体" w:cs="宋体"/>
          <w:caps/>
          <w:kern w:val="0"/>
          <w:sz w:val="24"/>
          <w:szCs w:val="24"/>
          <w:highlight w:val="none"/>
          <w:lang w:val="en-US" w:eastAsia="zh-CN"/>
        </w:rPr>
        <w:t>购买</w:t>
      </w:r>
      <w:r>
        <w:rPr>
          <w:rFonts w:hint="eastAsia" w:ascii="宋体" w:hAnsi="宋体" w:eastAsia="宋体" w:cs="宋体"/>
          <w:caps/>
          <w:kern w:val="0"/>
          <w:sz w:val="24"/>
          <w:szCs w:val="24"/>
          <w:highlight w:val="none"/>
          <w:lang w:val="en-US" w:eastAsia="zh-CN"/>
        </w:rPr>
        <w:t>主要维修材料须经采购人同意。</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480" w:firstLineChars="200"/>
        <w:textAlignment w:val="auto"/>
        <w:rPr>
          <w:rFonts w:hint="eastAsia" w:ascii="宋体" w:hAnsi="宋体" w:eastAsia="宋体" w:cs="宋体"/>
          <w:caps/>
          <w:kern w:val="0"/>
          <w:sz w:val="24"/>
          <w:szCs w:val="24"/>
          <w:highlight w:val="none"/>
          <w:lang w:val="en-US" w:eastAsia="zh-CN"/>
        </w:rPr>
      </w:pPr>
      <w:r>
        <w:rPr>
          <w:rFonts w:hint="eastAsia" w:ascii="宋体" w:hAnsi="宋体" w:cs="宋体"/>
          <w:caps/>
          <w:kern w:val="0"/>
          <w:sz w:val="24"/>
          <w:szCs w:val="24"/>
          <w:highlight w:val="none"/>
          <w:lang w:val="en-US" w:eastAsia="zh-CN"/>
        </w:rPr>
        <w:t>7</w:t>
      </w:r>
      <w:r>
        <w:rPr>
          <w:rFonts w:hint="eastAsia" w:ascii="宋体" w:hAnsi="宋体" w:eastAsia="宋体" w:cs="宋体"/>
          <w:caps/>
          <w:kern w:val="0"/>
          <w:sz w:val="24"/>
          <w:szCs w:val="24"/>
          <w:highlight w:val="none"/>
          <w:lang w:val="en-US" w:eastAsia="zh-CN"/>
        </w:rPr>
        <w:t>.3采购人有权根据维修实际情况变更维修数量以及变更</w:t>
      </w:r>
      <w:r>
        <w:rPr>
          <w:rFonts w:hint="eastAsia" w:ascii="宋体" w:hAnsi="宋体" w:cs="宋体"/>
          <w:caps/>
          <w:kern w:val="0"/>
          <w:sz w:val="24"/>
          <w:szCs w:val="24"/>
          <w:highlight w:val="none"/>
          <w:lang w:val="en-US" w:eastAsia="zh-CN"/>
        </w:rPr>
        <w:t>投标</w:t>
      </w:r>
      <w:r>
        <w:rPr>
          <w:rFonts w:hint="eastAsia" w:ascii="宋体" w:hAnsi="宋体" w:eastAsia="宋体" w:cs="宋体"/>
          <w:caps/>
          <w:kern w:val="0"/>
          <w:sz w:val="24"/>
          <w:szCs w:val="24"/>
          <w:highlight w:val="none"/>
          <w:lang w:val="en-US" w:eastAsia="zh-CN"/>
        </w:rPr>
        <w:t>人采购的主要维修材料的范围。</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480" w:firstLineChars="200"/>
        <w:textAlignment w:val="auto"/>
        <w:rPr>
          <w:rFonts w:hint="eastAsia" w:ascii="宋体" w:hAnsi="宋体" w:eastAsia="宋体" w:cs="宋体"/>
          <w:caps/>
          <w:kern w:val="0"/>
          <w:sz w:val="24"/>
          <w:szCs w:val="24"/>
          <w:highlight w:val="none"/>
          <w:lang w:val="en-US" w:eastAsia="zh-CN"/>
        </w:rPr>
      </w:pPr>
      <w:r>
        <w:rPr>
          <w:rFonts w:hint="eastAsia" w:ascii="宋体" w:hAnsi="宋体" w:cs="宋体"/>
          <w:caps/>
          <w:kern w:val="0"/>
          <w:sz w:val="24"/>
          <w:szCs w:val="24"/>
          <w:highlight w:val="none"/>
          <w:lang w:val="en-US" w:eastAsia="zh-CN"/>
        </w:rPr>
        <w:t>7</w:t>
      </w:r>
      <w:r>
        <w:rPr>
          <w:rFonts w:hint="eastAsia" w:ascii="宋体" w:hAnsi="宋体" w:eastAsia="宋体" w:cs="宋体"/>
          <w:caps/>
          <w:kern w:val="0"/>
          <w:sz w:val="24"/>
          <w:szCs w:val="24"/>
          <w:highlight w:val="none"/>
          <w:lang w:val="en-US" w:eastAsia="zh-CN"/>
        </w:rPr>
        <w:t>.4采购人有权根据维修实际情况减少维修数量，最终结算时将进行费用扣减。</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480" w:firstLineChars="200"/>
        <w:textAlignment w:val="auto"/>
        <w:rPr>
          <w:rFonts w:hint="default" w:ascii="宋体" w:hAnsi="宋体" w:cs="宋体"/>
          <w:caps/>
          <w:kern w:val="0"/>
          <w:sz w:val="24"/>
          <w:szCs w:val="24"/>
          <w:highlight w:val="none"/>
          <w:lang w:val="en-US" w:eastAsia="zh-CN"/>
        </w:rPr>
      </w:pPr>
      <w:r>
        <w:rPr>
          <w:rFonts w:hint="eastAsia" w:ascii="宋体" w:hAnsi="宋体" w:cs="宋体"/>
          <w:caps/>
          <w:kern w:val="0"/>
          <w:sz w:val="24"/>
          <w:szCs w:val="24"/>
          <w:highlight w:val="none"/>
          <w:lang w:val="en-US" w:eastAsia="zh-CN"/>
        </w:rPr>
        <w:t>7.5根据实际维修情况，如有需要增加维修项目、数量以及材料的，须经采购人同意后，方可开展维修工作。</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480" w:firstLineChars="200"/>
        <w:textAlignment w:val="auto"/>
        <w:rPr>
          <w:rFonts w:hint="default"/>
          <w:lang w:val="en-US" w:eastAsia="zh-CN"/>
        </w:rPr>
      </w:pPr>
      <w:r>
        <w:rPr>
          <w:rFonts w:hint="eastAsia" w:ascii="宋体" w:hAnsi="宋体" w:cs="宋体"/>
          <w:caps/>
          <w:kern w:val="0"/>
          <w:sz w:val="24"/>
          <w:szCs w:val="24"/>
          <w:highlight w:val="none"/>
          <w:lang w:val="en-US" w:eastAsia="zh-CN"/>
        </w:rPr>
        <w:t>7</w:t>
      </w:r>
      <w:r>
        <w:rPr>
          <w:rFonts w:hint="eastAsia" w:ascii="宋体" w:hAnsi="宋体" w:eastAsia="宋体" w:cs="宋体"/>
          <w:caps/>
          <w:kern w:val="0"/>
          <w:sz w:val="24"/>
          <w:szCs w:val="24"/>
          <w:highlight w:val="none"/>
          <w:lang w:val="en-US" w:eastAsia="zh-CN"/>
        </w:rPr>
        <w:t>.</w:t>
      </w:r>
      <w:r>
        <w:rPr>
          <w:rFonts w:hint="eastAsia" w:ascii="宋体" w:hAnsi="宋体" w:cs="宋体"/>
          <w:caps/>
          <w:kern w:val="0"/>
          <w:sz w:val="24"/>
          <w:szCs w:val="24"/>
          <w:highlight w:val="none"/>
          <w:lang w:val="en-US" w:eastAsia="zh-CN"/>
        </w:rPr>
        <w:t>6</w:t>
      </w:r>
      <w:r>
        <w:rPr>
          <w:rFonts w:hint="eastAsia" w:ascii="宋体" w:hAnsi="宋体" w:eastAsia="宋体" w:cs="宋体"/>
          <w:caps/>
          <w:kern w:val="0"/>
          <w:sz w:val="24"/>
          <w:szCs w:val="24"/>
          <w:highlight w:val="none"/>
          <w:lang w:val="en-US" w:eastAsia="zh-CN"/>
        </w:rPr>
        <w:t>投标人负责提供的维修材料必须符合国家最新规范要求及技术指标要求，对于投标人提供的维修材料必须参见（附表一）中材料品牌范围表的推荐品牌作为报价的依据以及质量控制的标准，表中未列的所有维修材料必须采用同类名牌产品的优等品系列。</w:t>
      </w:r>
    </w:p>
    <w:p>
      <w:pPr>
        <w:spacing w:line="360" w:lineRule="auto"/>
        <w:ind w:firstLine="480" w:firstLineChars="200"/>
      </w:pPr>
      <w:r>
        <w:rPr>
          <w:rFonts w:hint="eastAsia" w:cs="Times New Roman"/>
          <w:sz w:val="24"/>
          <w:szCs w:val="24"/>
          <w:lang w:val="en-US" w:eastAsia="zh-CN"/>
        </w:rPr>
        <w:t>附表一</w:t>
      </w:r>
      <w:r>
        <w:rPr>
          <w:rFonts w:ascii="Times New Roman" w:hAnsi="Times New Roman" w:cs="Times New Roman"/>
          <w:sz w:val="24"/>
          <w:szCs w:val="24"/>
        </w:rPr>
        <w:t>为供参考的</w:t>
      </w:r>
      <w:r>
        <w:rPr>
          <w:rFonts w:hint="eastAsia" w:cs="Times New Roman"/>
          <w:sz w:val="24"/>
          <w:szCs w:val="24"/>
          <w:lang w:val="en-US" w:eastAsia="zh-CN"/>
        </w:rPr>
        <w:t>维修</w:t>
      </w:r>
      <w:r>
        <w:rPr>
          <w:rFonts w:ascii="Times New Roman" w:hAnsi="Times New Roman" w:cs="Times New Roman"/>
          <w:sz w:val="24"/>
          <w:szCs w:val="24"/>
        </w:rPr>
        <w:t>材料主流品牌，</w:t>
      </w:r>
      <w:r>
        <w:rPr>
          <w:rFonts w:hint="eastAsia" w:cs="Times New Roman"/>
          <w:sz w:val="24"/>
          <w:szCs w:val="24"/>
          <w:lang w:val="en-US" w:eastAsia="zh-CN"/>
        </w:rPr>
        <w:t>投标人提供的维修</w:t>
      </w:r>
      <w:r>
        <w:rPr>
          <w:rFonts w:ascii="Times New Roman" w:hAnsi="Times New Roman" w:cs="Times New Roman"/>
          <w:sz w:val="24"/>
          <w:szCs w:val="24"/>
        </w:rPr>
        <w:t>材料不限于下表所列品牌，但应与下表所列品牌同等档次或更高档次。</w:t>
      </w:r>
      <w:bookmarkStart w:id="18" w:name="_GoBack"/>
      <w:bookmarkEnd w:id="18"/>
    </w:p>
    <w:p>
      <w:pPr>
        <w:pStyle w:val="19"/>
        <w:jc w:val="center"/>
        <w:rPr>
          <w:rFonts w:hint="eastAsia" w:ascii="Times New Roman" w:hAnsi="宋体" w:eastAsia="宋体" w:cs="宋体"/>
          <w:b/>
          <w:bCs/>
          <w:color w:val="auto"/>
          <w:kern w:val="0"/>
          <w:sz w:val="24"/>
          <w:szCs w:val="24"/>
          <w:lang w:val="en-US" w:eastAsia="zh-CN" w:bidi="ar-SA"/>
        </w:rPr>
      </w:pPr>
      <w:r>
        <w:rPr>
          <w:rFonts w:hint="eastAsia" w:ascii="Times New Roman" w:hAnsi="宋体" w:eastAsia="宋体" w:cs="宋体"/>
          <w:b/>
          <w:bCs/>
          <w:color w:val="auto"/>
          <w:kern w:val="0"/>
          <w:sz w:val="24"/>
          <w:szCs w:val="24"/>
          <w:lang w:val="en-US" w:eastAsia="zh-CN" w:bidi="ar-SA"/>
        </w:rPr>
        <w:t>附表一</w:t>
      </w:r>
    </w:p>
    <w:tbl>
      <w:tblPr>
        <w:tblStyle w:val="15"/>
        <w:tblW w:w="8409" w:type="dxa"/>
        <w:jc w:val="center"/>
        <w:shd w:val="clear" w:color="auto" w:fill="auto"/>
        <w:tblLayout w:type="fixed"/>
        <w:tblCellMar>
          <w:top w:w="0" w:type="dxa"/>
          <w:left w:w="108" w:type="dxa"/>
          <w:bottom w:w="0" w:type="dxa"/>
          <w:right w:w="108" w:type="dxa"/>
        </w:tblCellMar>
      </w:tblPr>
      <w:tblGrid>
        <w:gridCol w:w="800"/>
        <w:gridCol w:w="1936"/>
        <w:gridCol w:w="3451"/>
        <w:gridCol w:w="2222"/>
      </w:tblGrid>
      <w:tr>
        <w:tblPrEx>
          <w:tblCellMar>
            <w:top w:w="0" w:type="dxa"/>
            <w:left w:w="108" w:type="dxa"/>
            <w:bottom w:w="0" w:type="dxa"/>
            <w:right w:w="108" w:type="dxa"/>
          </w:tblCellMar>
        </w:tblPrEx>
        <w:trPr>
          <w:trHeight w:val="247" w:hRule="atLeast"/>
          <w:tblHeader/>
          <w:jc w:val="center"/>
        </w:trPr>
        <w:tc>
          <w:tcPr>
            <w:tcW w:w="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序号</w:t>
            </w:r>
          </w:p>
        </w:tc>
        <w:tc>
          <w:tcPr>
            <w:tcW w:w="193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rPr>
              <w:t>维修</w:t>
            </w:r>
            <w:r>
              <w:rPr>
                <w:rFonts w:hint="eastAsia" w:ascii="宋体" w:hAnsi="宋体" w:eastAsia="宋体" w:cs="宋体"/>
                <w:b/>
                <w:bCs/>
                <w:kern w:val="0"/>
                <w:sz w:val="24"/>
                <w:szCs w:val="24"/>
              </w:rPr>
              <w:t>材料名称</w:t>
            </w:r>
          </w:p>
        </w:tc>
        <w:tc>
          <w:tcPr>
            <w:tcW w:w="3451"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rPr>
              <w:t>维修材料</w:t>
            </w:r>
            <w:r>
              <w:rPr>
                <w:rFonts w:hint="eastAsia" w:ascii="宋体" w:hAnsi="宋体" w:eastAsia="宋体" w:cs="宋体"/>
                <w:b/>
                <w:bCs/>
                <w:kern w:val="0"/>
                <w:sz w:val="24"/>
                <w:szCs w:val="24"/>
              </w:rPr>
              <w:t>应采用下列主流品牌或其它同等档次主流品牌</w:t>
            </w:r>
            <w:r>
              <w:rPr>
                <w:rFonts w:hint="eastAsia" w:ascii="宋体" w:hAnsi="宋体" w:cs="宋体"/>
                <w:b/>
                <w:bCs/>
                <w:kern w:val="0"/>
                <w:sz w:val="24"/>
                <w:szCs w:val="24"/>
                <w:lang w:val="en-US" w:eastAsia="zh-CN"/>
              </w:rPr>
              <w:t>并保证所提供的产品为正品</w:t>
            </w:r>
          </w:p>
        </w:tc>
        <w:tc>
          <w:tcPr>
            <w:tcW w:w="2222" w:type="dxa"/>
            <w:tcBorders>
              <w:top w:val="single" w:color="auto" w:sz="4" w:space="0"/>
              <w:left w:val="nil"/>
              <w:bottom w:val="single" w:color="auto" w:sz="4" w:space="0"/>
              <w:right w:val="single" w:color="auto" w:sz="4" w:space="0"/>
            </w:tcBorders>
            <w:shd w:val="clear" w:color="auto" w:fill="auto"/>
          </w:tcPr>
          <w:p>
            <w:pPr>
              <w:widowControl/>
              <w:jc w:val="center"/>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备注</w:t>
            </w:r>
          </w:p>
        </w:tc>
      </w:tr>
      <w:tr>
        <w:tblPrEx>
          <w:tblCellMar>
            <w:top w:w="0" w:type="dxa"/>
            <w:left w:w="108" w:type="dxa"/>
            <w:bottom w:w="0" w:type="dxa"/>
            <w:right w:w="108" w:type="dxa"/>
          </w:tblCellMar>
        </w:tblPrEx>
        <w:trPr>
          <w:trHeight w:val="270" w:hRule="atLeast"/>
          <w:jc w:val="center"/>
        </w:trPr>
        <w:tc>
          <w:tcPr>
            <w:tcW w:w="80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1</w:t>
            </w:r>
          </w:p>
        </w:tc>
        <w:tc>
          <w:tcPr>
            <w:tcW w:w="193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防盗门</w:t>
            </w:r>
          </w:p>
        </w:tc>
        <w:tc>
          <w:tcPr>
            <w:tcW w:w="345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金朗德、帝菲尼、欧帝乐、跃龙门</w:t>
            </w:r>
          </w:p>
        </w:tc>
        <w:tc>
          <w:tcPr>
            <w:tcW w:w="2222" w:type="dxa"/>
            <w:tcBorders>
              <w:top w:val="nil"/>
              <w:left w:val="nil"/>
              <w:bottom w:val="single" w:color="auto" w:sz="4" w:space="0"/>
              <w:right w:val="single" w:color="auto" w:sz="4" w:space="0"/>
            </w:tcBorders>
            <w:shd w:val="clear" w:color="auto" w:fill="auto"/>
          </w:tcPr>
          <w:p>
            <w:pPr>
              <w:widowControl/>
              <w:jc w:val="left"/>
              <w:rPr>
                <w:rFonts w:hint="eastAsia" w:ascii="宋体" w:hAnsi="宋体" w:cs="宋体"/>
                <w:kern w:val="0"/>
                <w:sz w:val="24"/>
                <w:szCs w:val="24"/>
                <w:lang w:val="en-US" w:eastAsia="zh-CN"/>
              </w:rPr>
            </w:pPr>
            <w:r>
              <w:rPr>
                <w:rFonts w:hint="eastAsia" w:ascii="宋体" w:hAnsi="宋体" w:eastAsia="宋体" w:cs="宋体"/>
                <w:caps/>
                <w:kern w:val="0"/>
                <w:sz w:val="24"/>
                <w:szCs w:val="24"/>
                <w:highlight w:val="none"/>
                <w:lang w:val="en-US" w:eastAsia="zh-CN"/>
              </w:rPr>
              <w:t>符合</w:t>
            </w:r>
            <w:r>
              <w:rPr>
                <w:rFonts w:hint="eastAsia" w:ascii="宋体" w:hAnsi="宋体" w:cs="宋体"/>
                <w:caps/>
                <w:kern w:val="0"/>
                <w:sz w:val="24"/>
                <w:szCs w:val="24"/>
                <w:highlight w:val="none"/>
                <w:lang w:val="en-US" w:eastAsia="zh-CN"/>
              </w:rPr>
              <w:t>GB17565国标，具备甲级/乙级防盗</w:t>
            </w:r>
            <w:r>
              <w:rPr>
                <w:rFonts w:hint="eastAsia" w:ascii="宋体" w:hAnsi="宋体" w:eastAsia="宋体" w:cs="宋体"/>
                <w:kern w:val="0"/>
                <w:sz w:val="24"/>
                <w:szCs w:val="24"/>
                <w:lang w:val="en-US" w:eastAsia="zh-CN"/>
              </w:rPr>
              <w:t>标准</w:t>
            </w:r>
            <w:r>
              <w:rPr>
                <w:rFonts w:hint="eastAsia" w:ascii="宋体" w:hAnsi="宋体" w:cs="宋体"/>
                <w:kern w:val="0"/>
                <w:sz w:val="24"/>
                <w:szCs w:val="24"/>
                <w:lang w:val="en-US" w:eastAsia="zh-CN"/>
              </w:rPr>
              <w:t>；</w:t>
            </w:r>
          </w:p>
          <w:p>
            <w:pPr>
              <w:pStyle w:val="2"/>
              <w:jc w:val="left"/>
              <w:rPr>
                <w:rFonts w:hint="eastAsia"/>
                <w:lang w:val="en-US" w:eastAsia="zh-CN"/>
              </w:rPr>
            </w:pPr>
            <w:r>
              <w:rPr>
                <w:rFonts w:hint="eastAsia" w:ascii="宋体" w:hAnsi="宋体" w:cs="宋体"/>
                <w:kern w:val="0"/>
                <w:sz w:val="24"/>
                <w:szCs w:val="24"/>
                <w:lang w:val="en-US" w:eastAsia="zh-CN"/>
              </w:rPr>
              <w:t>尺寸：</w:t>
            </w:r>
            <w:r>
              <w:rPr>
                <w:rFonts w:hint="eastAsia" w:ascii="宋体" w:hAnsi="宋体" w:cs="宋体"/>
                <w:caps/>
                <w:kern w:val="0"/>
                <w:sz w:val="24"/>
                <w:szCs w:val="24"/>
                <w:highlight w:val="none"/>
                <w:lang w:val="en-US" w:eastAsia="zh-CN"/>
              </w:rPr>
              <w:t>约2.1m*0.9m</w:t>
            </w:r>
          </w:p>
        </w:tc>
      </w:tr>
      <w:tr>
        <w:tblPrEx>
          <w:tblCellMar>
            <w:top w:w="0" w:type="dxa"/>
            <w:left w:w="108" w:type="dxa"/>
            <w:bottom w:w="0" w:type="dxa"/>
            <w:right w:w="108" w:type="dxa"/>
          </w:tblCellMar>
        </w:tblPrEx>
        <w:trPr>
          <w:trHeight w:val="270" w:hRule="atLeast"/>
          <w:jc w:val="center"/>
        </w:trPr>
        <w:tc>
          <w:tcPr>
            <w:tcW w:w="80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2</w:t>
            </w:r>
          </w:p>
        </w:tc>
        <w:tc>
          <w:tcPr>
            <w:tcW w:w="193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人脸门禁</w:t>
            </w:r>
          </w:p>
        </w:tc>
        <w:tc>
          <w:tcPr>
            <w:tcW w:w="345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海康威视、宇视</w:t>
            </w:r>
            <w:r>
              <w:rPr>
                <w:rFonts w:hint="eastAsia" w:ascii="宋体" w:hAnsi="宋体" w:cs="宋体"/>
                <w:kern w:val="0"/>
                <w:sz w:val="24"/>
                <w:szCs w:val="24"/>
                <w:lang w:val="en-US" w:eastAsia="zh-CN"/>
              </w:rPr>
              <w:t>、大华</w:t>
            </w:r>
          </w:p>
        </w:tc>
        <w:tc>
          <w:tcPr>
            <w:tcW w:w="2222" w:type="dxa"/>
            <w:tcBorders>
              <w:top w:val="nil"/>
              <w:left w:val="nil"/>
              <w:bottom w:val="single" w:color="auto" w:sz="4" w:space="0"/>
              <w:right w:val="single" w:color="auto" w:sz="4" w:space="0"/>
            </w:tcBorders>
            <w:shd w:val="clear" w:color="auto" w:fill="auto"/>
          </w:tcPr>
          <w:p>
            <w:pPr>
              <w:widowControl/>
              <w:jc w:val="left"/>
              <w:rPr>
                <w:rFonts w:hint="eastAsia"/>
                <w:lang w:eastAsia="zh-CN"/>
              </w:rPr>
            </w:pPr>
            <w:r>
              <w:rPr>
                <w:rFonts w:hint="eastAsia" w:ascii="宋体" w:hAnsi="宋体" w:cs="宋体"/>
                <w:kern w:val="0"/>
                <w:sz w:val="24"/>
                <w:szCs w:val="24"/>
                <w:lang w:eastAsia="zh-CN"/>
              </w:rPr>
              <w:t>需含门禁主机、电源、磁力锁等</w:t>
            </w:r>
            <w:r>
              <w:rPr>
                <w:rFonts w:hint="eastAsia"/>
                <w:lang w:eastAsia="zh-CN"/>
              </w:rPr>
              <w:t>；</w:t>
            </w:r>
          </w:p>
          <w:p>
            <w:pPr>
              <w:widowControl/>
              <w:jc w:val="left"/>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屏幕：大于等于4英寸；刷脸验证时间：1：N人脸对比时间小于等于0.2S/人；人脸验证准确率：大于等于99%；人脸容量：大于等于1000张；存储容量：大于等于3000张卡，大于等于20000条时间记录</w:t>
            </w:r>
          </w:p>
        </w:tc>
      </w:tr>
      <w:tr>
        <w:tblPrEx>
          <w:tblCellMar>
            <w:top w:w="0" w:type="dxa"/>
            <w:left w:w="108" w:type="dxa"/>
            <w:bottom w:w="0" w:type="dxa"/>
            <w:right w:w="108" w:type="dxa"/>
          </w:tblCellMar>
        </w:tblPrEx>
        <w:trPr>
          <w:trHeight w:val="270" w:hRule="atLeast"/>
          <w:jc w:val="center"/>
        </w:trPr>
        <w:tc>
          <w:tcPr>
            <w:tcW w:w="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3</w:t>
            </w:r>
          </w:p>
        </w:tc>
        <w:tc>
          <w:tcPr>
            <w:tcW w:w="19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kern w:val="0"/>
                <w:sz w:val="24"/>
                <w:szCs w:val="24"/>
                <w:lang w:eastAsia="zh-CN"/>
              </w:rPr>
            </w:pPr>
            <w:r>
              <w:rPr>
                <w:rFonts w:hint="eastAsia" w:ascii="宋体" w:hAnsi="宋体" w:cs="宋体"/>
                <w:kern w:val="0"/>
                <w:sz w:val="24"/>
                <w:szCs w:val="24"/>
                <w:lang w:eastAsia="zh-CN"/>
              </w:rPr>
              <w:t>防盗护栏</w:t>
            </w:r>
          </w:p>
        </w:tc>
        <w:tc>
          <w:tcPr>
            <w:tcW w:w="34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w:t>
            </w:r>
          </w:p>
        </w:tc>
        <w:tc>
          <w:tcPr>
            <w:tcW w:w="2222" w:type="dxa"/>
            <w:tcBorders>
              <w:top w:val="single" w:color="auto" w:sz="4" w:space="0"/>
              <w:left w:val="single" w:color="auto" w:sz="4" w:space="0"/>
              <w:bottom w:val="single" w:color="auto" w:sz="4" w:space="0"/>
              <w:right w:val="single" w:color="auto" w:sz="4" w:space="0"/>
            </w:tcBorders>
            <w:shd w:val="clear" w:color="auto" w:fill="auto"/>
          </w:tcPr>
          <w:p>
            <w:pPr>
              <w:widowControl/>
              <w:jc w:val="left"/>
              <w:rPr>
                <w:rFonts w:hint="eastAsia" w:ascii="宋体" w:hAnsi="宋体" w:cs="宋体"/>
                <w:caps/>
                <w:kern w:val="0"/>
                <w:sz w:val="24"/>
                <w:szCs w:val="24"/>
                <w:highlight w:val="none"/>
                <w:lang w:val="en-US" w:eastAsia="zh-CN"/>
              </w:rPr>
            </w:pPr>
            <w:r>
              <w:rPr>
                <w:rFonts w:hint="eastAsia" w:ascii="宋体" w:hAnsi="宋体" w:eastAsia="宋体" w:cs="宋体"/>
                <w:caps/>
                <w:kern w:val="0"/>
                <w:sz w:val="24"/>
                <w:szCs w:val="24"/>
                <w:highlight w:val="none"/>
                <w:lang w:val="en-US" w:eastAsia="zh-CN"/>
              </w:rPr>
              <w:t>不锈钢材质（边框厚度不少于1mm，格栅厚度不少于0.9mm）</w:t>
            </w:r>
            <w:r>
              <w:rPr>
                <w:rFonts w:hint="eastAsia" w:ascii="宋体" w:hAnsi="宋体" w:cs="宋体"/>
                <w:caps/>
                <w:kern w:val="0"/>
                <w:sz w:val="24"/>
                <w:szCs w:val="24"/>
                <w:highlight w:val="none"/>
                <w:lang w:val="en-US" w:eastAsia="zh-CN"/>
              </w:rPr>
              <w:t>;</w:t>
            </w:r>
          </w:p>
          <w:p>
            <w:pPr>
              <w:pStyle w:val="2"/>
              <w:jc w:val="left"/>
              <w:rPr>
                <w:rFonts w:hint="default"/>
                <w:lang w:val="en-US" w:eastAsia="zh-CN"/>
              </w:rPr>
            </w:pPr>
            <w:r>
              <w:rPr>
                <w:rFonts w:hint="eastAsia"/>
                <w:sz w:val="24"/>
                <w:szCs w:val="24"/>
                <w:lang w:val="en-US" w:eastAsia="zh-CN"/>
              </w:rPr>
              <w:t>单个窗户尺寸：</w:t>
            </w:r>
            <w:r>
              <w:rPr>
                <w:rFonts w:hint="eastAsia" w:ascii="宋体" w:hAnsi="宋体" w:eastAsia="宋体" w:cs="宋体"/>
                <w:caps/>
                <w:kern w:val="0"/>
                <w:sz w:val="24"/>
                <w:szCs w:val="24"/>
                <w:highlight w:val="none"/>
                <w:lang w:val="en-US" w:eastAsia="zh-CN"/>
              </w:rPr>
              <w:t>2.6M*1.2M</w:t>
            </w:r>
            <w:r>
              <w:rPr>
                <w:rFonts w:hint="eastAsia" w:ascii="宋体" w:hAnsi="宋体" w:cs="宋体"/>
                <w:caps/>
                <w:kern w:val="0"/>
                <w:sz w:val="24"/>
                <w:szCs w:val="24"/>
                <w:highlight w:val="none"/>
                <w:lang w:val="en-US" w:eastAsia="zh-CN"/>
              </w:rPr>
              <w:t>，</w:t>
            </w:r>
            <w:r>
              <w:rPr>
                <w:rFonts w:hint="eastAsia" w:ascii="宋体" w:hAnsi="宋体" w:eastAsia="宋体" w:cs="宋体"/>
                <w:caps/>
                <w:kern w:val="0"/>
                <w:sz w:val="24"/>
                <w:szCs w:val="24"/>
                <w:highlight w:val="none"/>
                <w:lang w:val="en-US" w:eastAsia="zh-CN"/>
              </w:rPr>
              <w:t>约3.12平米</w:t>
            </w:r>
          </w:p>
        </w:tc>
      </w:tr>
    </w:tbl>
    <w:p>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right="0" w:rightChars="0"/>
        <w:jc w:val="both"/>
        <w:textAlignment w:val="auto"/>
        <w:outlineLvl w:val="1"/>
        <w:rPr>
          <w:rFonts w:hint="default" w:ascii="宋体" w:hAnsi="宋体" w:eastAsia="宋体" w:cs="宋体"/>
          <w:b/>
          <w:caps/>
          <w:kern w:val="0"/>
          <w:sz w:val="32"/>
          <w:szCs w:val="32"/>
          <w:lang w:val="en-US" w:eastAsia="zh-CN"/>
        </w:rPr>
      </w:pPr>
      <w:bookmarkStart w:id="12" w:name="_Toc1036"/>
      <w:r>
        <w:rPr>
          <w:rFonts w:hint="eastAsia" w:ascii="宋体" w:hAnsi="宋体" w:cs="宋体"/>
          <w:b/>
          <w:caps/>
          <w:kern w:val="0"/>
          <w:sz w:val="32"/>
          <w:szCs w:val="32"/>
          <w:lang w:val="en-US" w:eastAsia="zh-CN"/>
        </w:rPr>
        <w:t>四</w:t>
      </w:r>
      <w:r>
        <w:rPr>
          <w:rFonts w:hint="eastAsia" w:ascii="宋体" w:hAnsi="宋体" w:eastAsia="宋体" w:cs="宋体"/>
          <w:b/>
          <w:caps/>
          <w:kern w:val="0"/>
          <w:sz w:val="32"/>
          <w:szCs w:val="32"/>
          <w:lang w:val="en-US" w:eastAsia="zh-CN"/>
        </w:rPr>
        <w:t>、</w:t>
      </w:r>
      <w:bookmarkEnd w:id="12"/>
      <w:r>
        <w:rPr>
          <w:rFonts w:hint="eastAsia" w:ascii="宋体" w:hAnsi="宋体" w:eastAsia="宋体" w:cs="宋体"/>
          <w:b/>
          <w:caps/>
          <w:kern w:val="0"/>
          <w:sz w:val="32"/>
          <w:szCs w:val="32"/>
          <w:lang w:val="en-US" w:eastAsia="zh-CN"/>
        </w:rPr>
        <w:t>其他要求</w:t>
      </w:r>
    </w:p>
    <w:p>
      <w:pPr>
        <w:spacing w:line="360" w:lineRule="auto"/>
        <w:ind w:firstLine="480" w:firstLineChars="200"/>
        <w:rPr>
          <w:rFonts w:hint="eastAsia" w:ascii="宋体" w:hAnsi="宋体" w:eastAsia="宋体" w:cs="宋体"/>
          <w:color w:val="auto"/>
          <w:sz w:val="24"/>
          <w:szCs w:val="24"/>
          <w:u w:val="none"/>
          <w:lang w:val="en-US" w:eastAsia="zh-CN"/>
        </w:rPr>
      </w:pPr>
      <w:bookmarkStart w:id="13" w:name="_Toc24817"/>
      <w:bookmarkStart w:id="14" w:name="_Toc6921"/>
      <w:r>
        <w:rPr>
          <w:rFonts w:hint="eastAsia" w:ascii="宋体" w:hAnsi="宋体" w:eastAsia="宋体" w:cs="宋体"/>
          <w:color w:val="auto"/>
          <w:sz w:val="24"/>
          <w:szCs w:val="24"/>
          <w:u w:val="none"/>
          <w:lang w:val="en-US" w:eastAsia="zh-CN"/>
        </w:rPr>
        <w:t>1.资格要求</w:t>
      </w:r>
      <w:bookmarkEnd w:id="13"/>
    </w:p>
    <w:p>
      <w:pPr>
        <w:pStyle w:val="2"/>
        <w:ind w:firstLine="480" w:firstLineChars="200"/>
        <w:rPr>
          <w:rFonts w:hint="eastAsia"/>
          <w:lang w:val="en-US" w:eastAsia="zh-CN"/>
        </w:rPr>
      </w:pPr>
      <w:r>
        <w:rPr>
          <w:rFonts w:hint="eastAsia" w:ascii="宋体" w:hAnsi="宋体" w:cs="宋体"/>
          <w:color w:val="auto"/>
          <w:sz w:val="24"/>
          <w:szCs w:val="24"/>
          <w:u w:val="none"/>
          <w:lang w:val="en-US" w:eastAsia="zh-CN"/>
        </w:rPr>
        <w:t>提供营业执照</w:t>
      </w:r>
    </w:p>
    <w:bookmarkEnd w:id="14"/>
    <w:p>
      <w:pPr>
        <w:spacing w:line="360" w:lineRule="auto"/>
        <w:ind w:firstLine="480" w:firstLineChars="200"/>
        <w:rPr>
          <w:rFonts w:hint="eastAsia" w:ascii="宋体" w:hAnsi="宋体" w:cs="宋体"/>
          <w:color w:val="auto"/>
          <w:sz w:val="24"/>
          <w:szCs w:val="24"/>
          <w:u w:val="none"/>
          <w:lang w:val="en-US" w:eastAsia="zh-CN"/>
        </w:rPr>
      </w:pPr>
      <w:bookmarkStart w:id="15" w:name="_Toc21594"/>
      <w:r>
        <w:rPr>
          <w:rFonts w:hint="eastAsia" w:ascii="宋体" w:hAnsi="宋体" w:eastAsia="宋体" w:cs="宋体"/>
          <w:color w:val="auto"/>
          <w:sz w:val="24"/>
          <w:szCs w:val="24"/>
          <w:u w:val="none"/>
          <w:lang w:val="en-US" w:eastAsia="zh-CN"/>
        </w:rPr>
        <w:t>2.</w:t>
      </w:r>
      <w:r>
        <w:rPr>
          <w:rFonts w:hint="eastAsia" w:ascii="宋体" w:hAnsi="宋体" w:cs="宋体"/>
          <w:color w:val="auto"/>
          <w:sz w:val="24"/>
          <w:szCs w:val="24"/>
          <w:u w:val="none"/>
          <w:lang w:val="en-US" w:eastAsia="zh-CN"/>
        </w:rPr>
        <w:t>安全与合规性</w:t>
      </w:r>
    </w:p>
    <w:p>
      <w:pPr>
        <w:spacing w:line="360" w:lineRule="auto"/>
        <w:ind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2.1</w:t>
      </w:r>
      <w:r>
        <w:rPr>
          <w:rFonts w:hint="eastAsia" w:ascii="宋体" w:hAnsi="宋体" w:cs="宋体"/>
          <w:caps/>
          <w:kern w:val="0"/>
          <w:sz w:val="24"/>
          <w:szCs w:val="24"/>
          <w:highlight w:val="none"/>
          <w:lang w:val="en-US" w:eastAsia="zh-CN"/>
        </w:rPr>
        <w:t>投标</w:t>
      </w:r>
      <w:r>
        <w:rPr>
          <w:rFonts w:hint="eastAsia" w:ascii="宋体" w:hAnsi="宋体" w:eastAsia="宋体" w:cs="宋体"/>
          <w:bCs/>
          <w:sz w:val="24"/>
          <w:szCs w:val="24"/>
          <w:highlight w:val="none"/>
          <w:lang w:val="en-US" w:eastAsia="zh-CN"/>
        </w:rPr>
        <w:t>人应负责保持办公区域内设备设施的良好状态及运作，定期进行维护、修缮与管理。</w:t>
      </w:r>
    </w:p>
    <w:p>
      <w:pPr>
        <w:spacing w:line="360" w:lineRule="auto"/>
        <w:ind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2.2</w:t>
      </w:r>
      <w:r>
        <w:rPr>
          <w:rFonts w:hint="eastAsia" w:ascii="宋体" w:hAnsi="宋体" w:cs="宋体"/>
          <w:caps/>
          <w:kern w:val="0"/>
          <w:sz w:val="24"/>
          <w:szCs w:val="24"/>
          <w:highlight w:val="none"/>
          <w:lang w:val="en-US" w:eastAsia="zh-CN"/>
        </w:rPr>
        <w:t>投标</w:t>
      </w:r>
      <w:r>
        <w:rPr>
          <w:rFonts w:hint="eastAsia" w:ascii="宋体" w:hAnsi="宋体" w:eastAsia="宋体" w:cs="宋体"/>
          <w:bCs/>
          <w:sz w:val="24"/>
          <w:szCs w:val="24"/>
          <w:highlight w:val="none"/>
          <w:lang w:val="en-US" w:eastAsia="zh-CN"/>
        </w:rPr>
        <w:t>人须提供维修费的合法有效税票。</w:t>
      </w:r>
    </w:p>
    <w:bookmarkEnd w:id="15"/>
    <w:p>
      <w:pPr>
        <w:spacing w:line="360" w:lineRule="auto"/>
        <w:ind w:firstLine="480" w:firstLineChars="200"/>
        <w:rPr>
          <w:rFonts w:hint="default" w:ascii="宋体" w:hAnsi="宋体" w:eastAsia="宋体" w:cs="宋体"/>
          <w:sz w:val="24"/>
          <w:szCs w:val="24"/>
          <w:highlight w:val="none"/>
          <w:lang w:val="en-US" w:eastAsia="zh-CN"/>
        </w:rPr>
      </w:pPr>
      <w:bookmarkStart w:id="16" w:name="_Toc6334"/>
      <w:r>
        <w:rPr>
          <w:rFonts w:hint="eastAsia" w:ascii="宋体" w:hAnsi="宋体" w:eastAsia="宋体" w:cs="宋体"/>
          <w:sz w:val="24"/>
          <w:szCs w:val="24"/>
          <w:highlight w:val="none"/>
          <w:lang w:val="en-US" w:eastAsia="zh-CN"/>
        </w:rPr>
        <w:t>3.验收</w:t>
      </w:r>
      <w:bookmarkEnd w:id="16"/>
      <w:r>
        <w:rPr>
          <w:rFonts w:hint="eastAsia" w:ascii="宋体" w:hAnsi="宋体" w:eastAsia="宋体" w:cs="宋体"/>
          <w:sz w:val="24"/>
          <w:szCs w:val="24"/>
          <w:highlight w:val="none"/>
          <w:lang w:val="en-US" w:eastAsia="zh-CN"/>
        </w:rPr>
        <w:t>和结算</w:t>
      </w:r>
    </w:p>
    <w:p>
      <w:pPr>
        <w:spacing w:line="360" w:lineRule="auto"/>
        <w:ind w:firstLine="480" w:firstLineChars="200"/>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在周期内，按照上述要求完成办公场地维修工作</w:t>
      </w:r>
      <w:bookmarkStart w:id="17" w:name="_Toc18489"/>
      <w:r>
        <w:rPr>
          <w:rFonts w:hint="eastAsia" w:ascii="宋体" w:hAnsi="宋体" w:cs="宋体"/>
          <w:sz w:val="24"/>
          <w:szCs w:val="24"/>
          <w:highlight w:val="none"/>
          <w:lang w:val="en-US" w:eastAsia="zh-CN"/>
        </w:rPr>
        <w:t>，</w:t>
      </w:r>
      <w:r>
        <w:rPr>
          <w:rFonts w:hint="eastAsia" w:ascii="宋体" w:hAnsi="宋体" w:cs="宋体"/>
          <w:sz w:val="24"/>
          <w:szCs w:val="32"/>
          <w:lang w:val="en-US" w:eastAsia="zh-CN"/>
        </w:rPr>
        <w:t>结算根据维修情况据实结算</w:t>
      </w:r>
      <w:r>
        <w:rPr>
          <w:rFonts w:hint="eastAsia" w:ascii="宋体" w:hAnsi="宋体" w:eastAsia="宋体" w:cs="宋体"/>
          <w:sz w:val="24"/>
          <w:szCs w:val="32"/>
          <w:lang w:val="en-US" w:eastAsia="zh-CN"/>
        </w:rPr>
        <w:t>。</w:t>
      </w:r>
    </w:p>
    <w:p>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3.1验收方法</w:t>
      </w:r>
      <w:bookmarkEnd w:id="17"/>
    </w:p>
    <w:p>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cs="宋体"/>
          <w:caps/>
          <w:kern w:val="0"/>
          <w:sz w:val="24"/>
          <w:szCs w:val="24"/>
          <w:highlight w:val="none"/>
          <w:lang w:val="en-US" w:eastAsia="zh-CN"/>
        </w:rPr>
        <w:t>投标</w:t>
      </w:r>
      <w:r>
        <w:rPr>
          <w:rFonts w:hint="eastAsia" w:ascii="宋体" w:hAnsi="宋体" w:eastAsia="宋体" w:cs="宋体"/>
          <w:sz w:val="24"/>
          <w:szCs w:val="24"/>
          <w:highlight w:val="none"/>
          <w:lang w:val="en-US" w:eastAsia="zh-CN"/>
        </w:rPr>
        <w:t>人应在具备验收条件后向采购人提供书面验收申请，采购人应在收到</w:t>
      </w:r>
      <w:r>
        <w:rPr>
          <w:rFonts w:hint="eastAsia" w:ascii="宋体" w:hAnsi="宋体" w:cs="宋体"/>
          <w:caps/>
          <w:kern w:val="0"/>
          <w:sz w:val="24"/>
          <w:szCs w:val="24"/>
          <w:highlight w:val="none"/>
          <w:lang w:val="en-US" w:eastAsia="zh-CN"/>
        </w:rPr>
        <w:t>投标</w:t>
      </w:r>
      <w:r>
        <w:rPr>
          <w:rFonts w:hint="eastAsia" w:ascii="宋体" w:hAnsi="宋体" w:eastAsia="宋体" w:cs="宋体"/>
          <w:sz w:val="24"/>
          <w:szCs w:val="24"/>
          <w:highlight w:val="none"/>
          <w:lang w:val="en-US" w:eastAsia="zh-CN"/>
        </w:rPr>
        <w:t>人验收申请后</w:t>
      </w:r>
      <w:r>
        <w:rPr>
          <w:rFonts w:hint="eastAsia" w:ascii="宋体" w:hAnsi="宋体" w:cs="宋体"/>
          <w:sz w:val="24"/>
          <w:szCs w:val="24"/>
          <w:highlight w:val="none"/>
          <w:lang w:val="en-US" w:eastAsia="zh-CN"/>
        </w:rPr>
        <w:t>30</w:t>
      </w:r>
      <w:r>
        <w:rPr>
          <w:rFonts w:hint="eastAsia" w:ascii="宋体" w:hAnsi="宋体" w:eastAsia="宋体" w:cs="宋体"/>
          <w:sz w:val="24"/>
          <w:szCs w:val="24"/>
          <w:highlight w:val="none"/>
          <w:lang w:val="en-US" w:eastAsia="zh-CN"/>
        </w:rPr>
        <w:t>个工作日内开展项目验收工作，验收时需要提供维修明细，并对维修材料以及维修量进行核实验收。</w:t>
      </w:r>
    </w:p>
    <w:p>
      <w:pPr>
        <w:spacing w:line="360" w:lineRule="auto"/>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3.2根据维修实际情况如发生减少维修数量的情况，最终结算时将进行维修费用的扣减</w:t>
      </w:r>
      <w:r>
        <w:rPr>
          <w:rFonts w:hint="eastAsia" w:ascii="宋体" w:hAnsi="宋体" w:cs="宋体"/>
          <w:sz w:val="24"/>
          <w:szCs w:val="24"/>
          <w:highlight w:val="none"/>
          <w:lang w:val="en-US" w:eastAsia="zh-CN"/>
        </w:rPr>
        <w:t>，据实计算维修费用。</w:t>
      </w:r>
    </w:p>
    <w:p>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kern w:val="2"/>
          <w:sz w:val="24"/>
          <w:szCs w:val="32"/>
          <w:lang w:val="en-US" w:eastAsia="zh-CN" w:bidi="ar-SA"/>
        </w:rPr>
        <w:t>3.3.其他未列出的维修项目根据市场价格经采购人确认后据实支付。</w:t>
      </w:r>
      <w:r>
        <w:rPr>
          <w:rFonts w:hint="eastAsia" w:ascii="宋体" w:hAnsi="宋体" w:eastAsia="宋体" w:cs="宋体"/>
          <w:sz w:val="24"/>
          <w:szCs w:val="24"/>
          <w:highlight w:val="none"/>
          <w:lang w:val="en-US" w:eastAsia="zh-CN"/>
        </w:rPr>
        <w:t xml:space="preserve"> </w:t>
      </w:r>
    </w:p>
    <w:p>
      <w:pPr>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4.交付物要求</w:t>
      </w:r>
    </w:p>
    <w:p>
      <w:pPr>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caps/>
          <w:kern w:val="0"/>
          <w:sz w:val="24"/>
          <w:szCs w:val="24"/>
          <w:highlight w:val="none"/>
          <w:lang w:val="en-US" w:eastAsia="zh-CN"/>
        </w:rPr>
        <w:t>投标</w:t>
      </w:r>
      <w:r>
        <w:rPr>
          <w:rFonts w:hint="eastAsia" w:ascii="宋体" w:hAnsi="宋体" w:cs="宋体"/>
          <w:sz w:val="24"/>
          <w:szCs w:val="24"/>
          <w:highlight w:val="none"/>
          <w:lang w:val="en-US" w:eastAsia="zh-CN"/>
        </w:rPr>
        <w:t>人需根据相关交付物规定，于规定的时间内交付包括但不限于以下文档：</w:t>
      </w:r>
    </w:p>
    <w:p>
      <w:pPr>
        <w:numPr>
          <w:ilvl w:val="0"/>
          <w:numId w:val="5"/>
        </w:numPr>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设备原厂质检合格证明；</w:t>
      </w:r>
    </w:p>
    <w:p>
      <w:pPr>
        <w:numPr>
          <w:ilvl w:val="0"/>
          <w:numId w:val="5"/>
        </w:numPr>
        <w:spacing w:line="360" w:lineRule="auto"/>
        <w:ind w:firstLine="480" w:firstLineChars="200"/>
        <w:rPr>
          <w:rFonts w:hint="eastAsia" w:ascii="宋体" w:hAnsi="宋体" w:cs="宋体"/>
          <w:sz w:val="21"/>
          <w:szCs w:val="21"/>
          <w:highlight w:val="none"/>
          <w:lang w:val="en-US" w:eastAsia="zh-CN"/>
        </w:rPr>
      </w:pPr>
      <w:r>
        <w:rPr>
          <w:rFonts w:hint="eastAsia" w:ascii="宋体" w:hAnsi="宋体" w:cs="宋体"/>
          <w:sz w:val="24"/>
          <w:szCs w:val="24"/>
          <w:highlight w:val="none"/>
          <w:lang w:val="en-US" w:eastAsia="zh-CN"/>
        </w:rPr>
        <w:t>安装验收报告（按需提供）；</w:t>
      </w:r>
    </w:p>
    <w:p>
      <w:pPr>
        <w:numPr>
          <w:ilvl w:val="0"/>
          <w:numId w:val="5"/>
        </w:numPr>
        <w:spacing w:line="360" w:lineRule="auto"/>
        <w:ind w:firstLine="480" w:firstLineChars="200"/>
        <w:rPr>
          <w:rFonts w:hint="eastAsia" w:ascii="宋体" w:hAnsi="宋体" w:cs="宋体"/>
          <w:sz w:val="21"/>
          <w:szCs w:val="21"/>
          <w:highlight w:val="none"/>
          <w:lang w:val="en-US" w:eastAsia="zh-CN"/>
        </w:rPr>
      </w:pPr>
      <w:r>
        <w:rPr>
          <w:rFonts w:hint="eastAsia" w:ascii="宋体" w:hAnsi="宋体" w:cs="宋体"/>
          <w:sz w:val="24"/>
          <w:szCs w:val="24"/>
          <w:highlight w:val="none"/>
          <w:lang w:val="en-US" w:eastAsia="zh-CN"/>
        </w:rPr>
        <w:t>工作量清单。</w:t>
      </w:r>
      <w:r>
        <w:rPr>
          <w:rFonts w:hint="eastAsia" w:ascii="宋体" w:hAnsi="宋体" w:eastAsia="宋体" w:cs="宋体"/>
          <w:sz w:val="24"/>
          <w:szCs w:val="24"/>
          <w:highlight w:val="none"/>
          <w:lang w:val="en-US" w:eastAsia="zh-CN"/>
        </w:rPr>
        <w:t xml:space="preserve">   </w:t>
      </w:r>
    </w:p>
    <w:bookmarkEnd w:id="0"/>
    <w:bookmarkEnd w:id="1"/>
    <w:bookmarkEnd w:id="2"/>
    <w:p>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5.质量保障</w:t>
      </w:r>
    </w:p>
    <w:p>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（1）本次项目实施均能满足本技术规范书要求。</w:t>
      </w:r>
    </w:p>
    <w:p>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（2）所用的材料必须注明生产厂家和提供产品质量</w:t>
      </w:r>
      <w:r>
        <w:rPr>
          <w:rFonts w:hint="eastAsia" w:ascii="宋体" w:hAnsi="宋体" w:cs="宋体"/>
          <w:sz w:val="24"/>
          <w:szCs w:val="24"/>
          <w:highlight w:val="none"/>
          <w:lang w:val="en-US" w:eastAsia="zh-CN"/>
        </w:rPr>
        <w:t>及正品</w:t>
      </w:r>
      <w:r>
        <w:rPr>
          <w:rFonts w:hint="eastAsia" w:ascii="宋体" w:hAnsi="宋体" w:eastAsia="宋体" w:cs="宋体"/>
          <w:sz w:val="24"/>
          <w:szCs w:val="24"/>
          <w:highlight w:val="none"/>
          <w:lang w:val="en-US" w:eastAsia="zh-CN"/>
        </w:rPr>
        <w:t>证明材料。所有安装主材料在安装前应事先得到采购人的认可。</w:t>
      </w:r>
    </w:p>
    <w:p>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cs="宋体"/>
          <w:caps/>
          <w:kern w:val="0"/>
          <w:sz w:val="24"/>
          <w:szCs w:val="24"/>
          <w:highlight w:val="none"/>
          <w:lang w:val="en-US" w:eastAsia="zh-CN"/>
        </w:rPr>
        <w:t>投标</w:t>
      </w:r>
      <w:r>
        <w:rPr>
          <w:rFonts w:hint="eastAsia" w:ascii="宋体" w:hAnsi="宋体" w:eastAsia="宋体" w:cs="宋体"/>
          <w:sz w:val="24"/>
          <w:szCs w:val="24"/>
          <w:highlight w:val="none"/>
          <w:lang w:val="en-US" w:eastAsia="zh-CN"/>
        </w:rPr>
        <w:t>人应在履行合同的全过程(从开始供货到最终验收),对所有供货和服务的质量保证负责，即要保证所有这些供货和服务的质量符合合同中有关技术、交付、验收和价格所规定的要求；</w:t>
      </w:r>
    </w:p>
    <w:p>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w:t>
      </w:r>
      <w:r>
        <w:rPr>
          <w:rFonts w:hint="eastAsia" w:ascii="宋体" w:hAnsi="宋体" w:cs="宋体"/>
          <w:caps/>
          <w:kern w:val="0"/>
          <w:sz w:val="24"/>
          <w:szCs w:val="24"/>
          <w:highlight w:val="none"/>
          <w:lang w:val="en-US" w:eastAsia="zh-CN"/>
        </w:rPr>
        <w:t>投标</w:t>
      </w:r>
      <w:r>
        <w:rPr>
          <w:rFonts w:hint="eastAsia" w:ascii="宋体" w:hAnsi="宋体" w:eastAsia="宋体" w:cs="宋体"/>
          <w:sz w:val="24"/>
          <w:szCs w:val="24"/>
          <w:highlight w:val="none"/>
          <w:lang w:val="en-US" w:eastAsia="zh-CN"/>
        </w:rPr>
        <w:t>人应在项目验收前向采购人移交项目过程中的全部交付成果。</w:t>
      </w:r>
    </w:p>
    <w:p>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6.工期保障</w:t>
      </w:r>
    </w:p>
    <w:p>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（1）项目工期为2025年12月31日前完成。</w:t>
      </w:r>
    </w:p>
    <w:p>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（2）投标人的项目进度管理应该遵循以下原则：</w:t>
      </w:r>
    </w:p>
    <w:p>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项目进度管理的依据是项目合同所约定的工期目标；</w:t>
      </w:r>
    </w:p>
    <w:p>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在确保项目质量和安全的原则下，控制项目进度。</w:t>
      </w:r>
    </w:p>
    <w:p>
      <w:pPr>
        <w:spacing w:line="360" w:lineRule="auto"/>
        <w:ind w:firstLine="480" w:firstLineChars="200"/>
        <w:rPr>
          <w:rFonts w:hint="eastAsia" w:ascii="宋体" w:hAnsi="宋体" w:eastAsia="宋体" w:cs="宋体"/>
          <w:sz w:val="24"/>
          <w:szCs w:val="24"/>
          <w:highlight w:val="none"/>
          <w:lang w:val="en-US" w:eastAsia="zh-CN"/>
        </w:rPr>
      </w:pPr>
    </w:p>
    <w:sectPr>
      <w:headerReference r:id="rId3" w:type="default"/>
      <w:footerReference r:id="rId4" w:type="default"/>
      <w:pgSz w:w="11907" w:h="16839"/>
      <w:pgMar w:top="1440" w:right="1797" w:bottom="1440" w:left="1797" w:header="850" w:footer="850" w:gutter="0"/>
      <w:pgBorders>
        <w:top w:val="none" w:sz="0" w:space="0"/>
        <w:left w:val="none" w:sz="0" w:space="0"/>
        <w:bottom w:val="none" w:sz="0" w:space="0"/>
        <w:right w:val="none" w:sz="0" w:space="0"/>
      </w:pgBorders>
      <w:pgNumType w:fmt="decimal"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Book Antiqua">
    <w:altName w:val="Noto Sans Syriac Eastern"/>
    <w:panose1 w:val="02040602050305030304"/>
    <w:charset w:val="00"/>
    <w:family w:val="auto"/>
    <w:pitch w:val="default"/>
    <w:sig w:usb0="00000000" w:usb1="00000000" w:usb2="00000000" w:usb3="00000000" w:csb0="2000009F" w:csb1="DFD70000"/>
  </w:font>
  <w:font w:name="Noto Sans Syriac Eastern">
    <w:panose1 w:val="02040503050306020203"/>
    <w:charset w:val="86"/>
    <w:family w:val="auto"/>
    <w:pitch w:val="default"/>
    <w:sig w:usb0="00000000" w:usb1="00000000" w:usb2="00000080" w:usb3="00000000" w:csb0="203E0161" w:csb1="D7FF0000"/>
  </w:font>
  <w:font w:name="方正黑体_GBK">
    <w:panose1 w:val="02000000000000000000"/>
    <w:charset w:val="86"/>
    <w:family w:val="auto"/>
    <w:pitch w:val="default"/>
    <w:sig w:usb0="00000001" w:usb1="08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微软雅黑">
    <w:altName w:val="方正黑体_GBK"/>
    <w:panose1 w:val="020B0503020204020204"/>
    <w:charset w:val="86"/>
    <w:family w:val="auto"/>
    <w:pitch w:val="default"/>
    <w:sig w:usb0="00000000" w:usb1="00000000" w:usb2="00000016" w:usb3="00000000" w:csb0="0004001F" w:csb1="00000000"/>
  </w:font>
  <w:font w:name="仿宋">
    <w:panose1 w:val="02010609060101010101"/>
    <w:charset w:val="86"/>
    <w:family w:val="auto"/>
    <w:pitch w:val="default"/>
    <w:sig w:usb0="800002BF" w:usb1="38CF7CFA" w:usb2="00000016" w:usb3="00000000" w:csb0="00040001" w:csb1="00000000"/>
  </w:font>
  <w:font w:name="宋体-18030">
    <w:altName w:val="Droid Sans Fallback"/>
    <w:panose1 w:val="00000000000000000000"/>
    <w:charset w:val="86"/>
    <w:family w:val="modern"/>
    <w:pitch w:val="default"/>
    <w:sig w:usb0="00000000" w:usb1="00000000" w:usb2="000A005E" w:usb3="00000000" w:csb0="00040001" w:csb1="00000000"/>
  </w:font>
  <w:font w:name="Droid Sans Fallback">
    <w:panose1 w:val="020B0502000000000001"/>
    <w:charset w:val="86"/>
    <w:family w:val="auto"/>
    <w:pitch w:val="default"/>
    <w:sig w:usb0="910002FF" w:usb1="2BDFFCFB" w:usb2="00000036" w:usb3="00000000" w:csb0="203F01FF" w:csb1="D7FF0000"/>
  </w:font>
  <w:font w:name="微软雅黑">
    <w:altName w:val="方正黑体_GBK"/>
    <w:panose1 w:val="00000000000000000000"/>
    <w:charset w:val="00"/>
    <w:family w:val="auto"/>
    <w:pitch w:val="default"/>
    <w:sig w:usb0="00000000" w:usb1="00000000" w:usb2="00000000" w:usb3="00000000" w:csb0="00000000" w:csb1="00000000"/>
  </w:font>
  <w:font w:name="Tahoma">
    <w:altName w:val="DejaVu Sans"/>
    <w:panose1 w:val="00000000000000000000"/>
    <w:charset w:val="00"/>
    <w:family w:val="auto"/>
    <w:pitch w:val="default"/>
    <w:sig w:usb0="00000000" w:usb1="00000000" w:usb2="00000000" w:usb3="00000000" w:csb0="0000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lang w:eastAsia="zh-CN"/>
                            </w:rPr>
                          </w:pPr>
                        </w:p>
                        <w:p>
                          <w:pPr>
                            <w:pStyle w:val="11"/>
                            <w:rPr>
                              <w:rFonts w:hint="eastAsia"/>
                              <w:lang w:eastAsia="zh-CN"/>
                            </w:rPr>
                          </w:pPr>
                        </w:p>
                        <w:p>
                          <w:pPr>
                            <w:pStyle w:val="11"/>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p>
                          <w:pPr>
                            <w:pStyle w:val="11"/>
                            <w:rPr>
                              <w:rFonts w:hint="eastAsia"/>
                              <w:lang w:eastAsia="zh-CN"/>
                            </w:rPr>
                          </w:pPr>
                        </w:p>
                        <w:p>
                          <w:pPr>
                            <w:pStyle w:val="11"/>
                            <w:rPr>
                              <w:rFonts w:hint="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kgka0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&#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JIJGtDECAABhBAAADgAAAAAAAAABACAAAAA1&#10;AQAAZHJzL2Uyb0RvYy54bWxQSwUGAAAAAAYABgBZAQAA2AUAAAAA&#10;">
              <v:fill on="f" focussize="0,0"/>
              <v:stroke on="f" weight="0.5pt"/>
              <v:imagedata o:title=""/>
              <o:lock v:ext="edit" aspectratio="f"/>
              <v:textbox inset="0mm,0mm,0mm,0mm" style="mso-fit-shape-to-text:t;">
                <w:txbxContent>
                  <w:p>
                    <w:pPr>
                      <w:pStyle w:val="11"/>
                      <w:rPr>
                        <w:rFonts w:hint="eastAsia"/>
                        <w:lang w:eastAsia="zh-CN"/>
                      </w:rPr>
                    </w:pPr>
                  </w:p>
                  <w:p>
                    <w:pPr>
                      <w:pStyle w:val="11"/>
                      <w:rPr>
                        <w:rFonts w:hint="eastAsia"/>
                        <w:lang w:eastAsia="zh-CN"/>
                      </w:rPr>
                    </w:pPr>
                  </w:p>
                  <w:p>
                    <w:pPr>
                      <w:pStyle w:val="11"/>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p>
                    <w:pPr>
                      <w:pStyle w:val="11"/>
                      <w:rPr>
                        <w:rFonts w:hint="eastAsia"/>
                        <w:lang w:eastAsia="zh-CN"/>
                      </w:rPr>
                    </w:pPr>
                  </w:p>
                  <w:p>
                    <w:pPr>
                      <w:pStyle w:val="11"/>
                      <w:rPr>
                        <w:rFonts w:hint="eastAsia"/>
                        <w:lang w:eastAsia="zh-CN"/>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column">
                <wp:posOffset>-15240</wp:posOffset>
              </wp:positionH>
              <wp:positionV relativeFrom="paragraph">
                <wp:posOffset>113665</wp:posOffset>
              </wp:positionV>
              <wp:extent cx="5292090" cy="0"/>
              <wp:effectExtent l="0" t="0" r="0" b="0"/>
              <wp:wrapNone/>
              <wp:docPr id="57" name="自选图形 15"/>
              <wp:cNvGraphicFramePr/>
              <a:graphic xmlns:a="http://schemas.openxmlformats.org/drawingml/2006/main">
                <a:graphicData uri="http://schemas.microsoft.com/office/word/2010/wordprocessingShape">
                  <wps:wsp>
                    <wps:cNvCnPr/>
                    <wps:spPr>
                      <a:xfrm>
                        <a:off x="0" y="0"/>
                        <a:ext cx="5292090"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15" o:spid="_x0000_s1026" o:spt="32" type="#_x0000_t32" style="position:absolute;left:0pt;margin-left:-1.2pt;margin-top:8.95pt;height:0pt;width:416.7pt;z-index:251659264;mso-width-relative:page;mso-height-relative:page;" filled="f" stroked="t" coordsize="21600,21600" o:gfxdata="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FgAAAGRycy9QSwECFAAUAAAACACHTuJAS3e4ENYAAAAIAQAADwAAAAAAAAABACAAAAA4&#10;AAAAZHJzL2Rvd25yZXYueG1sUEsBAhQAFAAAAAgAh07iQIIBI0f2AQAA5QMAAA4AAAAAAAAAAQAg&#10;AAAAOwEAAGRycy9lMm9Eb2MueG1sUEsFBgAAAAAGAAYAWQEAAKMFAAAAAA==&#10;">
              <v:fill on="f" focussize="0,0"/>
              <v:stroke color="#000000" joinstyle="round"/>
              <v:imagedata o:title=""/>
              <o:lock v:ext="edit" aspectratio="f"/>
            </v:shape>
          </w:pict>
        </mc:Fallback>
      </mc:AlternateContent>
    </w:r>
  </w:p>
  <w:p>
    <w:pPr>
      <w:pStyle w:val="11"/>
      <w:jc w:val="both"/>
      <w:rPr>
        <w:rFonts w:hint="eastAsia"/>
      </w:rPr>
    </w:pPr>
    <w:r>
      <w:rPr>
        <w:rFonts w:hint="eastAsia" w:ascii="宋体" w:hAnsi="宋体"/>
        <w:sz w:val="21"/>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numPr>
        <w:ilvl w:val="0"/>
        <w:numId w:val="0"/>
      </w:numPr>
      <w:pBdr>
        <w:bottom w:val="single" w:color="auto" w:sz="4" w:space="0"/>
      </w:pBdr>
      <w:wordWrap w:val="0"/>
      <w:jc w:val="right"/>
      <w:rPr>
        <w:rFonts w:hint="eastAsia" w:eastAsia="宋体-18030"/>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D6BE0D"/>
    <w:multiLevelType w:val="singleLevel"/>
    <w:tmpl w:val="D9D6BE0D"/>
    <w:lvl w:ilvl="0" w:tentative="0">
      <w:start w:val="1"/>
      <w:numFmt w:val="bullet"/>
      <w:lvlText w:val=""/>
      <w:lvlJc w:val="left"/>
      <w:pPr>
        <w:ind w:left="420" w:leftChars="0" w:firstLine="0" w:firstLineChars="0"/>
      </w:pPr>
      <w:rPr>
        <w:rFonts w:hint="default" w:ascii="Wingdings" w:hAnsi="Wingdings"/>
      </w:rPr>
    </w:lvl>
  </w:abstractNum>
  <w:abstractNum w:abstractNumId="1">
    <w:nsid w:val="FFFE88E8"/>
    <w:multiLevelType w:val="singleLevel"/>
    <w:tmpl w:val="FFFE88E8"/>
    <w:lvl w:ilvl="0" w:tentative="0">
      <w:start w:val="1"/>
      <w:numFmt w:val="decimal"/>
      <w:suff w:val="nothing"/>
      <w:lvlText w:val="（%1）"/>
      <w:lvlJc w:val="left"/>
    </w:lvl>
  </w:abstractNum>
  <w:abstractNum w:abstractNumId="2">
    <w:nsid w:val="1CD006EA"/>
    <w:multiLevelType w:val="multilevel"/>
    <w:tmpl w:val="1CD006EA"/>
    <w:lvl w:ilvl="0" w:tentative="0">
      <w:start w:val="1"/>
      <w:numFmt w:val="decimal"/>
      <w:pStyle w:val="4"/>
      <w:lvlText w:val="%1"/>
      <w:lvlJc w:val="left"/>
      <w:pPr>
        <w:tabs>
          <w:tab w:val="left" w:pos="425"/>
        </w:tabs>
        <w:ind w:left="425" w:hanging="425"/>
      </w:pPr>
      <w:rPr>
        <w:rFonts w:hint="default" w:ascii="Book Antiqua" w:hAnsi="Book Antiqua"/>
      </w:rPr>
    </w:lvl>
    <w:lvl w:ilvl="1" w:tentative="0">
      <w:start w:val="1"/>
      <w:numFmt w:val="decimal"/>
      <w:pStyle w:val="5"/>
      <w:lvlText w:val="%1.%2"/>
      <w:lvlJc w:val="left"/>
      <w:pPr>
        <w:tabs>
          <w:tab w:val="left" w:pos="567"/>
        </w:tabs>
        <w:ind w:left="567" w:hanging="567"/>
      </w:pPr>
      <w:rPr>
        <w:rFonts w:hint="default" w:ascii="Book Antiqua" w:hAnsi="Book Antiqua"/>
        <w:color w:val="auto"/>
      </w:rPr>
    </w:lvl>
    <w:lvl w:ilvl="2" w:tentative="0">
      <w:start w:val="1"/>
      <w:numFmt w:val="decimal"/>
      <w:pStyle w:val="6"/>
      <w:lvlText w:val="%1.%2.%3"/>
      <w:lvlJc w:val="left"/>
      <w:pPr>
        <w:tabs>
          <w:tab w:val="left" w:pos="1699"/>
        </w:tabs>
        <w:ind w:left="1699" w:hanging="709"/>
      </w:pPr>
      <w:rPr>
        <w:rFonts w:hint="default" w:ascii="Book Antiqua" w:hAnsi="Book Antiqua"/>
      </w:rPr>
    </w:lvl>
    <w:lvl w:ilvl="3" w:tentative="0">
      <w:start w:val="1"/>
      <w:numFmt w:val="decimal"/>
      <w:pStyle w:val="7"/>
      <w:lvlText w:val="%1.%2.%3.%4"/>
      <w:lvlJc w:val="left"/>
      <w:pPr>
        <w:tabs>
          <w:tab w:val="left" w:pos="851"/>
        </w:tabs>
        <w:ind w:left="851" w:hanging="851"/>
      </w:pPr>
      <w:rPr>
        <w:rFonts w:hint="default" w:ascii="Book Antiqua" w:hAnsi="Book Antiqua"/>
        <w:color w:val="auto"/>
      </w:r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rPr>
        <w:rFonts w:hint="eastAsia"/>
        <w:b/>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5B067AD5"/>
    <w:multiLevelType w:val="singleLevel"/>
    <w:tmpl w:val="5B067AD5"/>
    <w:lvl w:ilvl="0" w:tentative="0">
      <w:start w:val="1"/>
      <w:numFmt w:val="chineseCounting"/>
      <w:suff w:val="nothing"/>
      <w:lvlText w:val="%1、"/>
      <w:lvlJc w:val="left"/>
      <w:pPr>
        <w:ind w:left="-643" w:firstLine="420"/>
      </w:pPr>
      <w:rPr>
        <w:rFonts w:hint="eastAsia"/>
      </w:rPr>
    </w:lvl>
  </w:abstractNum>
  <w:abstractNum w:abstractNumId="4">
    <w:nsid w:val="6CEA2025"/>
    <w:multiLevelType w:val="multilevel"/>
    <w:tmpl w:val="6CEA2025"/>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pStyle w:val="12"/>
      <w:suff w:val="nothing"/>
      <w:lvlText w:val="%1%2.%3.%4.%5.%6.%7　"/>
      <w:lvlJc w:val="left"/>
      <w:pPr>
        <w:ind w:left="3119"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C45901"/>
    <w:rsid w:val="017424F2"/>
    <w:rsid w:val="01B42DDA"/>
    <w:rsid w:val="025715C2"/>
    <w:rsid w:val="0277794C"/>
    <w:rsid w:val="05B943F0"/>
    <w:rsid w:val="062D43AF"/>
    <w:rsid w:val="06813E39"/>
    <w:rsid w:val="07033909"/>
    <w:rsid w:val="07A50719"/>
    <w:rsid w:val="08110086"/>
    <w:rsid w:val="0A1A36A0"/>
    <w:rsid w:val="0C1B5C13"/>
    <w:rsid w:val="0C817312"/>
    <w:rsid w:val="0CC45901"/>
    <w:rsid w:val="0E045199"/>
    <w:rsid w:val="11CF2D47"/>
    <w:rsid w:val="1446643B"/>
    <w:rsid w:val="149E7662"/>
    <w:rsid w:val="1694429A"/>
    <w:rsid w:val="16CD5BE6"/>
    <w:rsid w:val="17C06FDB"/>
    <w:rsid w:val="19FC5530"/>
    <w:rsid w:val="1AF96C54"/>
    <w:rsid w:val="1B3F6E41"/>
    <w:rsid w:val="1BC2741A"/>
    <w:rsid w:val="1E0D155D"/>
    <w:rsid w:val="1E797B36"/>
    <w:rsid w:val="1EB1426A"/>
    <w:rsid w:val="1FEEB6A3"/>
    <w:rsid w:val="20053897"/>
    <w:rsid w:val="20B555A3"/>
    <w:rsid w:val="22D401B1"/>
    <w:rsid w:val="24400708"/>
    <w:rsid w:val="250E05A3"/>
    <w:rsid w:val="268F78DF"/>
    <w:rsid w:val="279216D6"/>
    <w:rsid w:val="279A4C07"/>
    <w:rsid w:val="28C93356"/>
    <w:rsid w:val="28DE0127"/>
    <w:rsid w:val="2919115F"/>
    <w:rsid w:val="2D990460"/>
    <w:rsid w:val="2DA73EF2"/>
    <w:rsid w:val="2F3078D7"/>
    <w:rsid w:val="306C65DF"/>
    <w:rsid w:val="313E5D03"/>
    <w:rsid w:val="346703E8"/>
    <w:rsid w:val="36FE0747"/>
    <w:rsid w:val="37DA5B0E"/>
    <w:rsid w:val="38B13611"/>
    <w:rsid w:val="38B92017"/>
    <w:rsid w:val="3A104852"/>
    <w:rsid w:val="3A825A8A"/>
    <w:rsid w:val="3B4A7A51"/>
    <w:rsid w:val="3B981612"/>
    <w:rsid w:val="3D1B504E"/>
    <w:rsid w:val="3E6DA9D5"/>
    <w:rsid w:val="3EBC4E7A"/>
    <w:rsid w:val="3F9A3C85"/>
    <w:rsid w:val="3FEFA127"/>
    <w:rsid w:val="3FFFF561"/>
    <w:rsid w:val="43EB7FFB"/>
    <w:rsid w:val="463B09EA"/>
    <w:rsid w:val="49566CE0"/>
    <w:rsid w:val="4B813FE9"/>
    <w:rsid w:val="4EB130C5"/>
    <w:rsid w:val="4F522031"/>
    <w:rsid w:val="4FF4CA11"/>
    <w:rsid w:val="512F4018"/>
    <w:rsid w:val="5155194C"/>
    <w:rsid w:val="53067251"/>
    <w:rsid w:val="53363C28"/>
    <w:rsid w:val="53645CDE"/>
    <w:rsid w:val="544F66BB"/>
    <w:rsid w:val="552E2DE7"/>
    <w:rsid w:val="5682571F"/>
    <w:rsid w:val="577CC3D1"/>
    <w:rsid w:val="58623249"/>
    <w:rsid w:val="58626111"/>
    <w:rsid w:val="5911172D"/>
    <w:rsid w:val="5B331FD5"/>
    <w:rsid w:val="5B7F4158"/>
    <w:rsid w:val="5C8000FD"/>
    <w:rsid w:val="5CA31609"/>
    <w:rsid w:val="5CF21489"/>
    <w:rsid w:val="5D3178B1"/>
    <w:rsid w:val="5D7BD18A"/>
    <w:rsid w:val="5F0103B3"/>
    <w:rsid w:val="5FE71E07"/>
    <w:rsid w:val="5FF77069"/>
    <w:rsid w:val="60276554"/>
    <w:rsid w:val="6133503E"/>
    <w:rsid w:val="625C7CF2"/>
    <w:rsid w:val="63466B32"/>
    <w:rsid w:val="662047A4"/>
    <w:rsid w:val="668869C6"/>
    <w:rsid w:val="674F2F0C"/>
    <w:rsid w:val="67E552F0"/>
    <w:rsid w:val="69434640"/>
    <w:rsid w:val="694D4F50"/>
    <w:rsid w:val="6962026F"/>
    <w:rsid w:val="6AA81420"/>
    <w:rsid w:val="6E573DE3"/>
    <w:rsid w:val="700B1AE0"/>
    <w:rsid w:val="70A858BC"/>
    <w:rsid w:val="726A16B0"/>
    <w:rsid w:val="726F4F19"/>
    <w:rsid w:val="73337D8F"/>
    <w:rsid w:val="758A7EE3"/>
    <w:rsid w:val="7671BCE3"/>
    <w:rsid w:val="7675F09C"/>
    <w:rsid w:val="76C021E7"/>
    <w:rsid w:val="76D27DF6"/>
    <w:rsid w:val="76F01F2A"/>
    <w:rsid w:val="778D20C9"/>
    <w:rsid w:val="77B024A1"/>
    <w:rsid w:val="77BF9D25"/>
    <w:rsid w:val="784E426F"/>
    <w:rsid w:val="788835EF"/>
    <w:rsid w:val="78C86137"/>
    <w:rsid w:val="7A232B70"/>
    <w:rsid w:val="7B545653"/>
    <w:rsid w:val="7B7FEEDE"/>
    <w:rsid w:val="7B9B67ED"/>
    <w:rsid w:val="7BF95E70"/>
    <w:rsid w:val="7D6BF7C7"/>
    <w:rsid w:val="7D780020"/>
    <w:rsid w:val="7DFB9D11"/>
    <w:rsid w:val="7E7FE078"/>
    <w:rsid w:val="7E8C763C"/>
    <w:rsid w:val="7EFB22FA"/>
    <w:rsid w:val="7EFB41CE"/>
    <w:rsid w:val="7F9153BF"/>
    <w:rsid w:val="7FF51814"/>
    <w:rsid w:val="87DC5C97"/>
    <w:rsid w:val="8BD512F7"/>
    <w:rsid w:val="9FAFF1CF"/>
    <w:rsid w:val="9FFF3A9A"/>
    <w:rsid w:val="AE0570E8"/>
    <w:rsid w:val="AF7CA966"/>
    <w:rsid w:val="AFB34319"/>
    <w:rsid w:val="AFEFD3B6"/>
    <w:rsid w:val="BDFCFCAC"/>
    <w:rsid w:val="BDFF876A"/>
    <w:rsid w:val="BE6F86F9"/>
    <w:rsid w:val="BF7EDAD5"/>
    <w:rsid w:val="C2EC1EAA"/>
    <w:rsid w:val="D37784B6"/>
    <w:rsid w:val="D42D5737"/>
    <w:rsid w:val="D7F12618"/>
    <w:rsid w:val="DAFE9E72"/>
    <w:rsid w:val="DE6799EA"/>
    <w:rsid w:val="DFA65AD5"/>
    <w:rsid w:val="DFEB1EFC"/>
    <w:rsid w:val="E66B253B"/>
    <w:rsid w:val="E9F6250D"/>
    <w:rsid w:val="EBB31483"/>
    <w:rsid w:val="ECAB7526"/>
    <w:rsid w:val="ECEEF77F"/>
    <w:rsid w:val="EFBE464C"/>
    <w:rsid w:val="EFFFAE87"/>
    <w:rsid w:val="F6F3455C"/>
    <w:rsid w:val="F77F1AD4"/>
    <w:rsid w:val="FBF587D8"/>
    <w:rsid w:val="FBFB538B"/>
    <w:rsid w:val="FBFD7896"/>
    <w:rsid w:val="FE7F099D"/>
    <w:rsid w:val="FF77DF8F"/>
    <w:rsid w:val="FFCEF6CB"/>
    <w:rsid w:val="FFDDB021"/>
    <w:rsid w:val="FFFD04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pageBreakBefore/>
      <w:numPr>
        <w:ilvl w:val="0"/>
        <w:numId w:val="1"/>
      </w:numPr>
      <w:spacing w:line="440" w:lineRule="exact"/>
      <w:outlineLvl w:val="0"/>
    </w:pPr>
    <w:rPr>
      <w:rFonts w:ascii="Arial" w:hAnsi="Arial" w:eastAsia="宋体" w:cs="Times New Roman"/>
      <w:b/>
      <w:bCs/>
      <w:kern w:val="44"/>
      <w:sz w:val="32"/>
      <w:szCs w:val="36"/>
    </w:rPr>
  </w:style>
  <w:style w:type="paragraph" w:styleId="5">
    <w:name w:val="heading 2"/>
    <w:basedOn w:val="1"/>
    <w:next w:val="1"/>
    <w:semiHidden/>
    <w:unhideWhenUsed/>
    <w:qFormat/>
    <w:uiPriority w:val="0"/>
    <w:pPr>
      <w:keepNext/>
      <w:keepLines/>
      <w:numPr>
        <w:ilvl w:val="1"/>
        <w:numId w:val="1"/>
      </w:numPr>
      <w:spacing w:before="260" w:beforeLines="0" w:beforeAutospacing="0" w:after="260" w:afterLines="0" w:afterAutospacing="0" w:line="413" w:lineRule="auto"/>
      <w:ind w:left="567" w:hanging="567"/>
      <w:outlineLvl w:val="1"/>
    </w:pPr>
    <w:rPr>
      <w:rFonts w:ascii="Arial" w:hAnsi="Arial" w:eastAsia="黑体"/>
      <w:b/>
      <w:sz w:val="32"/>
    </w:rPr>
  </w:style>
  <w:style w:type="paragraph" w:styleId="6">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left="1699" w:hanging="709"/>
      <w:outlineLvl w:val="2"/>
    </w:pPr>
    <w:rPr>
      <w:b/>
      <w:sz w:val="32"/>
    </w:rPr>
  </w:style>
  <w:style w:type="paragraph" w:styleId="7">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left="851" w:hanging="851"/>
      <w:outlineLvl w:val="3"/>
    </w:pPr>
    <w:rPr>
      <w:rFonts w:ascii="Arial" w:hAnsi="Arial" w:eastAsia="黑体"/>
      <w:b/>
      <w:sz w:val="28"/>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3">
    <w:name w:val="Title"/>
    <w:basedOn w:val="1"/>
    <w:next w:val="1"/>
    <w:qFormat/>
    <w:uiPriority w:val="1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8">
    <w:name w:val="annotation text"/>
    <w:basedOn w:val="1"/>
    <w:qFormat/>
    <w:uiPriority w:val="0"/>
    <w:pPr>
      <w:jc w:val="left"/>
    </w:pPr>
  </w:style>
  <w:style w:type="paragraph" w:styleId="9">
    <w:name w:val="Body Text Indent"/>
    <w:basedOn w:val="1"/>
    <w:qFormat/>
    <w:uiPriority w:val="0"/>
    <w:pPr>
      <w:spacing w:after="120"/>
      <w:ind w:left="420" w:leftChars="200"/>
    </w:pPr>
    <w:rPr>
      <w:lang w:val="zh-CN" w:eastAsia="zh-CN"/>
    </w:rPr>
  </w:style>
  <w:style w:type="paragraph" w:styleId="10">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1">
    <w:name w:val="footer"/>
    <w:basedOn w:val="1"/>
    <w:qFormat/>
    <w:uiPriority w:val="0"/>
    <w:pPr>
      <w:tabs>
        <w:tab w:val="center" w:pos="4153"/>
        <w:tab w:val="right" w:pos="8306"/>
      </w:tabs>
      <w:snapToGrid w:val="0"/>
      <w:jc w:val="left"/>
    </w:pPr>
    <w:rPr>
      <w:sz w:val="18"/>
      <w:szCs w:val="18"/>
    </w:rPr>
  </w:style>
  <w:style w:type="paragraph" w:styleId="12">
    <w:name w:val="header"/>
    <w:basedOn w:val="1"/>
    <w:qFormat/>
    <w:uiPriority w:val="0"/>
    <w:pPr>
      <w:numPr>
        <w:ilvl w:val="6"/>
        <w:numId w:val="2"/>
      </w:numPr>
      <w:pBdr>
        <w:bottom w:val="single" w:color="auto" w:sz="6" w:space="1"/>
      </w:pBdr>
      <w:tabs>
        <w:tab w:val="center" w:pos="4153"/>
        <w:tab w:val="right" w:pos="8306"/>
      </w:tabs>
      <w:snapToGrid w:val="0"/>
      <w:jc w:val="center"/>
    </w:pPr>
    <w:rPr>
      <w:sz w:val="18"/>
      <w:szCs w:val="18"/>
    </w:rPr>
  </w:style>
  <w:style w:type="paragraph" w:styleId="13">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4">
    <w:name w:val="Body Text First Indent 2"/>
    <w:basedOn w:val="9"/>
    <w:qFormat/>
    <w:uiPriority w:val="0"/>
    <w:pPr>
      <w:ind w:firstLine="420" w:firstLineChars="200"/>
    </w:p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
    <w:name w:val="正文1"/>
    <w:basedOn w:val="1"/>
    <w:next w:val="1"/>
    <w:qFormat/>
    <w:uiPriority w:val="99"/>
    <w:pPr>
      <w:spacing w:beforeLines="100" w:line="360" w:lineRule="auto"/>
      <w:ind w:right="-1052" w:rightChars="-501" w:firstLine="140"/>
    </w:pPr>
    <w:rPr>
      <w:rFonts w:ascii="仿宋_GB2312" w:hAnsi="宋体" w:eastAsia="仿宋_GB2312"/>
      <w:color w:val="FF0000"/>
      <w:sz w:val="28"/>
      <w:szCs w:val="28"/>
    </w:rPr>
  </w:style>
  <w:style w:type="paragraph" w:customStyle="1" w:styleId="19">
    <w:name w:val="Default"/>
    <w:qFormat/>
    <w:uiPriority w:val="0"/>
    <w:pPr>
      <w:widowControl w:val="0"/>
      <w:autoSpaceDE w:val="0"/>
      <w:autoSpaceDN w:val="0"/>
      <w:adjustRightInd w:val="0"/>
    </w:pPr>
    <w:rPr>
      <w:rFonts w:ascii="微软雅黑" w:hAnsi="Calibri" w:eastAsia="微软雅黑" w:cs="微软雅黑"/>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1908</Words>
  <Characters>1995</Characters>
  <Lines>0</Lines>
  <Paragraphs>0</Paragraphs>
  <TotalTime>1</TotalTime>
  <ScaleCrop>false</ScaleCrop>
  <LinksUpToDate>false</LinksUpToDate>
  <CharactersWithSpaces>2001</CharactersWithSpaces>
  <Application>WPS Office_11.8.2.1130_F1E327BC-269C-435d-A152-05C5408002CA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2023-12-05T10:15:00Z</dcterms:created>
  <dc:creator>Administrator</dc:creator>
  <cp:lastModifiedBy>zhaoyuwen</cp:lastModifiedBy>
  <dcterms:modified xsi:type="dcterms:W3CDTF">2025-08-19T19:14:47Z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2052-11.8.2.1130</vt:lpwstr>
  </property>
  <property fmtid="{D5CDD505-2E9C-101B-9397-08002B2CF9AE}" pid="3" name="ICV">
    <vt:lpwstr>4419ABDE7D56464CA07C37ED432A6CE3_13</vt:lpwstr>
  </property>
  <property fmtid="{D5CDD505-2E9C-101B-9397-08002B2CF9AE}" pid="4" name="KSOTemplateDocerSaveRecord">
    <vt:lpwstr>eyJoZGlkIjoiZjlhOWE0MmNjMGZiMmI5MDljZjU1MGZmYjU3NDI1ZDIiLCJ1c2VySWQiOiIzNDM4Njk0MjkifQ==</vt:lpwstr>
  </property>
</Properties>
</file>