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snapToGrid w:val="0"/>
          <w:kern w:val="0"/>
          <w:sz w:val="44"/>
          <w:szCs w:val="44"/>
          <w:highlight w:val="none"/>
        </w:rPr>
      </w:pPr>
    </w:p>
    <w:p>
      <w:pPr>
        <w:jc w:val="center"/>
        <w:rPr>
          <w:rFonts w:ascii="宋体" w:hAnsi="宋体"/>
          <w:snapToGrid w:val="0"/>
          <w:kern w:val="0"/>
          <w:sz w:val="44"/>
          <w:szCs w:val="44"/>
          <w:highlight w:val="none"/>
        </w:rPr>
      </w:pPr>
    </w:p>
    <w:p>
      <w:pPr>
        <w:jc w:val="center"/>
        <w:rPr>
          <w:rFonts w:ascii="宋体" w:hAnsi="宋体"/>
          <w:snapToGrid w:val="0"/>
          <w:kern w:val="0"/>
          <w:sz w:val="44"/>
          <w:szCs w:val="44"/>
          <w:highlight w:val="none"/>
        </w:rPr>
      </w:pPr>
    </w:p>
    <w:p>
      <w:pPr>
        <w:jc w:val="center"/>
        <w:rPr>
          <w:rFonts w:ascii="宋体" w:hAnsi="宋体"/>
          <w:snapToGrid w:val="0"/>
          <w:kern w:val="0"/>
          <w:sz w:val="44"/>
          <w:szCs w:val="44"/>
          <w:highlight w:val="none"/>
        </w:rPr>
      </w:pPr>
    </w:p>
    <w:p>
      <w:pPr>
        <w:jc w:val="center"/>
        <w:rPr>
          <w:rFonts w:hint="eastAsia" w:ascii="宋体" w:hAnsi="宋体" w:cs="宋体"/>
          <w:sz w:val="44"/>
          <w:szCs w:val="44"/>
          <w:highlight w:val="none"/>
        </w:rPr>
      </w:pPr>
      <w:r>
        <w:rPr>
          <w:rFonts w:hint="eastAsia" w:ascii="宋体" w:hAnsi="宋体" w:cs="宋体"/>
          <w:sz w:val="44"/>
          <w:szCs w:val="44"/>
          <w:highlight w:val="none"/>
        </w:rPr>
        <w:t>广东电网有限责任公司汕尾供电局2025年作战指挥系统（供电所驾驶舱应用系统）</w:t>
      </w:r>
    </w:p>
    <w:p>
      <w:pPr>
        <w:jc w:val="center"/>
        <w:rPr>
          <w:rFonts w:ascii="宋体" w:hAnsi="宋体" w:cs="宋体"/>
          <w:sz w:val="44"/>
          <w:szCs w:val="44"/>
          <w:highlight w:val="none"/>
        </w:rPr>
      </w:pPr>
      <w:r>
        <w:rPr>
          <w:rFonts w:hint="eastAsia" w:ascii="宋体" w:hAnsi="宋体" w:cs="宋体"/>
          <w:sz w:val="44"/>
          <w:szCs w:val="44"/>
          <w:highlight w:val="none"/>
        </w:rPr>
        <w:t>维护技术服务项目技术</w:t>
      </w:r>
      <w:r>
        <w:rPr>
          <w:rFonts w:hint="eastAsia" w:ascii="宋体" w:hAnsi="宋体" w:cs="宋体"/>
          <w:sz w:val="44"/>
          <w:szCs w:val="44"/>
          <w:highlight w:val="none"/>
          <w:lang w:val="en-US" w:eastAsia="zh-CN"/>
        </w:rPr>
        <w:t>规范</w:t>
      </w:r>
      <w:r>
        <w:rPr>
          <w:rFonts w:hint="eastAsia" w:ascii="宋体" w:hAnsi="宋体" w:cs="宋体"/>
          <w:sz w:val="44"/>
          <w:szCs w:val="44"/>
          <w:highlight w:val="none"/>
        </w:rPr>
        <w:t>书</w:t>
      </w: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jc w:val="center"/>
        <w:rPr>
          <w:rFonts w:ascii="宋体" w:hAnsi="宋体" w:cs="宋体"/>
          <w:sz w:val="44"/>
          <w:szCs w:val="44"/>
          <w:highlight w:val="none"/>
        </w:rPr>
      </w:pPr>
    </w:p>
    <w:p>
      <w:pPr>
        <w:spacing w:line="560" w:lineRule="exact"/>
        <w:jc w:val="center"/>
        <w:rPr>
          <w:rFonts w:ascii="宋体" w:hAnsi="宋体" w:cs="宋体"/>
          <w:sz w:val="32"/>
          <w:szCs w:val="32"/>
          <w:highlight w:val="none"/>
        </w:rPr>
      </w:pPr>
    </w:p>
    <w:sdt>
      <w:sdtPr>
        <w:rPr>
          <w:rFonts w:ascii="宋体" w:hAnsi="宋体"/>
          <w:highlight w:val="none"/>
        </w:rPr>
        <w:id w:val="147475432"/>
        <w15:color w:val="DBDBDB"/>
        <w:docPartObj>
          <w:docPartGallery w:val="Table of Contents"/>
          <w:docPartUnique/>
        </w:docPartObj>
      </w:sdtPr>
      <w:sdtEndPr>
        <w:rPr>
          <w:rFonts w:ascii="Times New Roman" w:hAnsi="Times New Roman"/>
          <w:b/>
          <w:bCs/>
          <w:sz w:val="28"/>
          <w:szCs w:val="28"/>
          <w:highlight w:val="none"/>
        </w:rPr>
      </w:sdtEndPr>
      <w:sdtContent>
        <w:p>
          <w:pPr>
            <w:jc w:val="center"/>
            <w:rPr>
              <w:highlight w:val="none"/>
            </w:rPr>
          </w:pPr>
          <w:r>
            <w:rPr>
              <w:rFonts w:ascii="宋体" w:hAnsi="宋体"/>
              <w:highlight w:val="none"/>
            </w:rPr>
            <w:t>目录</w:t>
          </w:r>
        </w:p>
        <w:p>
          <w:pPr>
            <w:pStyle w:val="16"/>
            <w:tabs>
              <w:tab w:val="right" w:leader="dot" w:pos="8306"/>
            </w:tabs>
          </w:pPr>
          <w:r>
            <w:rPr>
              <w:sz w:val="24"/>
              <w:szCs w:val="28"/>
              <w:highlight w:val="none"/>
            </w:rPr>
            <w:fldChar w:fldCharType="begin"/>
          </w:r>
          <w:r>
            <w:rPr>
              <w:sz w:val="24"/>
              <w:szCs w:val="28"/>
              <w:highlight w:val="none"/>
            </w:rPr>
            <w:instrText xml:space="preserve">TOC \o "1-2" \h \u </w:instrText>
          </w:r>
          <w:r>
            <w:rPr>
              <w:sz w:val="24"/>
              <w:szCs w:val="28"/>
              <w:highlight w:val="none"/>
            </w:rPr>
            <w:fldChar w:fldCharType="separate"/>
          </w:r>
          <w:r>
            <w:rPr>
              <w:szCs w:val="28"/>
              <w:highlight w:val="none"/>
            </w:rPr>
            <w:fldChar w:fldCharType="begin"/>
          </w:r>
          <w:r>
            <w:rPr>
              <w:szCs w:val="28"/>
              <w:highlight w:val="none"/>
            </w:rPr>
            <w:instrText xml:space="preserve"> HYPERLINK \l _Toc26950 </w:instrText>
          </w:r>
          <w:r>
            <w:rPr>
              <w:szCs w:val="28"/>
              <w:highlight w:val="none"/>
            </w:rPr>
            <w:fldChar w:fldCharType="separate"/>
          </w:r>
          <w:r>
            <w:rPr>
              <w:rFonts w:hint="eastAsia" w:ascii="宋体" w:hAnsi="宋体"/>
              <w:bCs/>
              <w:szCs w:val="24"/>
              <w:highlight w:val="none"/>
            </w:rPr>
            <w:t>一、</w:t>
          </w:r>
          <w:r>
            <w:rPr>
              <w:rFonts w:hint="eastAsia" w:ascii="宋体" w:hAnsi="宋体"/>
              <w:bCs/>
              <w:szCs w:val="24"/>
              <w:highlight w:val="none"/>
              <w:lang w:val="zh-CN"/>
            </w:rPr>
            <w:t>概述</w:t>
          </w:r>
          <w:r>
            <w:tab/>
          </w:r>
          <w:r>
            <w:fldChar w:fldCharType="begin"/>
          </w:r>
          <w:r>
            <w:instrText xml:space="preserve"> PAGEREF _Toc26950 \h </w:instrText>
          </w:r>
          <w:r>
            <w:fldChar w:fldCharType="separate"/>
          </w:r>
          <w:r>
            <w:t>3</w:t>
          </w:r>
          <w:r>
            <w:fldChar w:fldCharType="end"/>
          </w:r>
          <w:r>
            <w:rPr>
              <w:szCs w:val="28"/>
              <w:highlight w:val="none"/>
            </w:rPr>
            <w:fldChar w:fldCharType="end"/>
          </w:r>
        </w:p>
        <w:p>
          <w:pPr>
            <w:pStyle w:val="16"/>
            <w:tabs>
              <w:tab w:val="right" w:leader="dot" w:pos="8306"/>
            </w:tabs>
          </w:pPr>
          <w:r>
            <w:rPr>
              <w:bCs/>
              <w:szCs w:val="28"/>
              <w:highlight w:val="none"/>
            </w:rPr>
            <w:fldChar w:fldCharType="begin"/>
          </w:r>
          <w:r>
            <w:rPr>
              <w:bCs/>
              <w:szCs w:val="28"/>
              <w:highlight w:val="none"/>
            </w:rPr>
            <w:instrText xml:space="preserve"> HYPERLINK \l _Toc4938 </w:instrText>
          </w:r>
          <w:r>
            <w:rPr>
              <w:bCs/>
              <w:szCs w:val="28"/>
              <w:highlight w:val="none"/>
            </w:rPr>
            <w:fldChar w:fldCharType="separate"/>
          </w:r>
          <w:r>
            <w:rPr>
              <w:rFonts w:hint="eastAsia" w:ascii="宋体" w:hAnsi="宋体"/>
              <w:bCs/>
              <w:szCs w:val="24"/>
              <w:highlight w:val="none"/>
            </w:rPr>
            <w:t>二、服务内容及范围</w:t>
          </w:r>
          <w:r>
            <w:tab/>
          </w:r>
          <w:r>
            <w:fldChar w:fldCharType="begin"/>
          </w:r>
          <w:r>
            <w:instrText xml:space="preserve"> PAGEREF _Toc4938 \h </w:instrText>
          </w:r>
          <w:r>
            <w:fldChar w:fldCharType="separate"/>
          </w:r>
          <w:r>
            <w:t>3</w:t>
          </w:r>
          <w:r>
            <w:fldChar w:fldCharType="end"/>
          </w:r>
          <w:r>
            <w:rPr>
              <w:bCs/>
              <w:szCs w:val="28"/>
              <w:highlight w:val="none"/>
            </w:rPr>
            <w:fldChar w:fldCharType="end"/>
          </w:r>
        </w:p>
        <w:p>
          <w:pPr>
            <w:pStyle w:val="17"/>
            <w:tabs>
              <w:tab w:val="right" w:leader="dot" w:pos="8306"/>
            </w:tabs>
          </w:pPr>
          <w:r>
            <w:rPr>
              <w:bCs/>
              <w:szCs w:val="28"/>
              <w:highlight w:val="none"/>
            </w:rPr>
            <w:fldChar w:fldCharType="begin"/>
          </w:r>
          <w:r>
            <w:rPr>
              <w:bCs/>
              <w:szCs w:val="28"/>
              <w:highlight w:val="none"/>
            </w:rPr>
            <w:instrText xml:space="preserve"> HYPERLINK \l _Toc15795 </w:instrText>
          </w:r>
          <w:r>
            <w:rPr>
              <w:bCs/>
              <w:szCs w:val="28"/>
              <w:highlight w:val="none"/>
            </w:rPr>
            <w:fldChar w:fldCharType="separate"/>
          </w:r>
          <w:r>
            <w:rPr>
              <w:rFonts w:hint="eastAsia" w:ascii="宋体" w:hAnsi="宋体"/>
              <w:bCs/>
              <w:szCs w:val="24"/>
              <w:highlight w:val="none"/>
            </w:rPr>
            <w:t>2.1服务范围</w:t>
          </w:r>
          <w:r>
            <w:tab/>
          </w:r>
          <w:r>
            <w:fldChar w:fldCharType="begin"/>
          </w:r>
          <w:r>
            <w:instrText xml:space="preserve"> PAGEREF _Toc15795 \h </w:instrText>
          </w:r>
          <w:r>
            <w:fldChar w:fldCharType="separate"/>
          </w:r>
          <w:r>
            <w:t>3</w:t>
          </w:r>
          <w:r>
            <w:fldChar w:fldCharType="end"/>
          </w:r>
          <w:r>
            <w:rPr>
              <w:bCs/>
              <w:szCs w:val="28"/>
              <w:highlight w:val="none"/>
            </w:rPr>
            <w:fldChar w:fldCharType="end"/>
          </w:r>
        </w:p>
        <w:p>
          <w:pPr>
            <w:pStyle w:val="17"/>
            <w:tabs>
              <w:tab w:val="right" w:leader="dot" w:pos="8306"/>
            </w:tabs>
          </w:pPr>
          <w:r>
            <w:rPr>
              <w:bCs/>
              <w:szCs w:val="28"/>
              <w:highlight w:val="none"/>
            </w:rPr>
            <w:fldChar w:fldCharType="begin"/>
          </w:r>
          <w:r>
            <w:rPr>
              <w:bCs/>
              <w:szCs w:val="28"/>
              <w:highlight w:val="none"/>
            </w:rPr>
            <w:instrText xml:space="preserve"> HYPERLINK \l _Toc6089 </w:instrText>
          </w:r>
          <w:r>
            <w:rPr>
              <w:bCs/>
              <w:szCs w:val="28"/>
              <w:highlight w:val="none"/>
            </w:rPr>
            <w:fldChar w:fldCharType="separate"/>
          </w:r>
          <w:r>
            <w:rPr>
              <w:rFonts w:hint="eastAsia" w:ascii="宋体" w:hAnsi="宋体"/>
              <w:bCs/>
              <w:szCs w:val="24"/>
              <w:highlight w:val="none"/>
            </w:rPr>
            <w:t>2.</w:t>
          </w:r>
          <w:r>
            <w:rPr>
              <w:rFonts w:hint="eastAsia" w:ascii="宋体" w:hAnsi="宋体"/>
              <w:bCs/>
              <w:szCs w:val="24"/>
              <w:highlight w:val="none"/>
              <w:lang w:val="en-US" w:eastAsia="zh-CN"/>
            </w:rPr>
            <w:t>2</w:t>
          </w:r>
          <w:r>
            <w:rPr>
              <w:rFonts w:hint="eastAsia" w:ascii="宋体" w:hAnsi="宋体"/>
              <w:bCs/>
              <w:szCs w:val="24"/>
              <w:highlight w:val="none"/>
            </w:rPr>
            <w:t>项目范围</w:t>
          </w:r>
          <w:r>
            <w:tab/>
          </w:r>
          <w:r>
            <w:fldChar w:fldCharType="begin"/>
          </w:r>
          <w:r>
            <w:instrText xml:space="preserve"> PAGEREF _Toc6089 \h </w:instrText>
          </w:r>
          <w:r>
            <w:fldChar w:fldCharType="separate"/>
          </w:r>
          <w:r>
            <w:t>3</w:t>
          </w:r>
          <w:r>
            <w:fldChar w:fldCharType="end"/>
          </w:r>
          <w:r>
            <w:rPr>
              <w:bCs/>
              <w:szCs w:val="28"/>
              <w:highlight w:val="none"/>
            </w:rPr>
            <w:fldChar w:fldCharType="end"/>
          </w:r>
        </w:p>
        <w:p>
          <w:pPr>
            <w:pStyle w:val="17"/>
            <w:tabs>
              <w:tab w:val="right" w:leader="dot" w:pos="8306"/>
            </w:tabs>
          </w:pPr>
          <w:r>
            <w:rPr>
              <w:bCs/>
              <w:szCs w:val="28"/>
              <w:highlight w:val="none"/>
            </w:rPr>
            <w:fldChar w:fldCharType="begin"/>
          </w:r>
          <w:r>
            <w:rPr>
              <w:bCs/>
              <w:szCs w:val="28"/>
              <w:highlight w:val="none"/>
            </w:rPr>
            <w:instrText xml:space="preserve"> HYPERLINK \l _Toc17797 </w:instrText>
          </w:r>
          <w:r>
            <w:rPr>
              <w:bCs/>
              <w:szCs w:val="28"/>
              <w:highlight w:val="none"/>
            </w:rPr>
            <w:fldChar w:fldCharType="separate"/>
          </w:r>
          <w:r>
            <w:rPr>
              <w:rFonts w:hint="eastAsia" w:ascii="宋体" w:hAnsi="宋体"/>
              <w:bCs/>
              <w:szCs w:val="24"/>
              <w:highlight w:val="none"/>
            </w:rPr>
            <w:t>2.</w:t>
          </w:r>
          <w:r>
            <w:rPr>
              <w:rFonts w:hint="eastAsia" w:ascii="宋体" w:hAnsi="宋体"/>
              <w:bCs/>
              <w:szCs w:val="24"/>
              <w:highlight w:val="none"/>
              <w:lang w:val="en-US" w:eastAsia="zh-CN"/>
            </w:rPr>
            <w:t>3</w:t>
          </w:r>
          <w:r>
            <w:rPr>
              <w:rFonts w:hint="eastAsia" w:ascii="宋体" w:hAnsi="宋体" w:eastAsia="宋体" w:cs="Times New Roman"/>
              <w:bCs/>
              <w:szCs w:val="24"/>
              <w:highlight w:val="none"/>
            </w:rPr>
            <w:t>工程保证</w:t>
          </w:r>
          <w:r>
            <w:tab/>
          </w:r>
          <w:r>
            <w:fldChar w:fldCharType="begin"/>
          </w:r>
          <w:r>
            <w:instrText xml:space="preserve"> PAGEREF _Toc17797 \h </w:instrText>
          </w:r>
          <w:r>
            <w:fldChar w:fldCharType="separate"/>
          </w:r>
          <w:r>
            <w:t>3</w:t>
          </w:r>
          <w:r>
            <w:fldChar w:fldCharType="end"/>
          </w:r>
          <w:r>
            <w:rPr>
              <w:bCs/>
              <w:szCs w:val="28"/>
              <w:highlight w:val="none"/>
            </w:rPr>
            <w:fldChar w:fldCharType="end"/>
          </w:r>
        </w:p>
        <w:p>
          <w:pPr>
            <w:pStyle w:val="17"/>
            <w:tabs>
              <w:tab w:val="right" w:leader="dot" w:pos="8306"/>
            </w:tabs>
          </w:pPr>
          <w:r>
            <w:rPr>
              <w:bCs/>
              <w:szCs w:val="28"/>
              <w:highlight w:val="none"/>
            </w:rPr>
            <w:fldChar w:fldCharType="begin"/>
          </w:r>
          <w:r>
            <w:rPr>
              <w:bCs/>
              <w:szCs w:val="28"/>
              <w:highlight w:val="none"/>
            </w:rPr>
            <w:instrText xml:space="preserve"> HYPERLINK \l _Toc28811 </w:instrText>
          </w:r>
          <w:r>
            <w:rPr>
              <w:bCs/>
              <w:szCs w:val="28"/>
              <w:highlight w:val="none"/>
            </w:rPr>
            <w:fldChar w:fldCharType="separate"/>
          </w:r>
          <w:r>
            <w:rPr>
              <w:rFonts w:hint="eastAsia" w:ascii="宋体" w:hAnsi="宋体" w:eastAsia="宋体" w:cs="Times New Roman"/>
              <w:bCs/>
              <w:szCs w:val="24"/>
              <w:highlight w:val="none"/>
            </w:rPr>
            <w:t>2.</w:t>
          </w:r>
          <w:r>
            <w:rPr>
              <w:rFonts w:hint="eastAsia" w:ascii="宋体" w:hAnsi="宋体" w:eastAsia="宋体" w:cs="Times New Roman"/>
              <w:bCs/>
              <w:szCs w:val="24"/>
              <w:highlight w:val="none"/>
              <w:lang w:val="en-US" w:eastAsia="zh-CN"/>
            </w:rPr>
            <w:t>4</w:t>
          </w:r>
          <w:r>
            <w:rPr>
              <w:rFonts w:hint="eastAsia" w:ascii="宋体" w:hAnsi="宋体" w:eastAsia="宋体" w:cs="Times New Roman"/>
              <w:bCs/>
              <w:szCs w:val="24"/>
              <w:highlight w:val="none"/>
            </w:rPr>
            <w:t>维护内容和要求</w:t>
          </w:r>
          <w:r>
            <w:tab/>
          </w:r>
          <w:r>
            <w:fldChar w:fldCharType="begin"/>
          </w:r>
          <w:r>
            <w:instrText xml:space="preserve"> PAGEREF _Toc28811 \h </w:instrText>
          </w:r>
          <w:r>
            <w:fldChar w:fldCharType="separate"/>
          </w:r>
          <w:r>
            <w:t>4</w:t>
          </w:r>
          <w:r>
            <w:fldChar w:fldCharType="end"/>
          </w:r>
          <w:r>
            <w:rPr>
              <w:bCs/>
              <w:szCs w:val="28"/>
              <w:highlight w:val="none"/>
            </w:rPr>
            <w:fldChar w:fldCharType="end"/>
          </w:r>
        </w:p>
        <w:p>
          <w:pPr>
            <w:pStyle w:val="17"/>
            <w:tabs>
              <w:tab w:val="right" w:leader="dot" w:pos="8306"/>
            </w:tabs>
          </w:pPr>
          <w:r>
            <w:rPr>
              <w:bCs/>
              <w:szCs w:val="28"/>
              <w:highlight w:val="none"/>
            </w:rPr>
            <w:fldChar w:fldCharType="begin"/>
          </w:r>
          <w:r>
            <w:rPr>
              <w:bCs/>
              <w:szCs w:val="28"/>
              <w:highlight w:val="none"/>
            </w:rPr>
            <w:instrText xml:space="preserve"> HYPERLINK \l _Toc23095 </w:instrText>
          </w:r>
          <w:r>
            <w:rPr>
              <w:bCs/>
              <w:szCs w:val="28"/>
              <w:highlight w:val="none"/>
            </w:rPr>
            <w:fldChar w:fldCharType="separate"/>
          </w:r>
          <w:r>
            <w:rPr>
              <w:rFonts w:hint="eastAsia" w:ascii="宋体" w:hAnsi="宋体" w:eastAsia="宋体" w:cs="Times New Roman"/>
              <w:bCs/>
              <w:szCs w:val="24"/>
              <w:highlight w:val="none"/>
              <w:lang w:val="en-US" w:eastAsia="zh-CN"/>
            </w:rPr>
            <w:t>2.5项目实施</w:t>
          </w:r>
          <w:r>
            <w:tab/>
          </w:r>
          <w:r>
            <w:fldChar w:fldCharType="begin"/>
          </w:r>
          <w:r>
            <w:instrText xml:space="preserve"> PAGEREF _Toc23095 \h </w:instrText>
          </w:r>
          <w:r>
            <w:fldChar w:fldCharType="separate"/>
          </w:r>
          <w:r>
            <w:t>4</w:t>
          </w:r>
          <w:r>
            <w:fldChar w:fldCharType="end"/>
          </w:r>
          <w:r>
            <w:rPr>
              <w:bCs/>
              <w:szCs w:val="28"/>
              <w:highlight w:val="none"/>
            </w:rPr>
            <w:fldChar w:fldCharType="end"/>
          </w:r>
        </w:p>
        <w:p>
          <w:pPr>
            <w:pStyle w:val="17"/>
            <w:tabs>
              <w:tab w:val="right" w:leader="dot" w:pos="8306"/>
            </w:tabs>
          </w:pPr>
          <w:r>
            <w:rPr>
              <w:bCs/>
              <w:szCs w:val="28"/>
              <w:highlight w:val="none"/>
            </w:rPr>
            <w:fldChar w:fldCharType="begin"/>
          </w:r>
          <w:r>
            <w:rPr>
              <w:bCs/>
              <w:szCs w:val="28"/>
              <w:highlight w:val="none"/>
            </w:rPr>
            <w:instrText xml:space="preserve"> HYPERLINK \l _Toc1704 </w:instrText>
          </w:r>
          <w:r>
            <w:rPr>
              <w:bCs/>
              <w:szCs w:val="28"/>
              <w:highlight w:val="none"/>
            </w:rPr>
            <w:fldChar w:fldCharType="separate"/>
          </w:r>
          <w:r>
            <w:rPr>
              <w:rFonts w:hint="eastAsia" w:ascii="宋体" w:hAnsi="宋体"/>
              <w:bCs/>
              <w:szCs w:val="24"/>
              <w:highlight w:val="none"/>
            </w:rPr>
            <w:t>2.</w:t>
          </w:r>
          <w:r>
            <w:rPr>
              <w:rFonts w:hint="eastAsia" w:ascii="宋体" w:hAnsi="宋体"/>
              <w:bCs/>
              <w:szCs w:val="24"/>
              <w:highlight w:val="none"/>
              <w:lang w:val="en-US" w:eastAsia="zh-CN"/>
            </w:rPr>
            <w:t>6</w:t>
          </w:r>
          <w:r>
            <w:rPr>
              <w:rFonts w:hint="eastAsia" w:ascii="宋体" w:hAnsi="宋体"/>
              <w:bCs/>
              <w:szCs w:val="24"/>
              <w:highlight w:val="none"/>
            </w:rPr>
            <w:t>项目交付物要求</w:t>
          </w:r>
          <w:r>
            <w:tab/>
          </w:r>
          <w:r>
            <w:fldChar w:fldCharType="begin"/>
          </w:r>
          <w:r>
            <w:instrText xml:space="preserve"> PAGEREF _Toc1704 \h </w:instrText>
          </w:r>
          <w:r>
            <w:fldChar w:fldCharType="separate"/>
          </w:r>
          <w:r>
            <w:t>5</w:t>
          </w:r>
          <w:r>
            <w:fldChar w:fldCharType="end"/>
          </w:r>
          <w:r>
            <w:rPr>
              <w:bCs/>
              <w:szCs w:val="28"/>
              <w:highlight w:val="none"/>
            </w:rPr>
            <w:fldChar w:fldCharType="end"/>
          </w:r>
        </w:p>
        <w:p>
          <w:pPr>
            <w:pStyle w:val="17"/>
            <w:tabs>
              <w:tab w:val="right" w:leader="dot" w:pos="8306"/>
            </w:tabs>
          </w:pPr>
          <w:r>
            <w:rPr>
              <w:bCs/>
              <w:szCs w:val="28"/>
              <w:highlight w:val="none"/>
            </w:rPr>
            <w:fldChar w:fldCharType="begin"/>
          </w:r>
          <w:r>
            <w:rPr>
              <w:bCs/>
              <w:szCs w:val="28"/>
              <w:highlight w:val="none"/>
            </w:rPr>
            <w:instrText xml:space="preserve"> HYPERLINK \l _Toc2024 </w:instrText>
          </w:r>
          <w:r>
            <w:rPr>
              <w:bCs/>
              <w:szCs w:val="28"/>
              <w:highlight w:val="none"/>
            </w:rPr>
            <w:fldChar w:fldCharType="separate"/>
          </w:r>
          <w:r>
            <w:rPr>
              <w:rFonts w:hint="eastAsia" w:ascii="宋体" w:hAnsi="宋体" w:cs="宋体"/>
              <w:bCs/>
              <w:szCs w:val="24"/>
              <w:highlight w:val="none"/>
            </w:rPr>
            <w:t>2.</w:t>
          </w:r>
          <w:r>
            <w:rPr>
              <w:rFonts w:hint="eastAsia" w:ascii="宋体" w:hAnsi="宋体" w:cs="宋体"/>
              <w:bCs/>
              <w:szCs w:val="24"/>
              <w:highlight w:val="none"/>
              <w:lang w:val="en-US" w:eastAsia="zh-CN"/>
            </w:rPr>
            <w:t>7</w:t>
          </w:r>
          <w:r>
            <w:rPr>
              <w:rFonts w:hint="eastAsia" w:ascii="宋体" w:hAnsi="宋体" w:cs="宋体"/>
              <w:bCs/>
              <w:szCs w:val="24"/>
              <w:highlight w:val="none"/>
            </w:rPr>
            <w:t>项目管理</w:t>
          </w:r>
          <w:r>
            <w:tab/>
          </w:r>
          <w:r>
            <w:fldChar w:fldCharType="begin"/>
          </w:r>
          <w:r>
            <w:instrText xml:space="preserve"> PAGEREF _Toc2024 \h </w:instrText>
          </w:r>
          <w:r>
            <w:fldChar w:fldCharType="separate"/>
          </w:r>
          <w:r>
            <w:t>5</w:t>
          </w:r>
          <w:r>
            <w:fldChar w:fldCharType="end"/>
          </w:r>
          <w:r>
            <w:rPr>
              <w:bCs/>
              <w:szCs w:val="28"/>
              <w:highlight w:val="none"/>
            </w:rPr>
            <w:fldChar w:fldCharType="end"/>
          </w:r>
        </w:p>
        <w:p>
          <w:pPr>
            <w:pStyle w:val="17"/>
            <w:tabs>
              <w:tab w:val="right" w:leader="dot" w:pos="8306"/>
            </w:tabs>
          </w:pPr>
          <w:r>
            <w:rPr>
              <w:bCs/>
              <w:szCs w:val="28"/>
              <w:highlight w:val="none"/>
            </w:rPr>
            <w:fldChar w:fldCharType="begin"/>
          </w:r>
          <w:r>
            <w:rPr>
              <w:bCs/>
              <w:szCs w:val="28"/>
              <w:highlight w:val="none"/>
            </w:rPr>
            <w:instrText xml:space="preserve"> HYPERLINK \l _Toc26526 </w:instrText>
          </w:r>
          <w:r>
            <w:rPr>
              <w:bCs/>
              <w:szCs w:val="28"/>
              <w:highlight w:val="none"/>
            </w:rPr>
            <w:fldChar w:fldCharType="separate"/>
          </w:r>
          <w:r>
            <w:rPr>
              <w:rFonts w:hint="eastAsia" w:ascii="宋体" w:hAnsi="宋体" w:cs="宋体"/>
              <w:bCs/>
              <w:szCs w:val="24"/>
              <w:highlight w:val="none"/>
            </w:rPr>
            <w:t>2.</w:t>
          </w:r>
          <w:r>
            <w:rPr>
              <w:rFonts w:hint="eastAsia" w:ascii="宋体" w:hAnsi="宋体" w:cs="宋体"/>
              <w:bCs/>
              <w:szCs w:val="24"/>
              <w:highlight w:val="none"/>
              <w:lang w:val="en-US" w:eastAsia="zh-CN"/>
            </w:rPr>
            <w:t>8</w:t>
          </w:r>
          <w:r>
            <w:rPr>
              <w:rFonts w:hint="eastAsia" w:ascii="宋体" w:hAnsi="宋体" w:cs="宋体"/>
              <w:bCs/>
              <w:szCs w:val="24"/>
              <w:highlight w:val="none"/>
            </w:rPr>
            <w:t>保密要求</w:t>
          </w:r>
          <w:r>
            <w:tab/>
          </w:r>
          <w:r>
            <w:fldChar w:fldCharType="begin"/>
          </w:r>
          <w:r>
            <w:instrText xml:space="preserve"> PAGEREF _Toc26526 \h </w:instrText>
          </w:r>
          <w:r>
            <w:fldChar w:fldCharType="separate"/>
          </w:r>
          <w:r>
            <w:t>6</w:t>
          </w:r>
          <w:r>
            <w:fldChar w:fldCharType="end"/>
          </w:r>
          <w:r>
            <w:rPr>
              <w:bCs/>
              <w:szCs w:val="28"/>
              <w:highlight w:val="none"/>
            </w:rPr>
            <w:fldChar w:fldCharType="end"/>
          </w:r>
        </w:p>
        <w:p>
          <w:pPr>
            <w:pStyle w:val="17"/>
            <w:tabs>
              <w:tab w:val="right" w:leader="dot" w:pos="8306"/>
            </w:tabs>
          </w:pPr>
          <w:r>
            <w:rPr>
              <w:bCs/>
              <w:szCs w:val="28"/>
              <w:highlight w:val="none"/>
            </w:rPr>
            <w:fldChar w:fldCharType="begin"/>
          </w:r>
          <w:r>
            <w:rPr>
              <w:bCs/>
              <w:szCs w:val="28"/>
              <w:highlight w:val="none"/>
            </w:rPr>
            <w:instrText xml:space="preserve"> HYPERLINK \l _Toc30864 </w:instrText>
          </w:r>
          <w:r>
            <w:rPr>
              <w:bCs/>
              <w:szCs w:val="28"/>
              <w:highlight w:val="none"/>
            </w:rPr>
            <w:fldChar w:fldCharType="separate"/>
          </w:r>
          <w:r>
            <w:rPr>
              <w:rFonts w:hint="eastAsia" w:ascii="宋体" w:hAnsi="宋体" w:cs="宋体"/>
              <w:bCs/>
              <w:szCs w:val="24"/>
              <w:highlight w:val="none"/>
            </w:rPr>
            <w:t>2.</w:t>
          </w:r>
          <w:r>
            <w:rPr>
              <w:rFonts w:hint="eastAsia" w:ascii="宋体" w:hAnsi="宋体" w:cs="宋体"/>
              <w:bCs/>
              <w:szCs w:val="24"/>
              <w:highlight w:val="none"/>
              <w:lang w:val="en-US" w:eastAsia="zh-CN"/>
            </w:rPr>
            <w:t>9</w:t>
          </w:r>
          <w:r>
            <w:rPr>
              <w:rFonts w:hint="eastAsia" w:ascii="宋体" w:hAnsi="宋体" w:cs="宋体"/>
              <w:bCs/>
              <w:szCs w:val="24"/>
              <w:highlight w:val="none"/>
            </w:rPr>
            <w:t>结算</w:t>
          </w:r>
          <w:r>
            <w:tab/>
          </w:r>
          <w:r>
            <w:fldChar w:fldCharType="begin"/>
          </w:r>
          <w:r>
            <w:instrText xml:space="preserve"> PAGEREF _Toc30864 \h </w:instrText>
          </w:r>
          <w:r>
            <w:fldChar w:fldCharType="separate"/>
          </w:r>
          <w:r>
            <w:t>6</w:t>
          </w:r>
          <w:r>
            <w:fldChar w:fldCharType="end"/>
          </w:r>
          <w:r>
            <w:rPr>
              <w:bCs/>
              <w:szCs w:val="28"/>
              <w:highlight w:val="none"/>
            </w:rPr>
            <w:fldChar w:fldCharType="end"/>
          </w:r>
        </w:p>
        <w:p>
          <w:pPr>
            <w:pStyle w:val="16"/>
            <w:tabs>
              <w:tab w:val="right" w:leader="dot" w:pos="8306"/>
            </w:tabs>
          </w:pPr>
          <w:r>
            <w:rPr>
              <w:bCs/>
              <w:szCs w:val="28"/>
              <w:highlight w:val="none"/>
            </w:rPr>
            <w:fldChar w:fldCharType="begin"/>
          </w:r>
          <w:r>
            <w:rPr>
              <w:bCs/>
              <w:szCs w:val="28"/>
              <w:highlight w:val="none"/>
            </w:rPr>
            <w:instrText xml:space="preserve"> HYPERLINK \l _Toc26157 </w:instrText>
          </w:r>
          <w:r>
            <w:rPr>
              <w:bCs/>
              <w:szCs w:val="28"/>
              <w:highlight w:val="none"/>
            </w:rPr>
            <w:fldChar w:fldCharType="separate"/>
          </w:r>
          <w:r>
            <w:rPr>
              <w:rFonts w:hint="eastAsia" w:ascii="宋体" w:hAnsi="宋体"/>
              <w:bCs/>
              <w:szCs w:val="24"/>
              <w:highlight w:val="none"/>
              <w:lang w:val="en-US" w:eastAsia="zh-CN"/>
            </w:rPr>
            <w:t>三</w:t>
          </w:r>
          <w:r>
            <w:rPr>
              <w:rFonts w:hint="eastAsia" w:ascii="宋体" w:hAnsi="宋体"/>
              <w:bCs/>
              <w:szCs w:val="24"/>
              <w:highlight w:val="none"/>
              <w:lang w:val="zh-CN"/>
            </w:rPr>
            <w:t>、</w:t>
          </w:r>
          <w:r>
            <w:rPr>
              <w:rFonts w:hint="eastAsia" w:ascii="宋体" w:hAnsi="宋体"/>
              <w:bCs/>
              <w:szCs w:val="24"/>
              <w:highlight w:val="none"/>
              <w:lang w:val="en-US" w:eastAsia="zh-CN"/>
            </w:rPr>
            <w:t>其它要求</w:t>
          </w:r>
          <w:r>
            <w:tab/>
          </w:r>
          <w:r>
            <w:fldChar w:fldCharType="begin"/>
          </w:r>
          <w:r>
            <w:instrText xml:space="preserve"> PAGEREF _Toc26157 \h </w:instrText>
          </w:r>
          <w:r>
            <w:fldChar w:fldCharType="separate"/>
          </w:r>
          <w:r>
            <w:t>6</w:t>
          </w:r>
          <w:r>
            <w:fldChar w:fldCharType="end"/>
          </w:r>
          <w:r>
            <w:rPr>
              <w:bCs/>
              <w:szCs w:val="28"/>
              <w:highlight w:val="none"/>
            </w:rPr>
            <w:fldChar w:fldCharType="end"/>
          </w:r>
        </w:p>
        <w:p>
          <w:pPr>
            <w:pStyle w:val="7"/>
            <w:bidi w:val="0"/>
            <w:ind w:left="432" w:leftChars="0"/>
            <w:outlineLvl w:val="9"/>
            <w:rPr>
              <w:rFonts w:ascii="Times New Roman" w:hAnsi="Times New Roman"/>
              <w:b/>
              <w:bCs/>
              <w:sz w:val="28"/>
              <w:szCs w:val="28"/>
              <w:highlight w:val="none"/>
            </w:rPr>
          </w:pPr>
          <w:r>
            <w:rPr>
              <w:bCs/>
              <w:szCs w:val="28"/>
              <w:highlight w:val="none"/>
            </w:rPr>
            <w:fldChar w:fldCharType="end"/>
          </w:r>
          <w:bookmarkStart w:id="0" w:name="_Toc13957"/>
          <w:bookmarkStart w:id="1" w:name="_Toc5144"/>
        </w:p>
      </w:sdtContent>
    </w:sdt>
    <w:p>
      <w:pPr>
        <w:bidi w:val="0"/>
        <w:ind w:left="432" w:leftChars="0"/>
        <w:rPr>
          <w:rFonts w:ascii="Times New Roman" w:hAnsi="Times New Roman"/>
          <w:b/>
          <w:bCs/>
          <w:sz w:val="28"/>
          <w:szCs w:val="28"/>
          <w:highlight w:val="none"/>
        </w:rPr>
      </w:pPr>
    </w:p>
    <w:p>
      <w:pPr>
        <w:pStyle w:val="2"/>
        <w:bidi w:val="0"/>
        <w:ind w:left="432" w:leftChars="0"/>
        <w:rPr>
          <w:rFonts w:ascii="Times New Roman" w:hAnsi="Times New Roman"/>
          <w:b/>
          <w:bCs/>
          <w:sz w:val="28"/>
          <w:szCs w:val="28"/>
          <w:highlight w:val="none"/>
        </w:rPr>
      </w:pPr>
    </w:p>
    <w:p>
      <w:pPr>
        <w:pStyle w:val="3"/>
        <w:bidi w:val="0"/>
        <w:ind w:left="432" w:leftChars="0"/>
        <w:outlineLvl w:val="9"/>
        <w:rPr>
          <w:rFonts w:ascii="Times New Roman" w:hAnsi="Times New Roman"/>
          <w:b/>
          <w:bCs/>
          <w:sz w:val="28"/>
          <w:szCs w:val="28"/>
          <w:highlight w:val="none"/>
        </w:rPr>
      </w:pPr>
    </w:p>
    <w:p>
      <w:pPr>
        <w:bidi w:val="0"/>
        <w:ind w:left="432" w:leftChars="0"/>
        <w:rPr>
          <w:rFonts w:ascii="Times New Roman" w:hAnsi="Times New Roman"/>
          <w:b/>
          <w:bCs/>
          <w:sz w:val="28"/>
          <w:szCs w:val="28"/>
          <w:highlight w:val="none"/>
        </w:rPr>
      </w:pPr>
    </w:p>
    <w:p>
      <w:pPr>
        <w:pStyle w:val="2"/>
        <w:bidi w:val="0"/>
        <w:ind w:left="432" w:leftChars="0"/>
        <w:rPr>
          <w:rFonts w:ascii="Times New Roman" w:hAnsi="Times New Roman"/>
          <w:b/>
          <w:bCs/>
          <w:sz w:val="28"/>
          <w:szCs w:val="28"/>
          <w:highlight w:val="none"/>
        </w:rPr>
      </w:pPr>
    </w:p>
    <w:p>
      <w:pPr>
        <w:pStyle w:val="3"/>
        <w:bidi w:val="0"/>
        <w:ind w:left="432" w:leftChars="0"/>
        <w:outlineLvl w:val="9"/>
        <w:rPr>
          <w:rFonts w:ascii="Times New Roman" w:hAnsi="Times New Roman"/>
          <w:b/>
          <w:bCs/>
          <w:sz w:val="28"/>
          <w:szCs w:val="28"/>
          <w:highlight w:val="none"/>
        </w:rPr>
      </w:pPr>
    </w:p>
    <w:p>
      <w:pPr>
        <w:bidi w:val="0"/>
        <w:ind w:left="432" w:leftChars="0"/>
        <w:rPr>
          <w:rFonts w:ascii="Times New Roman" w:hAnsi="Times New Roman"/>
          <w:b/>
          <w:bCs/>
          <w:sz w:val="28"/>
          <w:szCs w:val="28"/>
          <w:highlight w:val="none"/>
        </w:rPr>
      </w:pPr>
    </w:p>
    <w:p>
      <w:pPr>
        <w:bidi w:val="0"/>
        <w:ind w:left="432" w:leftChars="0"/>
        <w:rPr>
          <w:rFonts w:ascii="Times New Roman" w:hAnsi="Times New Roman"/>
          <w:b/>
          <w:bCs/>
          <w:sz w:val="28"/>
          <w:szCs w:val="28"/>
          <w:highlight w:val="none"/>
        </w:rPr>
      </w:pPr>
    </w:p>
    <w:p>
      <w:pPr>
        <w:bidi w:val="0"/>
        <w:ind w:left="432" w:leftChars="0"/>
        <w:rPr>
          <w:rFonts w:ascii="Times New Roman" w:hAnsi="Times New Roman"/>
          <w:b/>
          <w:bCs/>
          <w:sz w:val="28"/>
          <w:szCs w:val="28"/>
          <w:highlight w:val="none"/>
        </w:rPr>
      </w:pPr>
    </w:p>
    <w:p>
      <w:pPr>
        <w:bidi w:val="0"/>
        <w:ind w:left="432" w:leftChars="0"/>
        <w:rPr>
          <w:rFonts w:ascii="Times New Roman" w:hAnsi="Times New Roman"/>
          <w:b/>
          <w:bCs/>
          <w:sz w:val="28"/>
          <w:szCs w:val="28"/>
          <w:highlight w:val="none"/>
        </w:rPr>
      </w:pPr>
    </w:p>
    <w:p>
      <w:pPr>
        <w:bidi w:val="0"/>
        <w:ind w:left="432" w:leftChars="0"/>
        <w:rPr>
          <w:rFonts w:ascii="Times New Roman" w:hAnsi="Times New Roman"/>
          <w:b/>
          <w:bCs/>
          <w:sz w:val="28"/>
          <w:szCs w:val="28"/>
          <w:highlight w:val="none"/>
        </w:rPr>
      </w:pPr>
    </w:p>
    <w:p>
      <w:pPr>
        <w:bidi w:val="0"/>
        <w:ind w:left="432" w:leftChars="0"/>
        <w:rPr>
          <w:rFonts w:ascii="Times New Roman" w:hAnsi="Times New Roman"/>
          <w:b/>
          <w:bCs/>
          <w:sz w:val="28"/>
          <w:szCs w:val="28"/>
          <w:highlight w:val="none"/>
        </w:rPr>
      </w:pPr>
    </w:p>
    <w:p>
      <w:pPr>
        <w:pStyle w:val="2"/>
        <w:bidi w:val="0"/>
        <w:ind w:left="432" w:leftChars="0"/>
        <w:rPr>
          <w:highlight w:val="none"/>
        </w:rPr>
      </w:pPr>
    </w:p>
    <w:bookmarkEnd w:id="0"/>
    <w:p>
      <w:pPr>
        <w:spacing w:line="360" w:lineRule="auto"/>
        <w:outlineLvl w:val="0"/>
        <w:rPr>
          <w:rFonts w:ascii="宋体" w:hAnsi="宋体"/>
          <w:color w:val="auto"/>
          <w:sz w:val="24"/>
          <w:szCs w:val="24"/>
          <w:highlight w:val="none"/>
          <w:lang w:val="zh-CN"/>
        </w:rPr>
      </w:pPr>
      <w:bookmarkStart w:id="2" w:name="_Toc8661"/>
      <w:bookmarkStart w:id="3" w:name="_Toc21599"/>
      <w:bookmarkStart w:id="4" w:name="_Toc26950"/>
      <w:r>
        <w:rPr>
          <w:rFonts w:hint="eastAsia" w:ascii="宋体" w:hAnsi="宋体"/>
          <w:b/>
          <w:bCs/>
          <w:color w:val="auto"/>
          <w:sz w:val="24"/>
          <w:szCs w:val="24"/>
          <w:highlight w:val="none"/>
        </w:rPr>
        <w:t>一、</w:t>
      </w:r>
      <w:r>
        <w:rPr>
          <w:rFonts w:hint="eastAsia" w:ascii="宋体" w:hAnsi="宋体"/>
          <w:b/>
          <w:bCs/>
          <w:color w:val="auto"/>
          <w:sz w:val="24"/>
          <w:szCs w:val="24"/>
          <w:highlight w:val="none"/>
          <w:lang w:val="zh-CN"/>
        </w:rPr>
        <w:t>概述</w:t>
      </w:r>
      <w:bookmarkEnd w:id="1"/>
      <w:bookmarkEnd w:id="2"/>
      <w:bookmarkEnd w:id="3"/>
      <w:bookmarkEnd w:id="4"/>
    </w:p>
    <w:p>
      <w:pPr>
        <w:spacing w:line="360" w:lineRule="auto"/>
        <w:ind w:firstLine="480" w:firstLineChars="200"/>
        <w:rPr>
          <w:rFonts w:hint="eastAsia" w:eastAsia="宋体" w:asciiTheme="majorEastAsia" w:hAnsiTheme="majorEastAsia"/>
          <w:sz w:val="24"/>
          <w:szCs w:val="24"/>
          <w:lang w:eastAsia="zh-CN"/>
        </w:rPr>
      </w:pPr>
      <w:bookmarkStart w:id="5" w:name="_Toc11337"/>
      <w:bookmarkStart w:id="6" w:name="_Toc24679"/>
      <w:bookmarkStart w:id="7" w:name="_Toc23119"/>
      <w:r>
        <w:rPr>
          <w:rFonts w:hint="eastAsia" w:asciiTheme="majorEastAsia" w:hAnsiTheme="majorEastAsia" w:eastAsiaTheme="majorEastAsia"/>
          <w:sz w:val="24"/>
          <w:szCs w:val="24"/>
        </w:rPr>
        <w:t>根据广东电网有限责任公司汕尾供电局2025年作战指挥系统（供电所驾驶舱应用系统）维护的工作要求，结合</w:t>
      </w:r>
      <w:r>
        <w:rPr>
          <w:rFonts w:hint="eastAsia" w:asciiTheme="majorEastAsia" w:hAnsiTheme="majorEastAsia" w:eastAsiaTheme="majorEastAsia"/>
          <w:sz w:val="24"/>
          <w:szCs w:val="24"/>
          <w:lang w:val="en-US" w:eastAsia="zh-CN"/>
        </w:rPr>
        <w:t>汕尾</w:t>
      </w:r>
      <w:r>
        <w:rPr>
          <w:rFonts w:hint="eastAsia" w:asciiTheme="majorEastAsia" w:hAnsiTheme="majorEastAsia" w:eastAsiaTheme="majorEastAsia"/>
          <w:sz w:val="24"/>
          <w:szCs w:val="24"/>
        </w:rPr>
        <w:t>供电局业务系统数据实际情况，开展汕尾供电局2025年作战指挥系统（供电所驾驶舱应用系统）维护项目的维护工作</w:t>
      </w:r>
      <w:r>
        <w:rPr>
          <w:rFonts w:hint="eastAsia" w:asciiTheme="majorEastAsia" w:hAnsiTheme="majorEastAsia" w:eastAsiaTheme="majorEastAsia"/>
          <w:sz w:val="24"/>
          <w:szCs w:val="24"/>
          <w:lang w:eastAsia="zh-CN"/>
        </w:rPr>
        <w:t>，</w:t>
      </w:r>
      <w:r>
        <w:rPr>
          <w:rFonts w:hint="eastAsia" w:ascii="宋体" w:hAnsi="宋体"/>
          <w:color w:val="auto"/>
          <w:sz w:val="24"/>
          <w:szCs w:val="24"/>
          <w:highlight w:val="none"/>
        </w:rPr>
        <w:t>提高运维效率，形成规范化的系统运维管理</w:t>
      </w:r>
      <w:r>
        <w:rPr>
          <w:rFonts w:hint="eastAsia" w:ascii="宋体" w:hAnsi="宋体"/>
          <w:color w:val="auto"/>
          <w:sz w:val="24"/>
          <w:szCs w:val="24"/>
          <w:highlight w:val="none"/>
          <w:lang w:eastAsia="zh-CN"/>
        </w:rPr>
        <w:t>，</w:t>
      </w:r>
      <w:r>
        <w:rPr>
          <w:rFonts w:hint="eastAsia" w:ascii="宋体" w:hAnsi="宋体"/>
          <w:color w:val="auto"/>
          <w:sz w:val="24"/>
          <w:szCs w:val="24"/>
          <w:highlight w:val="none"/>
        </w:rPr>
        <w:t>支撑</w:t>
      </w:r>
      <w:r>
        <w:rPr>
          <w:rFonts w:hint="eastAsia" w:asciiTheme="majorEastAsia" w:hAnsiTheme="majorEastAsia" w:eastAsiaTheme="majorEastAsia"/>
          <w:sz w:val="24"/>
          <w:szCs w:val="24"/>
        </w:rPr>
        <w:t>汕尾供电局2025年作战指挥系统（供电所驾驶舱应用系统）</w:t>
      </w:r>
      <w:r>
        <w:rPr>
          <w:rFonts w:hint="eastAsia" w:ascii="宋体" w:hAnsi="宋体"/>
          <w:color w:val="auto"/>
          <w:sz w:val="24"/>
          <w:szCs w:val="24"/>
          <w:highlight w:val="none"/>
        </w:rPr>
        <w:t>的高效、稳定和可靠运行</w:t>
      </w:r>
      <w:r>
        <w:rPr>
          <w:rFonts w:hint="eastAsia" w:ascii="宋体" w:hAnsi="宋体"/>
          <w:color w:val="auto"/>
          <w:sz w:val="24"/>
          <w:szCs w:val="24"/>
          <w:highlight w:val="none"/>
          <w:lang w:eastAsia="zh-CN"/>
        </w:rPr>
        <w:t>。</w:t>
      </w:r>
    </w:p>
    <w:p>
      <w:pPr>
        <w:spacing w:line="360" w:lineRule="auto"/>
        <w:outlineLvl w:val="0"/>
        <w:rPr>
          <w:rFonts w:ascii="宋体" w:hAnsi="宋体"/>
          <w:b/>
          <w:bCs/>
          <w:color w:val="auto"/>
          <w:sz w:val="24"/>
          <w:szCs w:val="24"/>
          <w:highlight w:val="none"/>
        </w:rPr>
      </w:pPr>
      <w:bookmarkStart w:id="8" w:name="_Toc4938"/>
      <w:r>
        <w:rPr>
          <w:rFonts w:hint="eastAsia" w:ascii="宋体" w:hAnsi="宋体"/>
          <w:b/>
          <w:bCs/>
          <w:color w:val="auto"/>
          <w:sz w:val="24"/>
          <w:szCs w:val="24"/>
          <w:highlight w:val="none"/>
        </w:rPr>
        <w:t>二、服务内容及范围</w:t>
      </w:r>
      <w:bookmarkEnd w:id="5"/>
      <w:bookmarkEnd w:id="6"/>
      <w:bookmarkEnd w:id="7"/>
      <w:bookmarkEnd w:id="8"/>
    </w:p>
    <w:p>
      <w:pPr>
        <w:spacing w:line="360" w:lineRule="auto"/>
        <w:ind w:firstLine="482" w:firstLineChars="200"/>
        <w:outlineLvl w:val="1"/>
        <w:rPr>
          <w:rFonts w:hint="eastAsia" w:ascii="宋体" w:hAnsi="宋体"/>
          <w:b/>
          <w:bCs/>
          <w:color w:val="auto"/>
          <w:sz w:val="24"/>
          <w:szCs w:val="24"/>
          <w:highlight w:val="none"/>
        </w:rPr>
      </w:pPr>
      <w:bookmarkStart w:id="9" w:name="_Toc15795"/>
      <w:bookmarkStart w:id="10" w:name="_Toc21371"/>
      <w:bookmarkStart w:id="11" w:name="_Toc30693"/>
      <w:r>
        <w:rPr>
          <w:rFonts w:hint="eastAsia" w:ascii="宋体" w:hAnsi="宋体"/>
          <w:b/>
          <w:bCs/>
          <w:color w:val="auto"/>
          <w:sz w:val="24"/>
          <w:szCs w:val="24"/>
          <w:highlight w:val="none"/>
        </w:rPr>
        <w:t>2.1服务范围</w:t>
      </w:r>
      <w:bookmarkEnd w:id="9"/>
    </w:p>
    <w:p>
      <w:pPr>
        <w:spacing w:line="360" w:lineRule="auto"/>
        <w:ind w:firstLine="480" w:firstLineChars="200"/>
        <w:rPr>
          <w:rFonts w:hint="eastAsia" w:asciiTheme="majorEastAsia" w:hAnsiTheme="majorEastAsia" w:eastAsiaTheme="majorEastAsia"/>
          <w:sz w:val="24"/>
          <w:szCs w:val="24"/>
          <w:lang w:val="en-US" w:eastAsia="zh-CN"/>
        </w:rPr>
      </w:pPr>
      <w:r>
        <w:rPr>
          <w:rFonts w:hint="eastAsia" w:asciiTheme="majorEastAsia" w:hAnsiTheme="majorEastAsia" w:eastAsiaTheme="majorEastAsia"/>
          <w:sz w:val="24"/>
          <w:szCs w:val="24"/>
          <w:lang w:val="en-US" w:eastAsia="zh-CN"/>
        </w:rPr>
        <w:t>广东电网有限责任公司汕尾供电局</w:t>
      </w:r>
      <w:bookmarkEnd w:id="10"/>
      <w:bookmarkEnd w:id="11"/>
    </w:p>
    <w:p>
      <w:pPr>
        <w:spacing w:line="360" w:lineRule="auto"/>
        <w:ind w:firstLine="482" w:firstLineChars="200"/>
        <w:outlineLvl w:val="1"/>
        <w:rPr>
          <w:rFonts w:ascii="宋体" w:hAnsi="宋体"/>
          <w:b/>
          <w:bCs/>
          <w:color w:val="auto"/>
          <w:sz w:val="24"/>
          <w:szCs w:val="24"/>
          <w:highlight w:val="none"/>
        </w:rPr>
      </w:pPr>
      <w:bookmarkStart w:id="12" w:name="_Toc31104"/>
      <w:bookmarkStart w:id="13" w:name="_Toc6089"/>
      <w:bookmarkStart w:id="14" w:name="_Toc30522"/>
      <w:r>
        <w:rPr>
          <w:rFonts w:hint="eastAsia" w:ascii="宋体" w:hAnsi="宋体"/>
          <w:b/>
          <w:bCs/>
          <w:color w:val="auto"/>
          <w:sz w:val="24"/>
          <w:szCs w:val="24"/>
          <w:highlight w:val="none"/>
        </w:rPr>
        <w:t>2.</w:t>
      </w:r>
      <w:r>
        <w:rPr>
          <w:rFonts w:hint="eastAsia" w:ascii="宋体" w:hAnsi="宋体"/>
          <w:b/>
          <w:bCs/>
          <w:color w:val="auto"/>
          <w:sz w:val="24"/>
          <w:szCs w:val="24"/>
          <w:highlight w:val="none"/>
          <w:lang w:val="en-US" w:eastAsia="zh-CN"/>
        </w:rPr>
        <w:t>2</w:t>
      </w:r>
      <w:r>
        <w:rPr>
          <w:rFonts w:hint="eastAsia" w:ascii="宋体" w:hAnsi="宋体"/>
          <w:b/>
          <w:bCs/>
          <w:color w:val="auto"/>
          <w:sz w:val="24"/>
          <w:szCs w:val="24"/>
          <w:highlight w:val="none"/>
        </w:rPr>
        <w:t>项目范围</w:t>
      </w:r>
      <w:bookmarkEnd w:id="12"/>
      <w:bookmarkEnd w:id="13"/>
      <w:bookmarkEnd w:id="14"/>
    </w:p>
    <w:p>
      <w:pPr>
        <w:spacing w:line="360" w:lineRule="auto"/>
        <w:ind w:firstLine="480" w:firstLineChars="200"/>
        <w:rPr>
          <w:rFonts w:hint="eastAsia" w:cs="Times New Roman" w:asciiTheme="majorEastAsia" w:hAnsiTheme="majorEastAsia" w:eastAsiaTheme="majorEastAsia"/>
          <w:sz w:val="24"/>
          <w:szCs w:val="24"/>
        </w:rPr>
      </w:pPr>
      <w:r>
        <w:rPr>
          <w:rFonts w:hint="eastAsia" w:asciiTheme="majorEastAsia" w:hAnsiTheme="majorEastAsia" w:eastAsiaTheme="majorEastAsia"/>
          <w:sz w:val="24"/>
          <w:szCs w:val="24"/>
        </w:rPr>
        <w:t>本期招标范围：</w:t>
      </w:r>
      <w:r>
        <w:rPr>
          <w:rFonts w:hint="eastAsia" w:cs="Times New Roman" w:asciiTheme="majorEastAsia" w:hAnsiTheme="majorEastAsia" w:eastAsiaTheme="majorEastAsia"/>
          <w:sz w:val="24"/>
          <w:szCs w:val="24"/>
          <w:lang w:eastAsia="zh-CN"/>
        </w:rPr>
        <w:t>提供</w:t>
      </w:r>
      <w:r>
        <w:rPr>
          <w:rFonts w:hint="eastAsia" w:asciiTheme="majorEastAsia" w:hAnsiTheme="majorEastAsia" w:eastAsiaTheme="majorEastAsia"/>
          <w:sz w:val="24"/>
          <w:szCs w:val="24"/>
        </w:rPr>
        <w:t>汕尾供电局2025年作战指挥系统（供电所驾驶舱应用系统）</w:t>
      </w:r>
      <w:r>
        <w:rPr>
          <w:rFonts w:hint="eastAsia" w:cs="Times New Roman" w:asciiTheme="majorEastAsia" w:hAnsiTheme="majorEastAsia" w:eastAsiaTheme="majorEastAsia"/>
          <w:sz w:val="24"/>
          <w:szCs w:val="24"/>
          <w:lang w:eastAsia="zh-CN"/>
        </w:rPr>
        <w:t>的日常维护和升级技术服务工作，确保实现系统稳定运行，确保支撑业务的正常运转。服务期为自合同签订之日起至2025年11月30日</w:t>
      </w:r>
      <w:r>
        <w:rPr>
          <w:rFonts w:hint="eastAsia" w:cs="Times New Roman" w:asciiTheme="majorEastAsia" w:hAnsiTheme="majorEastAsia" w:eastAsiaTheme="majorEastAsia"/>
          <w:sz w:val="24"/>
          <w:szCs w:val="24"/>
        </w:rPr>
        <w:t>。</w:t>
      </w:r>
    </w:p>
    <w:p>
      <w:pPr>
        <w:spacing w:line="360" w:lineRule="auto"/>
        <w:ind w:firstLine="480" w:firstLineChars="200"/>
        <w:rPr>
          <w:rFonts w:hint="eastAsia" w:asciiTheme="majorEastAsia" w:hAnsiTheme="majorEastAsia" w:eastAsiaTheme="majorEastAsia"/>
          <w:sz w:val="24"/>
          <w:szCs w:val="24"/>
        </w:rPr>
      </w:pPr>
      <w:r>
        <w:rPr>
          <w:rFonts w:hint="eastAsia" w:asciiTheme="majorEastAsia" w:hAnsiTheme="majorEastAsia" w:eastAsiaTheme="majorEastAsia"/>
          <w:sz w:val="24"/>
          <w:szCs w:val="24"/>
        </w:rPr>
        <w:t>维护范围包括提供</w:t>
      </w:r>
      <w:bookmarkStart w:id="15" w:name="_Hlk62458326"/>
      <w:r>
        <w:rPr>
          <w:rFonts w:hint="eastAsia" w:asciiTheme="majorEastAsia" w:hAnsiTheme="majorEastAsia" w:eastAsiaTheme="majorEastAsia"/>
          <w:sz w:val="24"/>
          <w:szCs w:val="24"/>
        </w:rPr>
        <w:t>咨询服务、系统参数调整、数据纠错、操作指导、错误排查、版本维护、适应性改造、日常维护、故障处理、性能优化、巡检以及招标方要求的其他配合工作，确保汕尾供电局2025年作战指挥系统（供电所驾驶舱应用系统）维护工作正常开展。</w:t>
      </w:r>
      <w:bookmarkEnd w:id="15"/>
    </w:p>
    <w:p>
      <w:pPr>
        <w:spacing w:line="360" w:lineRule="auto"/>
        <w:ind w:firstLine="482" w:firstLineChars="200"/>
        <w:outlineLvl w:val="1"/>
        <w:rPr>
          <w:rFonts w:hint="eastAsia" w:ascii="宋体" w:hAnsi="宋体" w:eastAsia="宋体" w:cs="Times New Roman"/>
          <w:b/>
          <w:bCs/>
          <w:color w:val="auto"/>
          <w:sz w:val="24"/>
          <w:szCs w:val="24"/>
          <w:highlight w:val="none"/>
        </w:rPr>
      </w:pPr>
      <w:bookmarkStart w:id="16" w:name="_Toc17797"/>
      <w:r>
        <w:rPr>
          <w:rFonts w:hint="eastAsia" w:ascii="宋体" w:hAnsi="宋体"/>
          <w:b/>
          <w:bCs/>
          <w:color w:val="auto"/>
          <w:sz w:val="24"/>
          <w:szCs w:val="24"/>
          <w:highlight w:val="none"/>
        </w:rPr>
        <w:t>2.</w:t>
      </w:r>
      <w:r>
        <w:rPr>
          <w:rFonts w:hint="eastAsia" w:ascii="宋体" w:hAnsi="宋体"/>
          <w:b/>
          <w:bCs/>
          <w:color w:val="auto"/>
          <w:sz w:val="24"/>
          <w:szCs w:val="24"/>
          <w:highlight w:val="none"/>
          <w:lang w:val="en-US" w:eastAsia="zh-CN"/>
        </w:rPr>
        <w:t>3</w:t>
      </w:r>
      <w:r>
        <w:rPr>
          <w:rFonts w:hint="eastAsia" w:ascii="宋体" w:hAnsi="宋体" w:eastAsia="宋体" w:cs="Times New Roman"/>
          <w:b/>
          <w:bCs/>
          <w:color w:val="auto"/>
          <w:sz w:val="24"/>
          <w:szCs w:val="24"/>
          <w:highlight w:val="none"/>
        </w:rPr>
        <w:t>工程保证</w:t>
      </w:r>
      <w:bookmarkEnd w:id="16"/>
    </w:p>
    <w:p>
      <w:pPr>
        <w:spacing w:line="360" w:lineRule="auto"/>
        <w:ind w:firstLine="482" w:firstLineChars="200"/>
        <w:outlineLvl w:val="2"/>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2.3.1</w:t>
      </w:r>
      <w:r>
        <w:rPr>
          <w:rFonts w:hint="eastAsia" w:ascii="宋体" w:hAnsi="宋体" w:eastAsia="宋体" w:cs="Times New Roman"/>
          <w:b/>
          <w:bCs/>
          <w:color w:val="auto"/>
          <w:sz w:val="24"/>
          <w:szCs w:val="24"/>
          <w:highlight w:val="none"/>
        </w:rPr>
        <w:t>组织保证</w:t>
      </w:r>
    </w:p>
    <w:p>
      <w:pPr>
        <w:numPr>
          <w:ilvl w:val="0"/>
          <w:numId w:val="3"/>
        </w:numPr>
        <w:spacing w:line="360" w:lineRule="auto"/>
        <w:ind w:left="0" w:leftChars="0" w:firstLine="415" w:firstLineChars="0"/>
        <w:rPr>
          <w:rFonts w:hint="eastAsia" w:cs="Times New Roman" w:asciiTheme="majorEastAsia" w:hAnsiTheme="majorEastAsia" w:eastAsiaTheme="majorEastAsia"/>
          <w:sz w:val="24"/>
          <w:szCs w:val="24"/>
          <w:lang w:val="en-US" w:eastAsia="zh-CN"/>
        </w:rPr>
      </w:pPr>
      <w:r>
        <w:rPr>
          <w:rFonts w:hint="eastAsia" w:cs="Times New Roman" w:asciiTheme="majorEastAsia" w:hAnsiTheme="majorEastAsia" w:eastAsiaTheme="majorEastAsia"/>
          <w:sz w:val="24"/>
          <w:szCs w:val="24"/>
          <w:lang w:val="en-US" w:eastAsia="zh-CN"/>
        </w:rPr>
        <w:t>招标方有对投标人所提供的参与本项目建设的人员进行面试的权力。</w:t>
      </w:r>
    </w:p>
    <w:p>
      <w:pPr>
        <w:numPr>
          <w:ilvl w:val="0"/>
          <w:numId w:val="3"/>
        </w:numPr>
        <w:spacing w:line="360" w:lineRule="auto"/>
        <w:ind w:left="0" w:leftChars="0" w:firstLine="415" w:firstLineChars="0"/>
        <w:rPr>
          <w:rFonts w:hint="eastAsia" w:cs="Times New Roman" w:asciiTheme="majorEastAsia" w:hAnsiTheme="majorEastAsia" w:eastAsiaTheme="majorEastAsia"/>
          <w:sz w:val="24"/>
          <w:szCs w:val="24"/>
          <w:lang w:val="en-US" w:eastAsia="zh-CN"/>
        </w:rPr>
      </w:pPr>
      <w:r>
        <w:rPr>
          <w:rFonts w:hint="eastAsia" w:cs="Times New Roman" w:asciiTheme="majorEastAsia" w:hAnsiTheme="majorEastAsia" w:eastAsiaTheme="majorEastAsia"/>
          <w:sz w:val="24"/>
          <w:szCs w:val="24"/>
          <w:lang w:val="en-US" w:eastAsia="zh-CN"/>
        </w:rPr>
        <w:t>项目团队中必须包含现场工作人员、应急人员、后台技术支持人员。</w:t>
      </w:r>
    </w:p>
    <w:p>
      <w:pPr>
        <w:numPr>
          <w:ilvl w:val="0"/>
          <w:numId w:val="3"/>
        </w:numPr>
        <w:spacing w:line="360" w:lineRule="auto"/>
        <w:ind w:left="0" w:leftChars="0" w:firstLine="415" w:firstLineChars="0"/>
        <w:rPr>
          <w:rFonts w:hint="eastAsia" w:cs="Times New Roman" w:asciiTheme="majorEastAsia" w:hAnsiTheme="majorEastAsia" w:eastAsiaTheme="majorEastAsia"/>
          <w:sz w:val="24"/>
          <w:szCs w:val="24"/>
          <w:lang w:val="en-US" w:eastAsia="zh-CN"/>
        </w:rPr>
      </w:pPr>
      <w:r>
        <w:rPr>
          <w:rFonts w:hint="eastAsia" w:cs="Times New Roman" w:asciiTheme="majorEastAsia" w:hAnsiTheme="majorEastAsia" w:eastAsiaTheme="majorEastAsia"/>
          <w:sz w:val="24"/>
          <w:szCs w:val="24"/>
          <w:lang w:val="en-US" w:eastAsia="zh-CN"/>
        </w:rPr>
        <w:t>投标人进场时，必须向招标方提供拟派参加本项目的人员名单以及参加人员的资料。</w:t>
      </w:r>
    </w:p>
    <w:p>
      <w:pPr>
        <w:numPr>
          <w:ilvl w:val="0"/>
          <w:numId w:val="3"/>
        </w:numPr>
        <w:spacing w:line="360" w:lineRule="auto"/>
        <w:ind w:left="0" w:leftChars="0" w:firstLine="415" w:firstLineChars="0"/>
        <w:rPr>
          <w:rFonts w:hint="eastAsia" w:cs="Times New Roman" w:asciiTheme="majorEastAsia" w:hAnsiTheme="majorEastAsia" w:eastAsiaTheme="majorEastAsia"/>
          <w:sz w:val="24"/>
          <w:szCs w:val="24"/>
          <w:lang w:val="en-US" w:eastAsia="zh-CN"/>
        </w:rPr>
      </w:pPr>
      <w:r>
        <w:rPr>
          <w:rFonts w:hint="eastAsia" w:cs="Times New Roman" w:asciiTheme="majorEastAsia" w:hAnsiTheme="majorEastAsia" w:eastAsiaTheme="majorEastAsia"/>
          <w:sz w:val="24"/>
          <w:szCs w:val="24"/>
          <w:lang w:val="en-US" w:eastAsia="zh-CN"/>
        </w:rPr>
        <w:t>投标人必须向招标方保证工程人员组织的稳定性，在本项目工程结束前，参加本项目的人员变动必须取得招标方同意。</w:t>
      </w:r>
    </w:p>
    <w:p>
      <w:pPr>
        <w:spacing w:line="360" w:lineRule="auto"/>
        <w:ind w:firstLine="482" w:firstLineChars="200"/>
        <w:outlineLvl w:val="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2.3.2</w:t>
      </w:r>
      <w:r>
        <w:rPr>
          <w:rFonts w:hint="eastAsia" w:ascii="宋体" w:hAnsi="宋体" w:eastAsia="宋体" w:cs="Times New Roman"/>
          <w:b/>
          <w:bCs/>
          <w:color w:val="auto"/>
          <w:sz w:val="24"/>
          <w:szCs w:val="24"/>
          <w:highlight w:val="none"/>
        </w:rPr>
        <w:t>质量保证</w:t>
      </w:r>
    </w:p>
    <w:p>
      <w:pPr>
        <w:numPr>
          <w:ilvl w:val="0"/>
          <w:numId w:val="4"/>
        </w:numPr>
        <w:spacing w:line="360" w:lineRule="auto"/>
        <w:ind w:left="0" w:leftChars="0" w:firstLine="415" w:firstLineChars="0"/>
        <w:rPr>
          <w:rFonts w:hint="eastAsia" w:cs="Times New Roman" w:asciiTheme="majorEastAsia" w:hAnsiTheme="majorEastAsia" w:eastAsiaTheme="majorEastAsia"/>
          <w:sz w:val="24"/>
          <w:szCs w:val="24"/>
          <w:lang w:val="en-US" w:eastAsia="zh-CN"/>
        </w:rPr>
      </w:pPr>
      <w:r>
        <w:rPr>
          <w:rFonts w:hint="eastAsia" w:cs="Times New Roman" w:asciiTheme="majorEastAsia" w:hAnsiTheme="majorEastAsia" w:eastAsiaTheme="majorEastAsia"/>
          <w:sz w:val="24"/>
          <w:szCs w:val="24"/>
          <w:lang w:val="en-US" w:eastAsia="zh-CN"/>
        </w:rPr>
        <w:t>投标人应保证所提供的所有技术服务均能满足本招标文件要求。</w:t>
      </w:r>
    </w:p>
    <w:p>
      <w:pPr>
        <w:spacing w:line="360" w:lineRule="auto"/>
        <w:ind w:firstLine="482" w:firstLineChars="200"/>
        <w:outlineLvl w:val="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2.3.3</w:t>
      </w:r>
      <w:r>
        <w:rPr>
          <w:rFonts w:hint="eastAsia" w:ascii="宋体" w:hAnsi="宋体" w:eastAsia="宋体" w:cs="Times New Roman"/>
          <w:b/>
          <w:bCs/>
          <w:color w:val="auto"/>
          <w:sz w:val="24"/>
          <w:szCs w:val="24"/>
          <w:highlight w:val="none"/>
        </w:rPr>
        <w:t>进度保证</w:t>
      </w:r>
    </w:p>
    <w:p>
      <w:pPr>
        <w:numPr>
          <w:ilvl w:val="0"/>
          <w:numId w:val="5"/>
        </w:numPr>
        <w:spacing w:line="360" w:lineRule="auto"/>
        <w:ind w:left="0" w:leftChars="0" w:firstLine="415" w:firstLineChars="0"/>
        <w:rPr>
          <w:rFonts w:hint="eastAsia" w:cs="Times New Roman" w:asciiTheme="majorEastAsia" w:hAnsiTheme="majorEastAsia" w:eastAsiaTheme="majorEastAsia"/>
          <w:sz w:val="24"/>
          <w:szCs w:val="24"/>
          <w:lang w:val="en-US" w:eastAsia="zh-CN"/>
        </w:rPr>
      </w:pPr>
      <w:r>
        <w:rPr>
          <w:rFonts w:hint="eastAsia" w:cs="Times New Roman" w:asciiTheme="majorEastAsia" w:hAnsiTheme="majorEastAsia" w:eastAsiaTheme="majorEastAsia"/>
          <w:sz w:val="24"/>
          <w:szCs w:val="24"/>
          <w:lang w:val="en-US" w:eastAsia="zh-CN"/>
        </w:rPr>
        <w:t>本系统项目工程进度要求满足建设单位要求，具体要求在合同中明确。</w:t>
      </w:r>
    </w:p>
    <w:p>
      <w:pPr>
        <w:numPr>
          <w:ilvl w:val="0"/>
          <w:numId w:val="5"/>
        </w:numPr>
        <w:spacing w:line="360" w:lineRule="auto"/>
        <w:ind w:left="0" w:leftChars="0" w:firstLine="415" w:firstLineChars="0"/>
        <w:rPr>
          <w:rFonts w:hint="eastAsia" w:cs="Times New Roman" w:asciiTheme="majorEastAsia" w:hAnsiTheme="majorEastAsia" w:eastAsiaTheme="majorEastAsia"/>
          <w:sz w:val="24"/>
          <w:szCs w:val="24"/>
          <w:lang w:val="en-US" w:eastAsia="zh-CN"/>
        </w:rPr>
      </w:pPr>
      <w:r>
        <w:rPr>
          <w:rFonts w:hint="eastAsia" w:cs="Times New Roman" w:asciiTheme="majorEastAsia" w:hAnsiTheme="majorEastAsia" w:eastAsiaTheme="majorEastAsia"/>
          <w:sz w:val="24"/>
          <w:szCs w:val="24"/>
          <w:lang w:val="en-US" w:eastAsia="zh-CN"/>
        </w:rPr>
        <w:t>项目验收由招标方组织。投标人必须提供相应的工期保证措施、详细进度计划表。</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Times New Roman"/>
          <w:b/>
          <w:bCs/>
          <w:color w:val="auto"/>
          <w:sz w:val="24"/>
          <w:szCs w:val="24"/>
          <w:highlight w:val="none"/>
        </w:rPr>
      </w:pPr>
      <w:bookmarkStart w:id="17" w:name="_Toc28811"/>
      <w:bookmarkStart w:id="18" w:name="_Toc13707"/>
      <w:bookmarkStart w:id="19" w:name="_Toc32478"/>
      <w:r>
        <w:rPr>
          <w:rFonts w:hint="eastAsia"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lang w:val="en-US" w:eastAsia="zh-CN"/>
        </w:rPr>
        <w:t>4</w:t>
      </w:r>
      <w:r>
        <w:rPr>
          <w:rFonts w:hint="eastAsia" w:ascii="宋体" w:hAnsi="宋体" w:eastAsia="宋体" w:cs="Times New Roman"/>
          <w:b/>
          <w:bCs/>
          <w:color w:val="auto"/>
          <w:sz w:val="24"/>
          <w:szCs w:val="24"/>
          <w:highlight w:val="none"/>
        </w:rPr>
        <w:t>维护内容和要求</w:t>
      </w:r>
      <w:bookmarkEnd w:id="17"/>
      <w:bookmarkEnd w:id="18"/>
      <w:bookmarkEnd w:id="19"/>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758"/>
        <w:gridCol w:w="7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spacing w:afterAutospacing="1" w:line="360" w:lineRule="auto"/>
              <w:ind w:right="51"/>
              <w:jc w:val="center"/>
              <w:rPr>
                <w:rFonts w:hint="eastAsia" w:asciiTheme="minorEastAsia" w:hAnsiTheme="minorEastAsia" w:eastAsiaTheme="minorEastAsia" w:cstheme="minorEastAsia"/>
                <w:sz w:val="24"/>
                <w:szCs w:val="24"/>
              </w:rPr>
            </w:pPr>
            <w:bookmarkStart w:id="20" w:name="_Toc2059"/>
            <w:bookmarkStart w:id="21" w:name="_Toc7501"/>
            <w:bookmarkStart w:id="22" w:name="_Toc25931"/>
            <w:bookmarkStart w:id="23" w:name="_Toc24299"/>
            <w:bookmarkStart w:id="24" w:name="_Toc14517"/>
            <w:bookmarkStart w:id="25" w:name="_Toc27177"/>
            <w:bookmarkStart w:id="26" w:name="_Toc752"/>
            <w:r>
              <w:rPr>
                <w:rFonts w:hint="eastAsia" w:asciiTheme="minorEastAsia" w:hAnsiTheme="minorEastAsia" w:eastAsiaTheme="minorEastAsia" w:cstheme="minorEastAsia"/>
                <w:sz w:val="24"/>
                <w:szCs w:val="24"/>
              </w:rPr>
              <w:t>序号</w:t>
            </w:r>
          </w:p>
        </w:tc>
        <w:tc>
          <w:tcPr>
            <w:tcW w:w="0" w:type="auto"/>
          </w:tcPr>
          <w:p>
            <w:pPr>
              <w:widowControl/>
              <w:spacing w:afterAutospacing="1" w:line="360" w:lineRule="auto"/>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服务内容</w:t>
            </w:r>
          </w:p>
        </w:tc>
        <w:tc>
          <w:tcPr>
            <w:tcW w:w="0" w:type="auto"/>
          </w:tcPr>
          <w:p>
            <w:pPr>
              <w:widowControl/>
              <w:spacing w:afterAutospacing="1" w:line="360" w:lineRule="auto"/>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功能巡检</w:t>
            </w:r>
          </w:p>
        </w:tc>
        <w:tc>
          <w:tcPr>
            <w:tcW w:w="0" w:type="auto"/>
          </w:tcPr>
          <w:p>
            <w:pPr>
              <w:widowControl/>
              <w:spacing w:afterAutospacing="1"/>
              <w:ind w:right="5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包括定期对</w:t>
            </w:r>
            <w:r>
              <w:rPr>
                <w:rFonts w:hint="eastAsia" w:asciiTheme="minorEastAsia" w:hAnsiTheme="minorEastAsia" w:eastAsiaTheme="minorEastAsia" w:cstheme="minorEastAsia"/>
                <w:bCs/>
                <w:sz w:val="24"/>
                <w:szCs w:val="24"/>
                <w:lang w:eastAsia="zh-CN"/>
              </w:rPr>
              <w:t>汕尾供电局2025年作战指挥系统（供电所驾驶舱应用系统）</w:t>
            </w:r>
            <w:r>
              <w:rPr>
                <w:rFonts w:hint="eastAsia" w:asciiTheme="minorEastAsia" w:hAnsiTheme="minorEastAsia" w:eastAsiaTheme="minorEastAsia" w:cstheme="minorEastAsia"/>
                <w:bCs/>
                <w:sz w:val="24"/>
                <w:szCs w:val="24"/>
              </w:rPr>
              <w:t>的功能点进行功能测试、功能巡检；主动询问系统用户相关功能的使用情况；提交详细的巡检查报告。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数据巡检</w:t>
            </w:r>
          </w:p>
        </w:tc>
        <w:tc>
          <w:tcPr>
            <w:tcW w:w="0" w:type="auto"/>
          </w:tcPr>
          <w:p>
            <w:pPr>
              <w:autoSpaceDE w:val="0"/>
              <w:autoSpaceDN w:val="0"/>
              <w:adjustRightInd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定期对</w:t>
            </w:r>
            <w:r>
              <w:rPr>
                <w:rFonts w:hint="eastAsia" w:asciiTheme="minorEastAsia" w:hAnsiTheme="minorEastAsia" w:eastAsiaTheme="minorEastAsia" w:cstheme="minorEastAsia"/>
                <w:bCs/>
                <w:sz w:val="24"/>
                <w:szCs w:val="24"/>
                <w:lang w:eastAsia="zh-CN"/>
              </w:rPr>
              <w:t>汕尾供电局2025年作战指挥系统（供电所驾驶舱应用系统）</w:t>
            </w:r>
            <w:r>
              <w:rPr>
                <w:rFonts w:hint="eastAsia" w:asciiTheme="minorEastAsia" w:hAnsiTheme="minorEastAsia" w:eastAsiaTheme="minorEastAsia" w:cstheme="minorEastAsia"/>
                <w:bCs/>
                <w:sz w:val="24"/>
                <w:szCs w:val="24"/>
              </w:rPr>
              <w:t>的运作数据进行巡检，检查范围包括：存储过程、触发器、视图、表空间使用情况、数据冗余情况、系统业务数据运作状况、主动询问用户相关数据的运作情况。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日志巡检</w:t>
            </w:r>
          </w:p>
        </w:tc>
        <w:tc>
          <w:tcPr>
            <w:tcW w:w="0" w:type="auto"/>
          </w:tcPr>
          <w:p>
            <w:pPr>
              <w:widowControl/>
              <w:spacing w:afterAutospacing="1"/>
              <w:ind w:right="5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定期检查</w:t>
            </w:r>
            <w:r>
              <w:rPr>
                <w:rFonts w:hint="eastAsia" w:asciiTheme="minorEastAsia" w:hAnsiTheme="minorEastAsia" w:eastAsiaTheme="minorEastAsia" w:cstheme="minorEastAsia"/>
                <w:bCs/>
                <w:sz w:val="24"/>
                <w:szCs w:val="24"/>
                <w:lang w:eastAsia="zh-CN"/>
              </w:rPr>
              <w:t>汕尾供电局2025年作战指挥系统（供电所驾驶舱应用系统）</w:t>
            </w:r>
            <w:r>
              <w:rPr>
                <w:rFonts w:hint="eastAsia" w:asciiTheme="minorEastAsia" w:hAnsiTheme="minorEastAsia" w:eastAsiaTheme="minorEastAsia" w:cstheme="minorEastAsia"/>
                <w:bCs/>
                <w:sz w:val="24"/>
                <w:szCs w:val="24"/>
              </w:rPr>
              <w:t>相关系统的日志，排查异常日志，监控系统隐含问题。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性能巡检</w:t>
            </w:r>
          </w:p>
        </w:tc>
        <w:tc>
          <w:tcPr>
            <w:tcW w:w="0" w:type="auto"/>
          </w:tcPr>
          <w:p>
            <w:pPr>
              <w:widowControl/>
              <w:spacing w:afterAutospacing="1"/>
              <w:ind w:right="5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定期对系统性能实行监控，检查系统运作性能的状态，若存在性能问题，则给出性能调优方案。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atLeast"/>
        </w:trPr>
        <w:tc>
          <w:tcPr>
            <w:tcW w:w="0" w:type="auto"/>
          </w:tcPr>
          <w:p>
            <w:pPr>
              <w:widowControl/>
              <w:spacing w:afterAutospacing="1"/>
              <w:ind w:right="51"/>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5</w:t>
            </w:r>
          </w:p>
        </w:tc>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故障处理</w:t>
            </w:r>
          </w:p>
        </w:tc>
        <w:tc>
          <w:tcPr>
            <w:tcW w:w="0" w:type="auto"/>
          </w:tcPr>
          <w:p>
            <w:pPr>
              <w:pStyle w:val="13"/>
              <w:tabs>
                <w:tab w:val="left" w:pos="0"/>
              </w:tabs>
              <w:ind w:left="0" w:leftChars="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乙方</w:t>
            </w:r>
            <w:r>
              <w:rPr>
                <w:rFonts w:hint="eastAsia" w:asciiTheme="minorEastAsia" w:hAnsiTheme="minorEastAsia" w:eastAsiaTheme="minorEastAsia" w:cstheme="minorEastAsia"/>
                <w:sz w:val="24"/>
                <w:szCs w:val="24"/>
                <w:highlight w:val="none"/>
                <w:lang w:val="en-US" w:eastAsia="zh-CN"/>
              </w:rPr>
              <w:t>维护期内</w:t>
            </w:r>
            <w:r>
              <w:rPr>
                <w:rFonts w:hint="eastAsia" w:asciiTheme="minorEastAsia" w:hAnsiTheme="minorEastAsia" w:eastAsiaTheme="minorEastAsia" w:cstheme="minorEastAsia"/>
                <w:sz w:val="24"/>
                <w:szCs w:val="24"/>
                <w:highlight w:val="none"/>
              </w:rPr>
              <w:t>提供5×8小时</w:t>
            </w:r>
            <w:r>
              <w:rPr>
                <w:rFonts w:hint="eastAsia" w:asciiTheme="minorEastAsia" w:hAnsiTheme="minorEastAsia" w:eastAsiaTheme="minorEastAsia" w:cstheme="minorEastAsia"/>
                <w:sz w:val="24"/>
                <w:szCs w:val="24"/>
                <w:highlight w:val="none"/>
                <w:lang w:val="en-US" w:eastAsia="zh-CN"/>
              </w:rPr>
              <w:t>故障处理</w:t>
            </w:r>
            <w:r>
              <w:rPr>
                <w:rFonts w:hint="eastAsia" w:asciiTheme="minorEastAsia" w:hAnsiTheme="minorEastAsia" w:eastAsiaTheme="minorEastAsia" w:cstheme="minorEastAsia"/>
                <w:sz w:val="24"/>
                <w:szCs w:val="24"/>
                <w:highlight w:val="none"/>
              </w:rPr>
              <w:t>服务，重大活动期间7×12小时</w:t>
            </w:r>
            <w:r>
              <w:rPr>
                <w:rFonts w:hint="eastAsia" w:asciiTheme="minorEastAsia" w:hAnsiTheme="minorEastAsia" w:eastAsiaTheme="minorEastAsia" w:cstheme="minorEastAsia"/>
                <w:sz w:val="24"/>
                <w:szCs w:val="24"/>
                <w:highlight w:val="none"/>
                <w:lang w:val="en-US" w:eastAsia="zh-CN"/>
              </w:rPr>
              <w:t>故障处理</w:t>
            </w:r>
            <w:r>
              <w:rPr>
                <w:rFonts w:hint="eastAsia" w:asciiTheme="minorEastAsia" w:hAnsiTheme="minorEastAsia" w:eastAsiaTheme="minorEastAsia" w:cstheme="minorEastAsia"/>
                <w:sz w:val="24"/>
                <w:szCs w:val="24"/>
                <w:highlight w:val="none"/>
              </w:rPr>
              <w:t>服务，7×24小时应急服务；乙方人员负责对</w:t>
            </w:r>
            <w:r>
              <w:rPr>
                <w:rFonts w:hint="eastAsia" w:asciiTheme="minorEastAsia" w:hAnsiTheme="minorEastAsia" w:eastAsiaTheme="minorEastAsia" w:cstheme="minorEastAsia"/>
                <w:bCs/>
                <w:sz w:val="24"/>
                <w:szCs w:val="24"/>
                <w:lang w:eastAsia="zh-CN"/>
              </w:rPr>
              <w:t>汕尾供电局2025年作战指挥系统（供电所驾驶舱应用系统）</w:t>
            </w:r>
            <w:r>
              <w:rPr>
                <w:rFonts w:hint="eastAsia" w:asciiTheme="minorEastAsia" w:hAnsiTheme="minorEastAsia" w:eastAsiaTheme="minorEastAsia" w:cstheme="minorEastAsia"/>
                <w:sz w:val="24"/>
                <w:szCs w:val="24"/>
                <w:highlight w:val="none"/>
              </w:rPr>
              <w:t>进行故障诊断、排错、恢复和一般性的技术维护，保证系统稳定、可靠运行，同时及时修正运行中发现的问题。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0" w:type="auto"/>
          </w:tcPr>
          <w:p>
            <w:pPr>
              <w:widowControl/>
              <w:spacing w:afterAutospacing="1"/>
              <w:ind w:right="51"/>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6</w:t>
            </w:r>
          </w:p>
        </w:tc>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版本维护</w:t>
            </w:r>
          </w:p>
        </w:tc>
        <w:tc>
          <w:tcPr>
            <w:tcW w:w="0" w:type="auto"/>
          </w:tcPr>
          <w:p>
            <w:pPr>
              <w:pStyle w:val="13"/>
              <w:tabs>
                <w:tab w:val="left" w:pos="0"/>
              </w:tabs>
              <w:ind w:left="0" w:leftChars="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管理系统应用版本和中间件等版本维护。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spacing w:afterAutospacing="1"/>
              <w:ind w:right="51"/>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7</w:t>
            </w:r>
          </w:p>
        </w:tc>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现场巡检</w:t>
            </w:r>
          </w:p>
        </w:tc>
        <w:tc>
          <w:tcPr>
            <w:tcW w:w="0" w:type="auto"/>
          </w:tcPr>
          <w:p>
            <w:pPr>
              <w:autoSpaceDE w:val="0"/>
              <w:autoSpaceDN w:val="0"/>
              <w:adjustRightInd w:val="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rPr>
              <w:t>包括业务咨询、参数调整、数据纠错、操作指导、错误排查、版本升级、日常维护、现场巡检、接口开发调试、远程技术支持、IT管理方案咨询以及甲方单位要求的其他配合工作等，保证系统正常、稳定运行巡检服务</w:t>
            </w:r>
            <w:r>
              <w:rPr>
                <w:rFonts w:hint="eastAsia" w:asciiTheme="minorEastAsia" w:hAnsiTheme="minorEastAsia" w:eastAsiaTheme="minorEastAsia" w:cstheme="minorEastAsia"/>
                <w:bCs/>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spacing w:afterAutospacing="1"/>
              <w:ind w:right="51"/>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c>
          <w:tcPr>
            <w:tcW w:w="0" w:type="auto"/>
          </w:tcPr>
          <w:p>
            <w:pPr>
              <w:widowControl/>
              <w:spacing w:afterAutospacing="1"/>
              <w:ind w:right="5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其他配合工作</w:t>
            </w:r>
          </w:p>
        </w:tc>
        <w:tc>
          <w:tcPr>
            <w:tcW w:w="0" w:type="auto"/>
          </w:tcPr>
          <w:p>
            <w:pPr>
              <w:widowControl/>
              <w:spacing w:afterAutospacing="1"/>
              <w:ind w:right="5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配合信息中心开展其他的相关工作。</w:t>
            </w:r>
          </w:p>
        </w:tc>
      </w:tr>
    </w:tbl>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1"/>
        <w:rPr>
          <w:rFonts w:hint="eastAsia" w:ascii="宋体" w:hAnsi="宋体" w:eastAsia="宋体" w:cs="Times New Roman"/>
          <w:b/>
          <w:bCs/>
          <w:color w:val="auto"/>
          <w:sz w:val="24"/>
          <w:szCs w:val="24"/>
          <w:highlight w:val="none"/>
          <w:lang w:val="en-US" w:eastAsia="zh-CN"/>
        </w:rPr>
      </w:pPr>
      <w:bookmarkStart w:id="27" w:name="_Toc13973"/>
      <w:bookmarkStart w:id="28" w:name="_Toc23095"/>
      <w:r>
        <w:rPr>
          <w:rFonts w:hint="eastAsia" w:ascii="宋体" w:hAnsi="宋体" w:eastAsia="宋体" w:cs="Times New Roman"/>
          <w:b/>
          <w:bCs/>
          <w:color w:val="auto"/>
          <w:sz w:val="24"/>
          <w:szCs w:val="24"/>
          <w:highlight w:val="none"/>
          <w:lang w:val="en-US" w:eastAsia="zh-CN"/>
        </w:rPr>
        <w:t>2.5项目实施</w:t>
      </w:r>
      <w:bookmarkEnd w:id="27"/>
      <w:bookmarkEnd w:id="28"/>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2"/>
        <w:rPr>
          <w:rFonts w:hint="eastAsia" w:ascii="宋体" w:hAnsi="宋体" w:eastAsia="宋体" w:cs="Times New Roman"/>
          <w:b/>
          <w:bCs/>
          <w:color w:val="auto"/>
          <w:sz w:val="24"/>
          <w:szCs w:val="24"/>
          <w:highlight w:val="none"/>
          <w:lang w:val="en-US" w:eastAsia="zh-CN"/>
        </w:rPr>
      </w:pPr>
      <w:bookmarkStart w:id="29" w:name="_Toc390289228"/>
      <w:bookmarkStart w:id="30" w:name="_Toc456599921"/>
      <w:bookmarkStart w:id="31" w:name="_Toc243192084"/>
      <w:bookmarkStart w:id="32" w:name="_Toc265160793"/>
      <w:r>
        <w:rPr>
          <w:rFonts w:hint="eastAsia" w:ascii="宋体" w:hAnsi="宋体" w:eastAsia="宋体" w:cs="Times New Roman"/>
          <w:b/>
          <w:bCs/>
          <w:color w:val="auto"/>
          <w:sz w:val="24"/>
          <w:szCs w:val="24"/>
          <w:highlight w:val="none"/>
          <w:lang w:val="en-US" w:eastAsia="zh-CN"/>
        </w:rPr>
        <w:t>2.5.1技术联络组</w:t>
      </w:r>
      <w:bookmarkEnd w:id="29"/>
      <w:bookmarkEnd w:id="30"/>
      <w:bookmarkEnd w:id="31"/>
      <w:bookmarkEnd w:id="32"/>
    </w:p>
    <w:p>
      <w:pPr>
        <w:widowControl w:val="0"/>
        <w:spacing w:line="360" w:lineRule="auto"/>
        <w:ind w:firstLine="504" w:firstLineChars="200"/>
        <w:jc w:val="both"/>
        <w:rPr>
          <w:rFonts w:hint="eastAsia" w:ascii="宋体" w:hAnsi="宋体" w:eastAsia="宋体" w:cs="宋体"/>
          <w:spacing w:val="6"/>
          <w:kern w:val="2"/>
          <w:sz w:val="24"/>
          <w:szCs w:val="24"/>
          <w:lang w:val="en-US" w:eastAsia="zh-CN" w:bidi="ar-SA"/>
        </w:rPr>
      </w:pPr>
      <w:r>
        <w:rPr>
          <w:rFonts w:hint="eastAsia" w:ascii="宋体" w:hAnsi="宋体" w:eastAsia="宋体" w:cs="宋体"/>
          <w:spacing w:val="6"/>
          <w:kern w:val="2"/>
          <w:sz w:val="24"/>
          <w:szCs w:val="24"/>
          <w:lang w:val="en-US" w:eastAsia="zh-CN" w:bidi="ar-SA"/>
        </w:rPr>
        <w:t>由招标方、投标人分别指派人员组成技术联络工作组，该组负责在系统开发、维护实施过程中组织召开必要的技术联络会议。</w:t>
      </w:r>
    </w:p>
    <w:p>
      <w:pPr>
        <w:keepNext w:val="0"/>
        <w:keepLines w:val="0"/>
        <w:pageBreakBefore w:val="0"/>
        <w:widowControl w:val="0"/>
        <w:kinsoku/>
        <w:wordWrap/>
        <w:overflowPunct/>
        <w:topLinePunct w:val="0"/>
        <w:autoSpaceDE/>
        <w:autoSpaceDN/>
        <w:bidi w:val="0"/>
        <w:spacing w:line="360" w:lineRule="auto"/>
        <w:ind w:firstLine="482" w:firstLineChars="200"/>
        <w:textAlignment w:val="auto"/>
        <w:outlineLvl w:val="2"/>
        <w:rPr>
          <w:rFonts w:hint="eastAsia" w:ascii="宋体" w:hAnsi="宋体" w:eastAsia="宋体" w:cs="Times New Roman"/>
          <w:b/>
          <w:bCs/>
          <w:color w:val="auto"/>
          <w:sz w:val="24"/>
          <w:szCs w:val="24"/>
          <w:highlight w:val="none"/>
          <w:lang w:val="en-US" w:eastAsia="zh-CN"/>
        </w:rPr>
      </w:pPr>
      <w:bookmarkStart w:id="33" w:name="_Toc265160794"/>
      <w:bookmarkStart w:id="34" w:name="_Toc383718246"/>
      <w:bookmarkStart w:id="35" w:name="_Toc243192085"/>
      <w:bookmarkStart w:id="36" w:name="_Toc456599922"/>
      <w:r>
        <w:rPr>
          <w:rFonts w:hint="eastAsia" w:ascii="宋体" w:hAnsi="宋体" w:eastAsia="宋体" w:cs="Times New Roman"/>
          <w:b/>
          <w:bCs/>
          <w:color w:val="auto"/>
          <w:sz w:val="24"/>
          <w:szCs w:val="24"/>
          <w:highlight w:val="none"/>
          <w:lang w:val="en-US" w:eastAsia="zh-CN"/>
        </w:rPr>
        <w:t>2.5.2招标方验收组</w:t>
      </w:r>
      <w:bookmarkEnd w:id="33"/>
      <w:bookmarkEnd w:id="34"/>
      <w:bookmarkEnd w:id="35"/>
      <w:bookmarkEnd w:id="36"/>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招标方验收组负责组织对系统维护内容进行验收。同时，验收组指导项目测试、技术资料小组进行项目资料的收集、整理和编印。</w:t>
      </w:r>
    </w:p>
    <w:p>
      <w:pPr>
        <w:spacing w:line="360" w:lineRule="auto"/>
        <w:ind w:firstLine="482" w:firstLineChars="200"/>
        <w:outlineLvl w:val="1"/>
        <w:rPr>
          <w:rFonts w:ascii="宋体" w:hAnsi="宋体"/>
          <w:b/>
          <w:bCs/>
          <w:color w:val="auto"/>
          <w:sz w:val="24"/>
          <w:szCs w:val="24"/>
          <w:highlight w:val="none"/>
        </w:rPr>
      </w:pPr>
      <w:bookmarkStart w:id="37" w:name="_Toc1704"/>
      <w:r>
        <w:rPr>
          <w:rFonts w:hint="eastAsia" w:ascii="宋体" w:hAnsi="宋体"/>
          <w:b/>
          <w:bCs/>
          <w:color w:val="auto"/>
          <w:sz w:val="24"/>
          <w:szCs w:val="24"/>
          <w:highlight w:val="none"/>
        </w:rPr>
        <w:t>2.</w:t>
      </w:r>
      <w:r>
        <w:rPr>
          <w:rFonts w:hint="eastAsia" w:ascii="宋体" w:hAnsi="宋体"/>
          <w:b/>
          <w:bCs/>
          <w:color w:val="auto"/>
          <w:sz w:val="24"/>
          <w:szCs w:val="24"/>
          <w:highlight w:val="none"/>
          <w:lang w:val="en-US" w:eastAsia="zh-CN"/>
        </w:rPr>
        <w:t>6</w:t>
      </w:r>
      <w:r>
        <w:rPr>
          <w:rFonts w:hint="eastAsia" w:ascii="宋体" w:hAnsi="宋体"/>
          <w:b/>
          <w:bCs/>
          <w:color w:val="auto"/>
          <w:sz w:val="24"/>
          <w:szCs w:val="24"/>
          <w:highlight w:val="none"/>
        </w:rPr>
        <w:t>项目交付</w:t>
      </w:r>
      <w:bookmarkEnd w:id="20"/>
      <w:bookmarkEnd w:id="21"/>
      <w:bookmarkEnd w:id="22"/>
      <w:r>
        <w:rPr>
          <w:rFonts w:hint="eastAsia" w:ascii="宋体" w:hAnsi="宋体"/>
          <w:b/>
          <w:bCs/>
          <w:color w:val="auto"/>
          <w:sz w:val="24"/>
          <w:szCs w:val="24"/>
          <w:highlight w:val="none"/>
        </w:rPr>
        <w:t>物要求</w:t>
      </w:r>
      <w:bookmarkEnd w:id="23"/>
      <w:bookmarkEnd w:id="24"/>
      <w:bookmarkEnd w:id="25"/>
      <w:bookmarkEnd w:id="26"/>
      <w:bookmarkEnd w:id="37"/>
    </w:p>
    <w:p>
      <w:pPr>
        <w:spacing w:line="360" w:lineRule="auto"/>
        <w:ind w:firstLine="480" w:firstLineChars="200"/>
        <w:rPr>
          <w:color w:val="auto"/>
          <w:sz w:val="24"/>
          <w:szCs w:val="24"/>
          <w:highlight w:val="none"/>
        </w:rPr>
      </w:pPr>
      <w:r>
        <w:rPr>
          <w:rFonts w:hint="eastAsia"/>
          <w:color w:val="auto"/>
          <w:sz w:val="24"/>
          <w:szCs w:val="24"/>
          <w:highlight w:val="none"/>
        </w:rPr>
        <w:t>包括不限于：</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7"/>
        <w:gridCol w:w="3100"/>
        <w:gridCol w:w="3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7" w:type="dxa"/>
            <w:vAlign w:val="center"/>
          </w:tcPr>
          <w:p>
            <w:pPr>
              <w:widowControl/>
              <w:jc w:val="center"/>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cs="宋体"/>
                <w:b/>
                <w:bCs/>
                <w:color w:val="auto"/>
                <w:kern w:val="0"/>
                <w:sz w:val="24"/>
                <w:szCs w:val="24"/>
                <w:highlight w:val="none"/>
              </w:rPr>
              <w:t>编号</w:t>
            </w:r>
          </w:p>
        </w:tc>
        <w:tc>
          <w:tcPr>
            <w:tcW w:w="3100" w:type="dxa"/>
            <w:vAlign w:val="center"/>
          </w:tcPr>
          <w:p>
            <w:pPr>
              <w:widowControl/>
              <w:jc w:val="center"/>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cs="宋体"/>
                <w:b/>
                <w:bCs/>
                <w:color w:val="auto"/>
                <w:kern w:val="0"/>
                <w:sz w:val="24"/>
                <w:szCs w:val="24"/>
                <w:highlight w:val="none"/>
              </w:rPr>
              <w:t>名称</w:t>
            </w:r>
          </w:p>
        </w:tc>
        <w:tc>
          <w:tcPr>
            <w:tcW w:w="3785" w:type="dxa"/>
            <w:vAlign w:val="center"/>
          </w:tcPr>
          <w:p>
            <w:pPr>
              <w:widowControl/>
              <w:jc w:val="center"/>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cs="宋体"/>
                <w:b/>
                <w:bCs/>
                <w:color w:val="auto"/>
                <w:kern w:val="0"/>
                <w:sz w:val="24"/>
                <w:szCs w:val="24"/>
                <w:highlight w:val="none"/>
              </w:rPr>
              <w:t>交付周期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7" w:type="dxa"/>
            <w:vAlign w:val="center"/>
          </w:tcPr>
          <w:p>
            <w:pPr>
              <w:spacing w:line="360" w:lineRule="auto"/>
              <w:jc w:val="center"/>
              <w:outlineLvl w:val="4"/>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1</w:t>
            </w:r>
          </w:p>
        </w:tc>
        <w:tc>
          <w:tcPr>
            <w:tcW w:w="3100"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rPr>
              <w:t>信息系统巡检作业指导书</w:t>
            </w:r>
            <w:r>
              <w:rPr>
                <w:rFonts w:hint="eastAsia" w:ascii="宋体" w:hAnsi="宋体" w:cs="宋体"/>
                <w:b w:val="0"/>
                <w:bCs w:val="0"/>
                <w:color w:val="auto"/>
                <w:sz w:val="24"/>
                <w:szCs w:val="24"/>
                <w:highlight w:val="none"/>
                <w:vertAlign w:val="baseline"/>
                <w:lang w:eastAsia="zh-CN"/>
              </w:rPr>
              <w:t>（如有）</w:t>
            </w:r>
          </w:p>
        </w:tc>
        <w:tc>
          <w:tcPr>
            <w:tcW w:w="3785"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按需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7" w:type="dxa"/>
            <w:vAlign w:val="center"/>
          </w:tcPr>
          <w:p>
            <w:pPr>
              <w:spacing w:line="360" w:lineRule="auto"/>
              <w:jc w:val="center"/>
              <w:outlineLvl w:val="4"/>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2</w:t>
            </w:r>
          </w:p>
        </w:tc>
        <w:tc>
          <w:tcPr>
            <w:tcW w:w="3100"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rPr>
              <w:t>定期巡检计划及记录</w:t>
            </w:r>
          </w:p>
        </w:tc>
        <w:tc>
          <w:tcPr>
            <w:tcW w:w="3785"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按服务范围的单个系统，按实际情况提供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7" w:type="dxa"/>
            <w:vAlign w:val="center"/>
          </w:tcPr>
          <w:p>
            <w:pPr>
              <w:spacing w:line="360" w:lineRule="auto"/>
              <w:jc w:val="center"/>
              <w:outlineLvl w:val="4"/>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3</w:t>
            </w:r>
          </w:p>
        </w:tc>
        <w:tc>
          <w:tcPr>
            <w:tcW w:w="3100"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rPr>
              <w:t>信息系统定期维护记录表</w:t>
            </w:r>
          </w:p>
        </w:tc>
        <w:tc>
          <w:tcPr>
            <w:tcW w:w="3785"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按服务范围的单个系统，按实际情况提供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7" w:type="dxa"/>
            <w:vAlign w:val="center"/>
          </w:tcPr>
          <w:p>
            <w:pPr>
              <w:spacing w:line="360" w:lineRule="auto"/>
              <w:jc w:val="center"/>
              <w:outlineLvl w:val="4"/>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4</w:t>
            </w:r>
          </w:p>
        </w:tc>
        <w:tc>
          <w:tcPr>
            <w:tcW w:w="3100"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rPr>
              <w:t>信息系统故障处理报告</w:t>
            </w:r>
          </w:p>
          <w:p>
            <w:pPr>
              <w:spacing w:line="360" w:lineRule="auto"/>
              <w:jc w:val="both"/>
              <w:outlineLvl w:val="4"/>
              <w:rPr>
                <w:rFonts w:hint="eastAsia" w:ascii="宋体" w:hAnsi="宋体" w:eastAsia="宋体" w:cs="宋体"/>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vertAlign w:val="baseline"/>
                <w:lang w:eastAsia="zh-CN"/>
              </w:rPr>
              <w:t>（</w:t>
            </w:r>
            <w:r>
              <w:rPr>
                <w:rFonts w:hint="eastAsia" w:ascii="宋体" w:hAnsi="宋体" w:cs="宋体"/>
                <w:b w:val="0"/>
                <w:bCs w:val="0"/>
                <w:color w:val="auto"/>
                <w:sz w:val="24"/>
                <w:szCs w:val="24"/>
                <w:highlight w:val="none"/>
                <w:vertAlign w:val="baseline"/>
                <w:lang w:val="en-US" w:eastAsia="zh-CN"/>
              </w:rPr>
              <w:t>如有</w:t>
            </w:r>
            <w:r>
              <w:rPr>
                <w:rFonts w:hint="eastAsia" w:ascii="宋体" w:hAnsi="宋体" w:cs="宋体"/>
                <w:b w:val="0"/>
                <w:bCs w:val="0"/>
                <w:color w:val="auto"/>
                <w:sz w:val="24"/>
                <w:szCs w:val="24"/>
                <w:highlight w:val="none"/>
                <w:vertAlign w:val="baseline"/>
                <w:lang w:eastAsia="zh-CN"/>
              </w:rPr>
              <w:t>）</w:t>
            </w:r>
          </w:p>
        </w:tc>
        <w:tc>
          <w:tcPr>
            <w:tcW w:w="3785"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按服务范围的单个系统，按实际情况提供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7" w:type="dxa"/>
            <w:vAlign w:val="center"/>
          </w:tcPr>
          <w:p>
            <w:pPr>
              <w:spacing w:line="360" w:lineRule="auto"/>
              <w:jc w:val="center"/>
              <w:outlineLvl w:val="4"/>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5</w:t>
            </w:r>
          </w:p>
        </w:tc>
        <w:tc>
          <w:tcPr>
            <w:tcW w:w="3100"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rPr>
              <w:t>运维报告</w:t>
            </w:r>
          </w:p>
        </w:tc>
        <w:tc>
          <w:tcPr>
            <w:tcW w:w="3785"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按服务范围的单个系统，按实际情况提供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7" w:type="dxa"/>
            <w:vAlign w:val="center"/>
          </w:tcPr>
          <w:p>
            <w:pPr>
              <w:spacing w:line="360" w:lineRule="auto"/>
              <w:jc w:val="center"/>
              <w:outlineLvl w:val="4"/>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6</w:t>
            </w:r>
          </w:p>
        </w:tc>
        <w:tc>
          <w:tcPr>
            <w:tcW w:w="3100"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rPr>
              <w:t>系统运行</w:t>
            </w:r>
            <w:r>
              <w:rPr>
                <w:rFonts w:hint="eastAsia" w:ascii="宋体" w:hAnsi="宋体" w:cs="宋体"/>
                <w:b w:val="0"/>
                <w:bCs w:val="0"/>
                <w:color w:val="auto"/>
                <w:sz w:val="24"/>
                <w:szCs w:val="24"/>
                <w:highlight w:val="none"/>
                <w:vertAlign w:val="baseline"/>
                <w:lang w:val="en-US" w:eastAsia="zh-CN"/>
              </w:rPr>
              <w:t>总结</w:t>
            </w:r>
            <w:r>
              <w:rPr>
                <w:rFonts w:hint="eastAsia" w:ascii="宋体" w:hAnsi="宋体" w:cs="宋体"/>
                <w:b w:val="0"/>
                <w:bCs w:val="0"/>
                <w:color w:val="auto"/>
                <w:sz w:val="24"/>
                <w:szCs w:val="24"/>
                <w:highlight w:val="none"/>
                <w:vertAlign w:val="baseline"/>
              </w:rPr>
              <w:t>报告</w:t>
            </w:r>
          </w:p>
        </w:tc>
        <w:tc>
          <w:tcPr>
            <w:tcW w:w="3785"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按服务范围的单个系统，按实际情况提供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7" w:type="dxa"/>
            <w:vAlign w:val="center"/>
          </w:tcPr>
          <w:p>
            <w:pPr>
              <w:spacing w:line="360" w:lineRule="auto"/>
              <w:jc w:val="center"/>
              <w:outlineLvl w:val="4"/>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7</w:t>
            </w:r>
          </w:p>
        </w:tc>
        <w:tc>
          <w:tcPr>
            <w:tcW w:w="3100"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rPr>
              <w:t>监理报告（如有）</w:t>
            </w:r>
          </w:p>
        </w:tc>
        <w:tc>
          <w:tcPr>
            <w:tcW w:w="3785" w:type="dxa"/>
            <w:vAlign w:val="center"/>
          </w:tcPr>
          <w:p>
            <w:pPr>
              <w:spacing w:line="360" w:lineRule="auto"/>
              <w:jc w:val="both"/>
              <w:outlineLvl w:val="4"/>
              <w:rPr>
                <w:rFonts w:hint="eastAsia" w:ascii="宋体" w:hAnsi="宋体" w:eastAsia="宋体" w:cs="宋体"/>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vertAlign w:val="baseline"/>
                <w:lang w:eastAsia="zh-CN"/>
              </w:rPr>
              <w:t>按需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7" w:type="dxa"/>
            <w:vAlign w:val="center"/>
          </w:tcPr>
          <w:p>
            <w:pPr>
              <w:spacing w:line="360" w:lineRule="auto"/>
              <w:jc w:val="center"/>
              <w:outlineLvl w:val="4"/>
              <w:rPr>
                <w:rFonts w:hint="default"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8</w:t>
            </w:r>
          </w:p>
        </w:tc>
        <w:tc>
          <w:tcPr>
            <w:tcW w:w="3100"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rPr>
              <w:t>其它合同约定的交付物</w:t>
            </w:r>
          </w:p>
        </w:tc>
        <w:tc>
          <w:tcPr>
            <w:tcW w:w="3785" w:type="dxa"/>
            <w:vAlign w:val="center"/>
          </w:tcPr>
          <w:p>
            <w:pPr>
              <w:spacing w:line="360" w:lineRule="auto"/>
              <w:jc w:val="both"/>
              <w:outlineLvl w:val="4"/>
              <w:rPr>
                <w:rFonts w:hint="eastAsia" w:ascii="宋体" w:hAnsi="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按需</w:t>
            </w:r>
          </w:p>
        </w:tc>
      </w:tr>
    </w:tbl>
    <w:p>
      <w:pPr>
        <w:spacing w:line="360" w:lineRule="auto"/>
        <w:rPr>
          <w:rFonts w:hint="eastAsia" w:ascii="宋体" w:hAnsi="宋体" w:cs="宋体"/>
          <w:b/>
          <w:bCs/>
          <w:color w:val="auto"/>
          <w:sz w:val="24"/>
          <w:szCs w:val="24"/>
          <w:highlight w:val="none"/>
        </w:rPr>
      </w:pPr>
    </w:p>
    <w:p>
      <w:pPr>
        <w:spacing w:line="360" w:lineRule="auto"/>
        <w:ind w:firstLine="482" w:firstLineChars="200"/>
        <w:outlineLvl w:val="1"/>
        <w:rPr>
          <w:rFonts w:ascii="宋体" w:hAnsi="宋体" w:cs="宋体"/>
          <w:b/>
          <w:bCs/>
          <w:color w:val="auto"/>
          <w:sz w:val="24"/>
          <w:szCs w:val="24"/>
          <w:highlight w:val="none"/>
        </w:rPr>
      </w:pPr>
      <w:bookmarkStart w:id="38" w:name="_Toc30009"/>
      <w:bookmarkStart w:id="39" w:name="_Toc27218"/>
      <w:bookmarkStart w:id="40" w:name="_Toc2024"/>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rPr>
        <w:t>项目管理</w:t>
      </w:r>
      <w:bookmarkEnd w:id="38"/>
      <w:bookmarkEnd w:id="39"/>
      <w:bookmarkEnd w:id="40"/>
    </w:p>
    <w:p>
      <w:pPr>
        <w:spacing w:line="360" w:lineRule="auto"/>
        <w:ind w:firstLine="482" w:firstLineChars="200"/>
        <w:outlineLvl w:val="2"/>
        <w:rPr>
          <w:rFonts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rPr>
        <w:t>.1项目实施</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需根据本技术规范书的要求结合自身在信息系统运维管理实践和项目经验，认真实施此次采购的项目内容。</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应从项目的角度提出软件系统维护过程的安排，同时根据本项目的特点，对拟投入本项目的人员情况进行说明，同时需详细说明此项目组成员所承担的职责和所具有的优势，从系统维护的人员方面确保项目的正常进行。</w:t>
      </w:r>
    </w:p>
    <w:p>
      <w:pPr>
        <w:spacing w:line="360" w:lineRule="auto"/>
        <w:ind w:firstLine="482" w:firstLineChars="200"/>
        <w:outlineLvl w:val="2"/>
        <w:rPr>
          <w:rFonts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rPr>
        <w:t>.2技术联络会</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为了确保项目的顺利进行和完成，在项目实施过程中，</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应与</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建立必要的技术联络会制度。</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应按</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的要求参加</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组织的运维定期例会、系统运维分析会、运维工作协调会、系统运维相关等技术联络会，以便于</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在系统运维阶段密切配合</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，确保系统运维工作的顺利开展，提升团队效率和系统稳定性。</w:t>
      </w:r>
    </w:p>
    <w:p>
      <w:pPr>
        <w:spacing w:line="360" w:lineRule="auto"/>
        <w:ind w:firstLine="482" w:firstLineChars="200"/>
        <w:outlineLvl w:val="1"/>
        <w:rPr>
          <w:rFonts w:ascii="宋体" w:hAnsi="宋体" w:cs="宋体"/>
          <w:b/>
          <w:bCs/>
          <w:color w:val="auto"/>
          <w:sz w:val="24"/>
          <w:szCs w:val="24"/>
          <w:highlight w:val="none"/>
        </w:rPr>
      </w:pPr>
      <w:bookmarkStart w:id="41" w:name="_Toc20857"/>
      <w:bookmarkStart w:id="42" w:name="_Toc26526"/>
      <w:bookmarkStart w:id="43" w:name="_Toc27332"/>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8</w:t>
      </w:r>
      <w:r>
        <w:rPr>
          <w:rFonts w:hint="eastAsia" w:ascii="宋体" w:hAnsi="宋体" w:cs="宋体"/>
          <w:b/>
          <w:bCs/>
          <w:color w:val="auto"/>
          <w:sz w:val="24"/>
          <w:szCs w:val="24"/>
          <w:highlight w:val="none"/>
        </w:rPr>
        <w:t>保密要求</w:t>
      </w:r>
      <w:bookmarkEnd w:id="41"/>
      <w:bookmarkEnd w:id="42"/>
      <w:bookmarkEnd w:id="43"/>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需与合同签订单位签订《网络安全协议书》。</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在访问信息系统期间，负有保护</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企业的网络安全、信息安全和系统数据的义务和责任；负有保护所持有、接触的属于或涉及</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企业商业秘密的信息安全的义务和责任。</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鉴于</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在为</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提供系统维护服务期间，需要开放信息系统的访问权限，为加强</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信息系统的信息安全管理，提出以下保密要求：</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在访问信息系统期间，负有保护</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企业的网络安全、信息安全和系统数据的义务和责任；负有保护所持有、接触的属于或涉及</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企业商业秘密的信息安全的义务和责任。</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pPr>
        <w:spacing w:line="360" w:lineRule="auto"/>
        <w:ind w:firstLine="482" w:firstLineChars="200"/>
        <w:outlineLvl w:val="1"/>
        <w:rPr>
          <w:rFonts w:ascii="宋体" w:hAnsi="宋体" w:cs="宋体"/>
          <w:b/>
          <w:bCs/>
          <w:color w:val="auto"/>
          <w:sz w:val="24"/>
          <w:szCs w:val="24"/>
          <w:highlight w:val="none"/>
        </w:rPr>
      </w:pPr>
      <w:bookmarkStart w:id="44" w:name="_Toc20183"/>
      <w:bookmarkStart w:id="45" w:name="_Toc14174"/>
      <w:bookmarkStart w:id="46" w:name="_Toc30864"/>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结算</w:t>
      </w:r>
      <w:bookmarkEnd w:id="44"/>
      <w:bookmarkEnd w:id="45"/>
      <w:bookmarkEnd w:id="46"/>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按照</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要求和系统的维护情况，完成技术协议范围内规定的各项工作。</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提交完成的各项工作的工作量、工作内容给</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审核通过后，根据</w:t>
      </w:r>
      <w:r>
        <w:rPr>
          <w:rFonts w:hint="eastAsia" w:ascii="宋体" w:hAnsi="宋体" w:cs="宋体"/>
          <w:color w:val="auto"/>
          <w:sz w:val="24"/>
          <w:szCs w:val="24"/>
          <w:highlight w:val="none"/>
          <w:lang w:eastAsia="zh-CN"/>
        </w:rPr>
        <w:t>招标方</w:t>
      </w:r>
      <w:r>
        <w:rPr>
          <w:rFonts w:hint="eastAsia" w:ascii="宋体" w:hAnsi="宋体" w:cs="宋体"/>
          <w:color w:val="auto"/>
          <w:sz w:val="24"/>
          <w:szCs w:val="24"/>
          <w:highlight w:val="none"/>
        </w:rPr>
        <w:t>安排，填写《工作量及结算金额确认表》，以此作为结算及付款依据。</w:t>
      </w:r>
    </w:p>
    <w:p>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.1结算标准</w:t>
      </w:r>
    </w:p>
    <w:p>
      <w:pPr>
        <w:spacing w:line="360" w:lineRule="auto"/>
        <w:ind w:firstLine="480" w:firstLineChars="200"/>
        <w:rPr>
          <w:rFonts w:ascii="宋体" w:hAnsi="宋体" w:cs="宋体"/>
          <w:color w:val="auto"/>
          <w:sz w:val="24"/>
          <w:szCs w:val="24"/>
          <w:highlight w:val="none"/>
        </w:rPr>
      </w:pPr>
      <w:bookmarkStart w:id="47" w:name="_Toc349031718"/>
      <w:bookmarkStart w:id="48" w:name="_Toc10891"/>
      <w:r>
        <w:rPr>
          <w:rFonts w:hint="eastAsia" w:ascii="宋体" w:hAnsi="宋体" w:cs="宋体"/>
          <w:color w:val="auto"/>
          <w:sz w:val="24"/>
          <w:szCs w:val="24"/>
          <w:highlight w:val="none"/>
          <w:lang w:val="en-US" w:eastAsia="zh-CN"/>
        </w:rPr>
        <w:t>1</w:t>
      </w:r>
      <w:r>
        <w:rPr>
          <w:rFonts w:ascii="宋体" w:hAnsi="宋体" w:cs="宋体"/>
          <w:color w:val="auto"/>
          <w:sz w:val="24"/>
          <w:szCs w:val="24"/>
          <w:highlight w:val="none"/>
        </w:rPr>
        <w:t>）报价为人天单价的工作，按事项的工作时长折算人天，8小时为1人天。</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ascii="宋体" w:hAnsi="宋体" w:cs="宋体"/>
          <w:color w:val="auto"/>
          <w:sz w:val="24"/>
          <w:szCs w:val="24"/>
          <w:highlight w:val="none"/>
        </w:rPr>
        <w:t>）结算过程资料的提交以招标范围的单个系统</w:t>
      </w:r>
      <w:r>
        <w:rPr>
          <w:rFonts w:hint="eastAsia" w:ascii="宋体" w:hAnsi="宋体" w:cs="宋体"/>
          <w:color w:val="auto"/>
          <w:sz w:val="24"/>
          <w:szCs w:val="24"/>
          <w:highlight w:val="none"/>
        </w:rPr>
        <w:t>/项目</w:t>
      </w:r>
      <w:r>
        <w:rPr>
          <w:rFonts w:ascii="宋体" w:hAnsi="宋体" w:cs="宋体"/>
          <w:color w:val="auto"/>
          <w:sz w:val="24"/>
          <w:szCs w:val="24"/>
          <w:highlight w:val="none"/>
        </w:rPr>
        <w:t>作为结算单元独立开展，结算工作的最终要求以</w:t>
      </w:r>
      <w:r>
        <w:rPr>
          <w:rFonts w:hint="eastAsia" w:ascii="宋体" w:hAnsi="宋体" w:cs="宋体"/>
          <w:color w:val="auto"/>
          <w:sz w:val="24"/>
          <w:szCs w:val="24"/>
          <w:highlight w:val="none"/>
          <w:lang w:eastAsia="zh-CN"/>
        </w:rPr>
        <w:t>招标方</w:t>
      </w:r>
      <w:r>
        <w:rPr>
          <w:rFonts w:ascii="宋体" w:hAnsi="宋体" w:cs="宋体"/>
          <w:color w:val="auto"/>
          <w:sz w:val="24"/>
          <w:szCs w:val="24"/>
          <w:highlight w:val="none"/>
        </w:rPr>
        <w:t>制度要求为准开展。</w:t>
      </w:r>
    </w:p>
    <w:bookmarkEnd w:id="47"/>
    <w:bookmarkEnd w:id="48"/>
    <w:p>
      <w:pPr>
        <w:spacing w:line="360" w:lineRule="auto"/>
        <w:outlineLvl w:val="0"/>
        <w:rPr>
          <w:rFonts w:hint="default" w:ascii="宋体" w:hAnsi="宋体" w:eastAsia="宋体"/>
          <w:b/>
          <w:bCs/>
          <w:color w:val="auto"/>
          <w:sz w:val="24"/>
          <w:szCs w:val="24"/>
          <w:highlight w:val="none"/>
          <w:lang w:val="en-US" w:eastAsia="zh-CN"/>
        </w:rPr>
      </w:pPr>
      <w:bookmarkStart w:id="49" w:name="_Toc13356"/>
      <w:bookmarkStart w:id="50" w:name="_Toc5352"/>
      <w:bookmarkStart w:id="51" w:name="_Toc29231"/>
      <w:bookmarkStart w:id="52" w:name="_Toc26157"/>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lang w:val="zh-CN"/>
        </w:rPr>
        <w:t>、</w:t>
      </w:r>
      <w:bookmarkEnd w:id="49"/>
      <w:bookmarkEnd w:id="50"/>
      <w:bookmarkEnd w:id="51"/>
      <w:r>
        <w:rPr>
          <w:rFonts w:hint="eastAsia" w:ascii="宋体" w:hAnsi="宋体"/>
          <w:b/>
          <w:bCs/>
          <w:color w:val="auto"/>
          <w:sz w:val="24"/>
          <w:szCs w:val="24"/>
          <w:highlight w:val="none"/>
          <w:lang w:val="en-US" w:eastAsia="zh-CN"/>
        </w:rPr>
        <w:t>其它要求</w:t>
      </w:r>
      <w:bookmarkEnd w:id="5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3.1 </w:t>
      </w:r>
      <w:r>
        <w:rPr>
          <w:rFonts w:hint="eastAsia" w:ascii="宋体" w:hAnsi="宋体" w:cs="宋体"/>
          <w:color w:val="auto"/>
          <w:sz w:val="24"/>
          <w:szCs w:val="24"/>
          <w:highlight w:val="none"/>
          <w:lang w:val="en-US" w:eastAsia="zh-CN"/>
        </w:rPr>
        <w:t>中标方需提供数字化水平评价的技术支持。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3.2 </w:t>
      </w:r>
      <w:r>
        <w:rPr>
          <w:rFonts w:hint="eastAsia" w:ascii="宋体" w:hAnsi="宋体" w:cs="宋体"/>
          <w:color w:val="auto"/>
          <w:sz w:val="24"/>
          <w:szCs w:val="24"/>
          <w:highlight w:val="none"/>
          <w:lang w:val="en-US" w:eastAsia="zh-CN"/>
        </w:rPr>
        <w:t>中标方需执行《广东电网有限责任公司信息化项目供应商管理业务指导书（Q/CSG-GPG4154008-2021）》，配合做好信息化项目供应商评价管理工作。</w:t>
      </w:r>
    </w:p>
    <w:p>
      <w:pPr>
        <w:bidi w:val="0"/>
        <w:rPr>
          <w:rFonts w:hint="default"/>
          <w:color w:val="auto"/>
          <w:highlight w:val="none"/>
          <w:lang w:val="en-US" w:eastAsia="zh-CN"/>
        </w:rPr>
      </w:pPr>
    </w:p>
    <w:p>
      <w:pPr>
        <w:pStyle w:val="2"/>
        <w:rPr>
          <w:highlight w:val="none"/>
        </w:rPr>
      </w:pPr>
    </w:p>
    <w:p>
      <w:bookmarkStart w:id="53" w:name="_GoBack"/>
      <w:bookmarkEnd w:id="5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6694B"/>
    <w:multiLevelType w:val="multilevel"/>
    <w:tmpl w:val="81F6694B"/>
    <w:lvl w:ilvl="0" w:tentative="0">
      <w:start w:val="1"/>
      <w:numFmt w:val="decimal"/>
      <w:lvlText w:val="%1"/>
      <w:lvlJc w:val="left"/>
      <w:pPr>
        <w:ind w:left="432" w:hanging="432"/>
      </w:pPr>
    </w:lvl>
    <w:lvl w:ilvl="1" w:tentative="0">
      <w:start w:val="1"/>
      <w:numFmt w:val="decimal"/>
      <w:pStyle w:val="5"/>
      <w:lvlText w:val="%1.%2"/>
      <w:lvlJc w:val="left"/>
      <w:pPr>
        <w:ind w:left="576" w:hanging="576"/>
      </w:pPr>
    </w:lvl>
    <w:lvl w:ilvl="2" w:tentative="0">
      <w:start w:val="1"/>
      <w:numFmt w:val="decimal"/>
      <w:lvlText w:val="%1.%2.%3"/>
      <w:lvlJc w:val="left"/>
      <w:pPr>
        <w:ind w:left="0" w:firstLine="0"/>
      </w:pPr>
    </w:lvl>
    <w:lvl w:ilvl="3" w:tentative="0">
      <w:start w:val="1"/>
      <w:numFmt w:val="decimal"/>
      <w:lvlText w:val="%1.%2.%3.%4"/>
      <w:lvlJc w:val="left"/>
      <w:pPr>
        <w:ind w:left="864" w:hanging="864"/>
      </w:pPr>
    </w:lvl>
    <w:lvl w:ilvl="4" w:tentative="0">
      <w:start w:val="1"/>
      <w:numFmt w:val="decimal"/>
      <w:lvlText w:val="%1.%2.%3.%4.%5"/>
      <w:lvlJc w:val="left"/>
      <w:pPr>
        <w:ind w:left="1008" w:hanging="1008"/>
      </w:pPr>
      <w:rPr>
        <w:rFonts w:hint="default"/>
        <w:sz w:val="24"/>
        <w:szCs w:val="24"/>
      </w:r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1">
    <w:nsid w:val="AE7D6130"/>
    <w:multiLevelType w:val="singleLevel"/>
    <w:tmpl w:val="AE7D6130"/>
    <w:lvl w:ilvl="0" w:tentative="0">
      <w:start w:val="1"/>
      <w:numFmt w:val="decimal"/>
      <w:lvlText w:val="%1)"/>
      <w:lvlJc w:val="left"/>
      <w:pPr>
        <w:ind w:left="425" w:hanging="425"/>
      </w:pPr>
      <w:rPr>
        <w:rFonts w:hint="default"/>
      </w:rPr>
    </w:lvl>
  </w:abstractNum>
  <w:abstractNum w:abstractNumId="2">
    <w:nsid w:val="B2EAE885"/>
    <w:multiLevelType w:val="multilevel"/>
    <w:tmpl w:val="B2EAE885"/>
    <w:lvl w:ilvl="0" w:tentative="0">
      <w:start w:val="1"/>
      <w:numFmt w:val="decimal"/>
      <w:pStyle w:val="4"/>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0" w:firstLine="0"/>
      </w:pPr>
    </w:lvl>
    <w:lvl w:ilvl="3" w:tentative="0">
      <w:start w:val="1"/>
      <w:numFmt w:val="decimal"/>
      <w:lvlText w:val="%1.%2.%3.%4"/>
      <w:lvlJc w:val="left"/>
      <w:pPr>
        <w:ind w:left="864" w:hanging="864"/>
      </w:pPr>
    </w:lvl>
    <w:lvl w:ilvl="4" w:tentative="0">
      <w:start w:val="1"/>
      <w:numFmt w:val="decimal"/>
      <w:lvlText w:val="%1.%2.%3.%4.%5"/>
      <w:lvlJc w:val="left"/>
      <w:pPr>
        <w:ind w:left="1008" w:hanging="1008"/>
      </w:pPr>
      <w:rPr>
        <w:rFonts w:hint="default"/>
        <w:sz w:val="24"/>
        <w:szCs w:val="24"/>
      </w:r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3">
    <w:nsid w:val="E1F41C90"/>
    <w:multiLevelType w:val="singleLevel"/>
    <w:tmpl w:val="E1F41C90"/>
    <w:lvl w:ilvl="0" w:tentative="0">
      <w:start w:val="1"/>
      <w:numFmt w:val="decimal"/>
      <w:lvlText w:val="%1)"/>
      <w:lvlJc w:val="left"/>
      <w:pPr>
        <w:ind w:left="425" w:hanging="425"/>
      </w:pPr>
      <w:rPr>
        <w:rFonts w:hint="default"/>
      </w:rPr>
    </w:lvl>
  </w:abstractNum>
  <w:abstractNum w:abstractNumId="4">
    <w:nsid w:val="4868F29E"/>
    <w:multiLevelType w:val="singleLevel"/>
    <w:tmpl w:val="4868F29E"/>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0ZWVjN2YxZjMwNDU4NmNmMzk3ZTEwZTMwOThjYTUifQ=="/>
  </w:docVars>
  <w:rsids>
    <w:rsidRoot w:val="58F9678C"/>
    <w:rsid w:val="003A3E07"/>
    <w:rsid w:val="006B527F"/>
    <w:rsid w:val="007303AE"/>
    <w:rsid w:val="0092530F"/>
    <w:rsid w:val="00942B8B"/>
    <w:rsid w:val="01101675"/>
    <w:rsid w:val="03743CA7"/>
    <w:rsid w:val="04970C4A"/>
    <w:rsid w:val="04EB494D"/>
    <w:rsid w:val="053B31EF"/>
    <w:rsid w:val="058628BA"/>
    <w:rsid w:val="05B461E2"/>
    <w:rsid w:val="06014479"/>
    <w:rsid w:val="062A11C7"/>
    <w:rsid w:val="06AD7F74"/>
    <w:rsid w:val="06CD66B7"/>
    <w:rsid w:val="07342561"/>
    <w:rsid w:val="09822228"/>
    <w:rsid w:val="0A0A6C87"/>
    <w:rsid w:val="0A64315D"/>
    <w:rsid w:val="0A992864"/>
    <w:rsid w:val="0ABE00FE"/>
    <w:rsid w:val="0B143F2B"/>
    <w:rsid w:val="0B46076C"/>
    <w:rsid w:val="0B534216"/>
    <w:rsid w:val="0C3703FE"/>
    <w:rsid w:val="0D224C0A"/>
    <w:rsid w:val="0D6A180E"/>
    <w:rsid w:val="0D7573E8"/>
    <w:rsid w:val="0F3F5F47"/>
    <w:rsid w:val="0F8B2F3A"/>
    <w:rsid w:val="11771177"/>
    <w:rsid w:val="130C562B"/>
    <w:rsid w:val="136E48EA"/>
    <w:rsid w:val="14017BBA"/>
    <w:rsid w:val="146E4BD8"/>
    <w:rsid w:val="15185068"/>
    <w:rsid w:val="15B96291"/>
    <w:rsid w:val="191C0E19"/>
    <w:rsid w:val="19641201"/>
    <w:rsid w:val="1A3A2E16"/>
    <w:rsid w:val="1AD74433"/>
    <w:rsid w:val="1AEF7967"/>
    <w:rsid w:val="1B5E6C72"/>
    <w:rsid w:val="1DB1648E"/>
    <w:rsid w:val="201131BF"/>
    <w:rsid w:val="20373BF0"/>
    <w:rsid w:val="21037679"/>
    <w:rsid w:val="2135680A"/>
    <w:rsid w:val="21863413"/>
    <w:rsid w:val="23866343"/>
    <w:rsid w:val="23DE769E"/>
    <w:rsid w:val="26EE01F0"/>
    <w:rsid w:val="275A3435"/>
    <w:rsid w:val="28940CC3"/>
    <w:rsid w:val="29203A10"/>
    <w:rsid w:val="2A71575E"/>
    <w:rsid w:val="2B327EAB"/>
    <w:rsid w:val="2C1E2416"/>
    <w:rsid w:val="2C61783F"/>
    <w:rsid w:val="2CFD073C"/>
    <w:rsid w:val="2DC82019"/>
    <w:rsid w:val="2DFA17E1"/>
    <w:rsid w:val="2E6963CF"/>
    <w:rsid w:val="2E6A02DF"/>
    <w:rsid w:val="2F626F61"/>
    <w:rsid w:val="2F915C57"/>
    <w:rsid w:val="2F9B0445"/>
    <w:rsid w:val="2FBC4A5C"/>
    <w:rsid w:val="2FC372D6"/>
    <w:rsid w:val="306C76A7"/>
    <w:rsid w:val="317F1524"/>
    <w:rsid w:val="31A15533"/>
    <w:rsid w:val="32E13E1D"/>
    <w:rsid w:val="33505C04"/>
    <w:rsid w:val="34E57987"/>
    <w:rsid w:val="35185B77"/>
    <w:rsid w:val="35327F13"/>
    <w:rsid w:val="379070CF"/>
    <w:rsid w:val="38070BF9"/>
    <w:rsid w:val="38AA0F2D"/>
    <w:rsid w:val="38C03642"/>
    <w:rsid w:val="39B80971"/>
    <w:rsid w:val="3A034166"/>
    <w:rsid w:val="3A144AA0"/>
    <w:rsid w:val="3A1D3912"/>
    <w:rsid w:val="3BD67C51"/>
    <w:rsid w:val="3CC562AD"/>
    <w:rsid w:val="3D81D511"/>
    <w:rsid w:val="40847117"/>
    <w:rsid w:val="425D6FA8"/>
    <w:rsid w:val="43FE474C"/>
    <w:rsid w:val="44117A7B"/>
    <w:rsid w:val="44284F99"/>
    <w:rsid w:val="446829A8"/>
    <w:rsid w:val="44705C7F"/>
    <w:rsid w:val="44A00233"/>
    <w:rsid w:val="44BE0214"/>
    <w:rsid w:val="459C4247"/>
    <w:rsid w:val="45D42F23"/>
    <w:rsid w:val="45D503CD"/>
    <w:rsid w:val="467F626F"/>
    <w:rsid w:val="46A27B1D"/>
    <w:rsid w:val="46B510B5"/>
    <w:rsid w:val="47A55D88"/>
    <w:rsid w:val="47FB4B86"/>
    <w:rsid w:val="483E25B5"/>
    <w:rsid w:val="48723CB6"/>
    <w:rsid w:val="48936DEC"/>
    <w:rsid w:val="49D92D54"/>
    <w:rsid w:val="49E23147"/>
    <w:rsid w:val="49ED4A80"/>
    <w:rsid w:val="4C106FCC"/>
    <w:rsid w:val="4C326A0F"/>
    <w:rsid w:val="4C944053"/>
    <w:rsid w:val="4CB22CD4"/>
    <w:rsid w:val="4E6D2A83"/>
    <w:rsid w:val="4F4A282F"/>
    <w:rsid w:val="50EF1E1C"/>
    <w:rsid w:val="5132106D"/>
    <w:rsid w:val="51CF4B2E"/>
    <w:rsid w:val="52A13CA5"/>
    <w:rsid w:val="52EB1802"/>
    <w:rsid w:val="52F26B5C"/>
    <w:rsid w:val="52F47CE8"/>
    <w:rsid w:val="538A4AFB"/>
    <w:rsid w:val="54706DF7"/>
    <w:rsid w:val="547A5594"/>
    <w:rsid w:val="548A2C4B"/>
    <w:rsid w:val="56395AE9"/>
    <w:rsid w:val="56A43AA2"/>
    <w:rsid w:val="571F76F7"/>
    <w:rsid w:val="57C5503E"/>
    <w:rsid w:val="57DA7555"/>
    <w:rsid w:val="584A6390"/>
    <w:rsid w:val="58B11FF1"/>
    <w:rsid w:val="58F9678C"/>
    <w:rsid w:val="59745DBA"/>
    <w:rsid w:val="59CB2F65"/>
    <w:rsid w:val="59D9781D"/>
    <w:rsid w:val="5BEF47F0"/>
    <w:rsid w:val="5C075B5D"/>
    <w:rsid w:val="5CEE7303"/>
    <w:rsid w:val="5D66075E"/>
    <w:rsid w:val="5ECDF5AB"/>
    <w:rsid w:val="61003EFA"/>
    <w:rsid w:val="61292BC0"/>
    <w:rsid w:val="62370353"/>
    <w:rsid w:val="62C50C50"/>
    <w:rsid w:val="63A9639A"/>
    <w:rsid w:val="63B76C4A"/>
    <w:rsid w:val="64BF64A6"/>
    <w:rsid w:val="655B508A"/>
    <w:rsid w:val="65757160"/>
    <w:rsid w:val="6587678F"/>
    <w:rsid w:val="65FE7137"/>
    <w:rsid w:val="66681064"/>
    <w:rsid w:val="676A36F8"/>
    <w:rsid w:val="67930E6B"/>
    <w:rsid w:val="6897562C"/>
    <w:rsid w:val="694235EC"/>
    <w:rsid w:val="696A15EA"/>
    <w:rsid w:val="699F6C92"/>
    <w:rsid w:val="6B752F2D"/>
    <w:rsid w:val="6B930322"/>
    <w:rsid w:val="6C1D57B2"/>
    <w:rsid w:val="6D7E1CEF"/>
    <w:rsid w:val="6E2711F5"/>
    <w:rsid w:val="6FC510C7"/>
    <w:rsid w:val="6FE70C3C"/>
    <w:rsid w:val="70A56BA3"/>
    <w:rsid w:val="719B2A0E"/>
    <w:rsid w:val="727A2875"/>
    <w:rsid w:val="72AD7180"/>
    <w:rsid w:val="74237B85"/>
    <w:rsid w:val="7496614D"/>
    <w:rsid w:val="75A07E88"/>
    <w:rsid w:val="776531A0"/>
    <w:rsid w:val="77FE6B23"/>
    <w:rsid w:val="788B2A23"/>
    <w:rsid w:val="79442414"/>
    <w:rsid w:val="79C932E6"/>
    <w:rsid w:val="7A686184"/>
    <w:rsid w:val="7A6F0648"/>
    <w:rsid w:val="7ABF5C0C"/>
    <w:rsid w:val="7ACD0A2E"/>
    <w:rsid w:val="7ADD1BA9"/>
    <w:rsid w:val="7B240194"/>
    <w:rsid w:val="7BFE5B09"/>
    <w:rsid w:val="7D7D2C6A"/>
    <w:rsid w:val="7DAB2D97"/>
    <w:rsid w:val="7DF958C3"/>
    <w:rsid w:val="7E164AAD"/>
    <w:rsid w:val="7F44F40B"/>
    <w:rsid w:val="7F45451F"/>
    <w:rsid w:val="7FB882A7"/>
    <w:rsid w:val="7FE8FBBE"/>
    <w:rsid w:val="9BBF18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34"/>
    <w:qFormat/>
    <w:uiPriority w:val="0"/>
    <w:pPr>
      <w:keepNext/>
      <w:keepLines/>
      <w:numPr>
        <w:ilvl w:val="0"/>
        <w:numId w:val="1"/>
      </w:numPr>
      <w:adjustRightInd w:val="0"/>
      <w:spacing w:before="120" w:after="120" w:line="300" w:lineRule="atLeast"/>
      <w:ind w:firstLine="0" w:firstLineChars="0"/>
      <w:jc w:val="left"/>
      <w:textAlignment w:val="baseline"/>
      <w:outlineLvl w:val="0"/>
    </w:pPr>
    <w:rPr>
      <w:rFonts w:ascii="Times New Roman" w:hAnsi="Times New Roman" w:eastAsia="黑体"/>
      <w:b/>
      <w:snapToGrid w:val="0"/>
      <w:color w:val="000000"/>
      <w:kern w:val="44"/>
      <w:sz w:val="32"/>
      <w:szCs w:val="20"/>
    </w:rPr>
  </w:style>
  <w:style w:type="paragraph" w:styleId="5">
    <w:name w:val="heading 2"/>
    <w:basedOn w:val="1"/>
    <w:next w:val="1"/>
    <w:link w:val="33"/>
    <w:unhideWhenUsed/>
    <w:qFormat/>
    <w:uiPriority w:val="0"/>
    <w:pPr>
      <w:keepNext/>
      <w:keepLines/>
      <w:numPr>
        <w:ilvl w:val="1"/>
        <w:numId w:val="2"/>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spacing w:before="50" w:beforeLines="50" w:after="50" w:afterLines="50" w:line="360" w:lineRule="auto"/>
      <w:outlineLvl w:val="2"/>
    </w:pPr>
    <w:rPr>
      <w:rFonts w:eastAsia="黑体"/>
      <w:bCs/>
      <w:sz w:val="24"/>
      <w:szCs w:val="32"/>
    </w:rPr>
  </w:style>
  <w:style w:type="paragraph" w:styleId="7">
    <w:name w:val="heading 4"/>
    <w:basedOn w:val="1"/>
    <w:next w:val="8"/>
    <w:link w:val="22"/>
    <w:qFormat/>
    <w:uiPriority w:val="0"/>
    <w:pPr>
      <w:keepNext/>
      <w:outlineLvl w:val="3"/>
    </w:pPr>
    <w:rPr>
      <w:sz w:val="28"/>
    </w:rPr>
  </w:style>
  <w:style w:type="paragraph" w:styleId="10">
    <w:name w:val="heading 5"/>
    <w:basedOn w:val="1"/>
    <w:next w:val="1"/>
    <w:unhideWhenUsed/>
    <w:qFormat/>
    <w:uiPriority w:val="9"/>
    <w:pPr>
      <w:keepNext/>
      <w:keepLines/>
      <w:spacing w:line="480" w:lineRule="exact"/>
      <w:ind w:firstLine="920" w:firstLineChars="200"/>
      <w:outlineLvl w:val="4"/>
    </w:pPr>
    <w:rPr>
      <w:b/>
      <w:bCs/>
      <w:sz w:val="24"/>
      <w:szCs w:val="28"/>
    </w:rPr>
  </w:style>
  <w:style w:type="paragraph" w:styleId="11">
    <w:name w:val="heading 6"/>
    <w:basedOn w:val="1"/>
    <w:next w:val="1"/>
    <w:unhideWhenUsed/>
    <w:qFormat/>
    <w:uiPriority w:val="0"/>
    <w:pPr>
      <w:keepNext/>
      <w:keepLines/>
      <w:spacing w:line="360" w:lineRule="auto"/>
      <w:ind w:firstLine="920" w:firstLineChars="200"/>
      <w:outlineLvl w:val="5"/>
    </w:pPr>
    <w:rPr>
      <w:b/>
      <w:sz w:val="24"/>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sz w:val="32"/>
    </w:rPr>
  </w:style>
  <w:style w:type="paragraph" w:styleId="8">
    <w:name w:val="Normal Indent"/>
    <w:basedOn w:val="1"/>
    <w:next w:val="9"/>
    <w:qFormat/>
    <w:uiPriority w:val="0"/>
    <w:pPr>
      <w:ind w:firstLine="420"/>
    </w:pPr>
  </w:style>
  <w:style w:type="paragraph" w:customStyle="1" w:styleId="9">
    <w:name w:val="正文（绿盟科技）"/>
    <w:qFormat/>
    <w:uiPriority w:val="0"/>
    <w:pPr>
      <w:spacing w:line="300" w:lineRule="auto"/>
    </w:pPr>
    <w:rPr>
      <w:rFonts w:ascii="Arial" w:hAnsi="Arial" w:eastAsia="宋体" w:cs="Times New Roman"/>
      <w:sz w:val="21"/>
      <w:szCs w:val="21"/>
      <w:lang w:val="en-US" w:eastAsia="zh-CN" w:bidi="ar-SA"/>
    </w:rPr>
  </w:style>
  <w:style w:type="paragraph" w:styleId="12">
    <w:name w:val="annotation text"/>
    <w:basedOn w:val="1"/>
    <w:qFormat/>
    <w:uiPriority w:val="0"/>
    <w:pPr>
      <w:jc w:val="left"/>
    </w:pPr>
  </w:style>
  <w:style w:type="paragraph" w:styleId="13">
    <w:name w:val="Body Text Indent"/>
    <w:basedOn w:val="1"/>
    <w:unhideWhenUsed/>
    <w:qFormat/>
    <w:uiPriority w:val="99"/>
    <w:pPr>
      <w:spacing w:after="120"/>
      <w:ind w:left="420" w:leftChars="200" w:firstLine="200" w:firstLineChars="200"/>
    </w:pPr>
    <w:rPr>
      <w:rFonts w:ascii="Calibri" w:hAnsi="Calibri"/>
      <w:szCs w:val="22"/>
    </w:rPr>
  </w:style>
  <w:style w:type="paragraph" w:styleId="14">
    <w:name w:val="footer"/>
    <w:basedOn w:val="1"/>
    <w:link w:val="31"/>
    <w:qFormat/>
    <w:uiPriority w:val="0"/>
    <w:pPr>
      <w:tabs>
        <w:tab w:val="center" w:pos="4153"/>
        <w:tab w:val="right" w:pos="8306"/>
      </w:tabs>
      <w:snapToGrid w:val="0"/>
      <w:jc w:val="left"/>
    </w:pPr>
    <w:rPr>
      <w:sz w:val="18"/>
      <w:szCs w:val="18"/>
    </w:rPr>
  </w:style>
  <w:style w:type="paragraph" w:styleId="15">
    <w:name w:val="header"/>
    <w:basedOn w:val="1"/>
    <w:link w:val="30"/>
    <w:qFormat/>
    <w:uiPriority w:val="0"/>
    <w:pPr>
      <w:tabs>
        <w:tab w:val="center" w:pos="4153"/>
        <w:tab w:val="right" w:pos="8306"/>
      </w:tabs>
      <w:snapToGrid w:val="0"/>
      <w:jc w:val="center"/>
    </w:pPr>
    <w:rPr>
      <w:sz w:val="18"/>
      <w:szCs w:val="18"/>
    </w:rPr>
  </w:style>
  <w:style w:type="paragraph" w:styleId="16">
    <w:name w:val="toc 1"/>
    <w:basedOn w:val="1"/>
    <w:next w:val="1"/>
    <w:semiHidden/>
    <w:qFormat/>
    <w:uiPriority w:val="0"/>
    <w:pPr>
      <w:spacing w:before="120" w:after="120"/>
      <w:jc w:val="left"/>
    </w:pPr>
    <w:rPr>
      <w:b/>
      <w:bCs/>
      <w:caps/>
      <w:sz w:val="20"/>
    </w:rPr>
  </w:style>
  <w:style w:type="paragraph" w:styleId="17">
    <w:name w:val="toc 2"/>
    <w:basedOn w:val="1"/>
    <w:next w:val="1"/>
    <w:qFormat/>
    <w:uiPriority w:val="0"/>
    <w:pPr>
      <w:ind w:left="420" w:leftChars="200"/>
    </w:pPr>
  </w:style>
  <w:style w:type="table" w:styleId="19">
    <w:name w:val="Table Grid"/>
    <w:basedOn w:val="1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
    <w:name w:val="annotation reference"/>
    <w:basedOn w:val="20"/>
    <w:qFormat/>
    <w:uiPriority w:val="0"/>
    <w:rPr>
      <w:sz w:val="21"/>
      <w:szCs w:val="21"/>
    </w:rPr>
  </w:style>
  <w:style w:type="character" w:customStyle="1" w:styleId="22">
    <w:name w:val="标题 4 字符"/>
    <w:link w:val="7"/>
    <w:qFormat/>
    <w:uiPriority w:val="0"/>
    <w:rPr>
      <w:sz w:val="28"/>
    </w:rPr>
  </w:style>
  <w:style w:type="paragraph" w:customStyle="1" w:styleId="23">
    <w:name w:val="GEDI正文(无编号)"/>
    <w:basedOn w:val="1"/>
    <w:qFormat/>
    <w:uiPriority w:val="0"/>
    <w:pPr>
      <w:adjustRightInd w:val="0"/>
      <w:snapToGrid w:val="0"/>
      <w:spacing w:line="480" w:lineRule="exact"/>
      <w:ind w:left="420"/>
    </w:pPr>
    <w:rPr>
      <w:rFonts w:hAnsi="宋体"/>
      <w:lang w:val="zh-CN"/>
    </w:rPr>
  </w:style>
  <w:style w:type="paragraph" w:customStyle="1" w:styleId="24">
    <w:name w:val="列表段落1"/>
    <w:basedOn w:val="1"/>
    <w:qFormat/>
    <w:uiPriority w:val="34"/>
    <w:pPr>
      <w:ind w:firstLine="420" w:firstLineChars="200"/>
    </w:pPr>
  </w:style>
  <w:style w:type="paragraph" w:customStyle="1" w:styleId="25">
    <w:name w:val="列出段落11"/>
    <w:basedOn w:val="1"/>
    <w:qFormat/>
    <w:uiPriority w:val="0"/>
    <w:pPr>
      <w:adjustRightInd w:val="0"/>
      <w:snapToGrid w:val="0"/>
      <w:spacing w:before="120" w:after="120"/>
      <w:ind w:left="578" w:firstLine="420" w:firstLineChars="200"/>
    </w:pPr>
    <w:rPr>
      <w:lang w:eastAsia="zh-TW"/>
    </w:rPr>
  </w:style>
  <w:style w:type="paragraph" w:customStyle="1" w:styleId="26">
    <w:name w:val="Table Text"/>
    <w:basedOn w:val="1"/>
    <w:semiHidden/>
    <w:qFormat/>
    <w:uiPriority w:val="0"/>
    <w:rPr>
      <w:rFonts w:ascii="宋体" w:hAnsi="宋体" w:cs="宋体"/>
      <w:sz w:val="20"/>
      <w:lang w:eastAsia="en-US"/>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WPSOffice手动目录 1"/>
    <w:qFormat/>
    <w:uiPriority w:val="0"/>
    <w:rPr>
      <w:rFonts w:ascii="Times New Roman" w:hAnsi="Times New Roman" w:eastAsia="宋体" w:cs="Times New Roman"/>
      <w:lang w:val="en-US" w:eastAsia="zh-CN" w:bidi="ar-SA"/>
    </w:rPr>
  </w:style>
  <w:style w:type="paragraph" w:customStyle="1" w:styleId="29">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0">
    <w:name w:val="页眉 字符"/>
    <w:basedOn w:val="20"/>
    <w:link w:val="15"/>
    <w:qFormat/>
    <w:uiPriority w:val="0"/>
    <w:rPr>
      <w:kern w:val="2"/>
      <w:sz w:val="18"/>
      <w:szCs w:val="18"/>
    </w:rPr>
  </w:style>
  <w:style w:type="character" w:customStyle="1" w:styleId="31">
    <w:name w:val="页脚 字符"/>
    <w:basedOn w:val="20"/>
    <w:link w:val="14"/>
    <w:qFormat/>
    <w:uiPriority w:val="0"/>
    <w:rPr>
      <w:kern w:val="2"/>
      <w:sz w:val="18"/>
      <w:szCs w:val="18"/>
    </w:rPr>
  </w:style>
  <w:style w:type="paragraph" w:customStyle="1" w:styleId="32">
    <w:name w:val="Revision"/>
    <w:hidden/>
    <w:unhideWhenUsed/>
    <w:qFormat/>
    <w:uiPriority w:val="99"/>
    <w:rPr>
      <w:rFonts w:ascii="Times New Roman" w:hAnsi="Times New Roman" w:eastAsia="宋体" w:cs="Times New Roman"/>
      <w:kern w:val="2"/>
      <w:sz w:val="21"/>
      <w:lang w:val="en-US" w:eastAsia="zh-CN" w:bidi="ar-SA"/>
    </w:rPr>
  </w:style>
  <w:style w:type="character" w:customStyle="1" w:styleId="33">
    <w:name w:val="标题 2 Char"/>
    <w:link w:val="5"/>
    <w:qFormat/>
    <w:uiPriority w:val="0"/>
    <w:rPr>
      <w:rFonts w:ascii="Arial" w:hAnsi="Arial" w:eastAsia="黑体"/>
      <w:b/>
      <w:sz w:val="32"/>
    </w:rPr>
  </w:style>
  <w:style w:type="character" w:customStyle="1" w:styleId="34">
    <w:name w:val="标题 1 Char1"/>
    <w:link w:val="4"/>
    <w:qFormat/>
    <w:uiPriority w:val="0"/>
    <w:rPr>
      <w:rFonts w:ascii="Times New Roman" w:hAnsi="Times New Roman" w:eastAsia="黑体"/>
      <w:b/>
      <w:snapToGrid w:val="0"/>
      <w:color w:val="000000"/>
      <w:kern w:val="44"/>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997</Words>
  <Characters>1086</Characters>
  <Lines>195</Lines>
  <Paragraphs>55</Paragraphs>
  <TotalTime>1</TotalTime>
  <ScaleCrop>false</ScaleCrop>
  <LinksUpToDate>false</LinksUpToDate>
  <CharactersWithSpaces>1110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2024-01-25T13:11:00Z</dcterms:created>
  <dc:creator>李谦</dc:creator>
  <cp:lastModifiedBy>刘振辉</cp:lastModifiedBy>
  <dcterms:modified xsi:type="dcterms:W3CDTF">2025-08-21T02:39:03Z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FB55FFBC53BA45BE8B4EB7BB3AC54636</vt:lpwstr>
  </property>
  <property fmtid="{D5CDD505-2E9C-101B-9397-08002B2CF9AE}" pid="4" name="KSOTemplateDocerSaveRecord">
    <vt:lpwstr>eyJoZGlkIjoiOWVmNjBmYmVjNjQxZTUxMGY2MWE4MDQwYjE1YjYxYmQiLCJ1c2VySWQiOiIxMjgzMjk4MzY0In0=</vt:lpwstr>
  </property>
</Properties>
</file>