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cs="宋体"/>
          <w:sz w:val="24"/>
        </w:rPr>
      </w:pPr>
      <w:r>
        <w:rPr>
          <w:rFonts w:hint="eastAsia"/>
          <w:sz w:val="36"/>
          <w:szCs w:val="36"/>
        </w:rPr>
        <w:t>研制一套SF6补气自动控制装置项目材料零星采购技术要求</w:t>
      </w:r>
    </w:p>
    <w:p>
      <w:pPr>
        <w:rPr>
          <w:rFonts w:hint="eastAsia" w:ascii="Times New Roman" w:hAnsi="Times New Roman" w:eastAsia="宋体" w:cs="Times New Roman"/>
          <w:b/>
          <w:bCs/>
          <w:color w:val="auto"/>
          <w:sz w:val="32"/>
          <w:szCs w:val="32"/>
        </w:rPr>
      </w:pPr>
      <w:r>
        <w:rPr>
          <w:rFonts w:hint="eastAsia" w:ascii="Times New Roman" w:hAnsi="Times New Roman" w:eastAsia="宋体" w:cs="Times New Roman"/>
          <w:b/>
          <w:bCs/>
          <w:color w:val="auto"/>
          <w:sz w:val="32"/>
          <w:szCs w:val="32"/>
        </w:rPr>
        <w:t>一、技术要求：</w:t>
      </w:r>
    </w:p>
    <w:p>
      <w:pPr>
        <w:ind w:firstLine="420" w:firstLineChars="0"/>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本项目为SF6补气自动控制装置</w:t>
      </w: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rPr>
        <w:t>具备操作简便、</w:t>
      </w:r>
      <w:r>
        <w:rPr>
          <w:rFonts w:hint="eastAsia" w:ascii="Times New Roman" w:hAnsi="Times New Roman" w:eastAsia="宋体" w:cs="Times New Roman"/>
          <w:sz w:val="28"/>
          <w:szCs w:val="28"/>
          <w:lang w:eastAsia="zh-CN"/>
        </w:rPr>
        <w:t>带快速接头、</w:t>
      </w:r>
      <w:r>
        <w:rPr>
          <w:rFonts w:hint="eastAsia" w:ascii="Times New Roman" w:hAnsi="Times New Roman" w:eastAsia="宋体" w:cs="Times New Roman"/>
          <w:sz w:val="28"/>
          <w:szCs w:val="28"/>
        </w:rPr>
        <w:t>安全可靠、便于携带等特点，</w:t>
      </w:r>
      <w:r>
        <w:rPr>
          <w:rFonts w:hint="eastAsia" w:ascii="Times New Roman" w:hAnsi="Times New Roman" w:eastAsia="宋体" w:cs="Times New Roman"/>
          <w:sz w:val="28"/>
          <w:szCs w:val="28"/>
          <w:lang w:eastAsia="zh-CN"/>
        </w:rPr>
        <w:t>在传统</w:t>
      </w:r>
      <w:r>
        <w:rPr>
          <w:rFonts w:hint="eastAsia" w:ascii="Times New Roman" w:hAnsi="Times New Roman" w:eastAsia="宋体" w:cs="Times New Roman"/>
          <w:sz w:val="28"/>
          <w:szCs w:val="28"/>
          <w:lang w:val="en-US" w:eastAsia="zh-CN"/>
        </w:rPr>
        <w:t>SF6补气装置的基础上新增了气压传感器与定制的控制阀门，</w:t>
      </w:r>
      <w:r>
        <w:rPr>
          <w:rFonts w:hint="eastAsia" w:ascii="Times New Roman" w:hAnsi="Times New Roman" w:eastAsia="宋体" w:cs="Times New Roman"/>
          <w:sz w:val="28"/>
          <w:szCs w:val="28"/>
        </w:rPr>
        <w:t>适用于各种SF6设备的补气作业</w:t>
      </w:r>
      <w:r>
        <w:rPr>
          <w:rFonts w:hint="eastAsia" w:ascii="Times New Roman" w:hAnsi="Times New Roman" w:eastAsia="宋体" w:cs="Times New Roman"/>
          <w:sz w:val="28"/>
          <w:szCs w:val="28"/>
          <w:lang w:eastAsia="zh-CN"/>
        </w:rPr>
        <w:t>，补气时</w:t>
      </w:r>
      <w:r>
        <w:rPr>
          <w:rFonts w:hint="eastAsia" w:ascii="Times New Roman" w:hAnsi="Times New Roman" w:eastAsia="宋体" w:cs="Times New Roman"/>
          <w:sz w:val="28"/>
          <w:szCs w:val="28"/>
        </w:rPr>
        <w:t>该装置能够</w:t>
      </w:r>
      <w:r>
        <w:rPr>
          <w:rFonts w:hint="eastAsia" w:ascii="Times New Roman" w:hAnsi="Times New Roman" w:eastAsia="宋体" w:cs="Times New Roman"/>
          <w:sz w:val="28"/>
          <w:szCs w:val="28"/>
          <w:lang w:eastAsia="zh-CN"/>
        </w:rPr>
        <w:t>通过压力传感器</w:t>
      </w:r>
      <w:r>
        <w:rPr>
          <w:rFonts w:hint="eastAsia" w:ascii="Times New Roman" w:hAnsi="Times New Roman" w:eastAsia="宋体" w:cs="Times New Roman"/>
          <w:sz w:val="28"/>
          <w:szCs w:val="28"/>
        </w:rPr>
        <w:t>监测</w:t>
      </w:r>
      <w:r>
        <w:rPr>
          <w:rFonts w:hint="eastAsia" w:ascii="Times New Roman" w:hAnsi="Times New Roman" w:eastAsia="宋体" w:cs="Times New Roman"/>
          <w:sz w:val="28"/>
          <w:szCs w:val="28"/>
          <w:lang w:eastAsia="zh-CN"/>
        </w:rPr>
        <w:t>设备内部</w:t>
      </w:r>
      <w:r>
        <w:rPr>
          <w:rFonts w:hint="eastAsia" w:ascii="Times New Roman" w:hAnsi="Times New Roman" w:eastAsia="宋体" w:cs="Times New Roman"/>
          <w:sz w:val="28"/>
          <w:szCs w:val="28"/>
        </w:rPr>
        <w:t>气体压力的变化</w:t>
      </w: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rPr>
        <w:t>当</w:t>
      </w:r>
      <w:r>
        <w:rPr>
          <w:rFonts w:hint="eastAsia" w:ascii="Times New Roman" w:hAnsi="Times New Roman" w:eastAsia="宋体" w:cs="Times New Roman"/>
          <w:sz w:val="28"/>
          <w:szCs w:val="28"/>
          <w:lang w:eastAsia="zh-CN"/>
        </w:rPr>
        <w:t>补气</w:t>
      </w:r>
      <w:r>
        <w:rPr>
          <w:rFonts w:hint="eastAsia" w:ascii="Times New Roman" w:hAnsi="Times New Roman" w:eastAsia="宋体" w:cs="Times New Roman"/>
          <w:sz w:val="28"/>
          <w:szCs w:val="28"/>
        </w:rPr>
        <w:t>气体压力达到预</w:t>
      </w:r>
      <w:r>
        <w:rPr>
          <w:rFonts w:hint="eastAsia" w:ascii="Times New Roman" w:hAnsi="Times New Roman" w:eastAsia="宋体" w:cs="Times New Roman"/>
          <w:sz w:val="28"/>
          <w:szCs w:val="28"/>
          <w:lang w:eastAsia="zh-CN"/>
        </w:rPr>
        <w:t>设</w:t>
      </w:r>
      <w:r>
        <w:rPr>
          <w:rFonts w:hint="eastAsia" w:ascii="Times New Roman" w:hAnsi="Times New Roman" w:eastAsia="宋体" w:cs="Times New Roman"/>
          <w:sz w:val="28"/>
          <w:szCs w:val="28"/>
        </w:rPr>
        <w:t>值时，停止补气，并关闭补气阀门，从而避免</w:t>
      </w:r>
      <w:r>
        <w:rPr>
          <w:rFonts w:hint="eastAsia" w:ascii="Times New Roman" w:hAnsi="Times New Roman" w:eastAsia="宋体" w:cs="Times New Roman"/>
          <w:sz w:val="28"/>
          <w:szCs w:val="28"/>
          <w:lang w:eastAsia="zh-CN"/>
        </w:rPr>
        <w:t>人为误操作导致</w:t>
      </w:r>
      <w:r>
        <w:rPr>
          <w:rFonts w:hint="eastAsia" w:ascii="Times New Roman" w:hAnsi="Times New Roman" w:eastAsia="宋体" w:cs="Times New Roman"/>
          <w:sz w:val="28"/>
          <w:szCs w:val="28"/>
        </w:rPr>
        <w:t>过充，欠充的情况，同时可以节省人工，提高设备的运维效率和安全性。</w:t>
      </w:r>
    </w:p>
    <w:p>
      <w:pPr>
        <w:ind w:firstLine="420" w:firstLineChars="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1.1工具组成</w:t>
      </w:r>
    </w:p>
    <w:p>
      <w:pPr>
        <w:ind w:firstLine="420" w:firstLineChars="0"/>
        <w:rPr>
          <w:rFonts w:hint="default"/>
          <w:sz w:val="28"/>
          <w:szCs w:val="28"/>
          <w:lang w:val="en-US" w:eastAsia="zh-CN"/>
        </w:rPr>
      </w:pPr>
      <w:r>
        <w:rPr>
          <w:rFonts w:hint="eastAsia" w:ascii="Times New Roman" w:hAnsi="Times New Roman" w:eastAsia="宋体" w:cs="Times New Roman"/>
          <w:sz w:val="28"/>
          <w:szCs w:val="28"/>
        </w:rPr>
        <w:t>本</w:t>
      </w:r>
      <w:r>
        <w:rPr>
          <w:rFonts w:hint="eastAsia" w:ascii="Times New Roman" w:hAnsi="Times New Roman" w:eastAsia="宋体" w:cs="Times New Roman"/>
          <w:sz w:val="28"/>
          <w:szCs w:val="28"/>
          <w:lang w:val="en-US" w:eastAsia="zh-CN"/>
        </w:rPr>
        <w:t>装置</w:t>
      </w:r>
      <w:r>
        <w:rPr>
          <w:rFonts w:hint="eastAsia" w:ascii="Times New Roman" w:hAnsi="Times New Roman" w:eastAsia="宋体" w:cs="Times New Roman"/>
          <w:sz w:val="28"/>
          <w:szCs w:val="28"/>
        </w:rPr>
        <w:t>由以下主要部件构成：</w:t>
      </w:r>
      <w:r>
        <w:rPr>
          <w:rFonts w:hint="eastAsia"/>
          <w:sz w:val="28"/>
          <w:szCs w:val="28"/>
        </w:rPr>
        <w:t>数字压力表、电动阀门</w:t>
      </w:r>
      <w:r>
        <w:rPr>
          <w:rFonts w:hint="eastAsia"/>
          <w:sz w:val="28"/>
          <w:szCs w:val="28"/>
          <w:lang w:val="en-US" w:eastAsia="zh-CN"/>
        </w:rPr>
        <w:t>及附属手动阀门、补气</w:t>
      </w:r>
      <w:r>
        <w:rPr>
          <w:rFonts w:hint="eastAsia"/>
          <w:sz w:val="28"/>
          <w:szCs w:val="28"/>
        </w:rPr>
        <w:t>控制器</w:t>
      </w:r>
      <w:r>
        <w:rPr>
          <w:rFonts w:hint="eastAsia"/>
          <w:sz w:val="28"/>
          <w:szCs w:val="28"/>
          <w:lang w:eastAsia="zh-CN"/>
        </w:rPr>
        <w:t>、</w:t>
      </w:r>
      <w:r>
        <w:rPr>
          <w:rFonts w:hint="eastAsia"/>
          <w:sz w:val="28"/>
          <w:szCs w:val="28"/>
          <w:lang w:val="en-US" w:eastAsia="zh-CN"/>
        </w:rPr>
        <w:t>接头软管。</w:t>
      </w:r>
    </w:p>
    <w:p>
      <w:pPr>
        <w:ind w:firstLine="420" w:firstLineChars="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1.2功能要求</w:t>
      </w:r>
    </w:p>
    <w:p>
      <w:pPr>
        <w:numPr>
          <w:ilvl w:val="0"/>
          <w:numId w:val="0"/>
        </w:numPr>
        <w:ind w:firstLine="420" w:firstLineChars="0"/>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kern w:val="2"/>
          <w:sz w:val="28"/>
          <w:szCs w:val="28"/>
          <w:lang w:val="en-US" w:eastAsia="zh-CN" w:bidi="ar-SA"/>
        </w:rPr>
        <w:t>（1）</w:t>
      </w:r>
      <w:r>
        <w:rPr>
          <w:rFonts w:hint="eastAsia"/>
          <w:sz w:val="28"/>
          <w:szCs w:val="28"/>
        </w:rPr>
        <w:t>SF6补气自动控制装置材料选型优质产品，做到免维护</w:t>
      </w:r>
      <w:r>
        <w:rPr>
          <w:rFonts w:hint="eastAsia"/>
          <w:sz w:val="28"/>
          <w:szCs w:val="28"/>
          <w:lang w:eastAsia="zh-CN"/>
        </w:rPr>
        <w:t>。</w:t>
      </w:r>
    </w:p>
    <w:p>
      <w:pPr>
        <w:numPr>
          <w:ilvl w:val="0"/>
          <w:numId w:val="0"/>
        </w:numPr>
        <w:ind w:firstLine="420" w:firstLineChars="0"/>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kern w:val="2"/>
          <w:sz w:val="28"/>
          <w:szCs w:val="28"/>
          <w:lang w:val="en-US" w:eastAsia="zh-CN" w:bidi="ar-SA"/>
        </w:rPr>
        <w:t>（2）</w:t>
      </w:r>
      <w:r>
        <w:rPr>
          <w:rFonts w:hint="eastAsia"/>
          <w:sz w:val="28"/>
          <w:szCs w:val="28"/>
        </w:rPr>
        <w:t>数字式压力表</w:t>
      </w:r>
      <w:r>
        <w:rPr>
          <w:rFonts w:hint="eastAsia"/>
          <w:sz w:val="28"/>
          <w:szCs w:val="28"/>
          <w:lang w:eastAsia="zh-CN"/>
        </w:rPr>
        <w:t>：</w:t>
      </w:r>
      <w:r>
        <w:rPr>
          <w:rFonts w:hint="eastAsia"/>
          <w:sz w:val="28"/>
          <w:szCs w:val="28"/>
        </w:rPr>
        <w:t>要求可实现的0-10MPa范围的压力测量</w:t>
      </w:r>
      <w:r>
        <w:rPr>
          <w:rFonts w:hint="eastAsia"/>
          <w:sz w:val="28"/>
          <w:szCs w:val="28"/>
          <w:lang w:eastAsia="zh-CN"/>
        </w:rPr>
        <w:t>，</w:t>
      </w:r>
      <w:r>
        <w:rPr>
          <w:rFonts w:hint="eastAsia"/>
          <w:sz w:val="28"/>
          <w:szCs w:val="28"/>
          <w:lang w:val="en-US" w:eastAsia="zh-CN"/>
        </w:rPr>
        <w:t>测量偏差满足变电站SF6补气作业精度需求，必须具有温度补偿功能，以消除环境温度变化对SF6压力读数的影响，符合相关电气安全标准，长期稳定性好，漂移小，所有与SF6气体接触的部件必须采用耐SF6腐蚀的材料，所有部件应能无缝集成到最终的“SF6补气自动控制装置”中，尺寸、接口、电气信号、通讯协议必须相互匹配。</w:t>
      </w:r>
    </w:p>
    <w:p>
      <w:pPr>
        <w:ind w:firstLine="560" w:firstLineChars="200"/>
        <w:rPr>
          <w:rFonts w:hint="eastAsia"/>
          <w:sz w:val="28"/>
          <w:szCs w:val="28"/>
          <w:lang w:val="en-US" w:eastAsia="zh-CN"/>
        </w:rPr>
      </w:pPr>
      <w:r>
        <w:rPr>
          <w:rFonts w:hint="eastAsia"/>
          <w:sz w:val="28"/>
          <w:szCs w:val="28"/>
          <w:lang w:eastAsia="zh-CN"/>
        </w:rPr>
        <w:t>（</w:t>
      </w:r>
      <w:r>
        <w:rPr>
          <w:rFonts w:hint="eastAsia"/>
          <w:sz w:val="28"/>
          <w:szCs w:val="28"/>
          <w:lang w:val="en-US" w:eastAsia="zh-CN"/>
        </w:rPr>
        <w:t>3</w:t>
      </w:r>
      <w:r>
        <w:rPr>
          <w:rFonts w:hint="eastAsia"/>
          <w:sz w:val="28"/>
          <w:szCs w:val="28"/>
          <w:lang w:eastAsia="zh-CN"/>
        </w:rPr>
        <w:t>）</w:t>
      </w:r>
      <w:r>
        <w:rPr>
          <w:rFonts w:hint="eastAsia"/>
          <w:sz w:val="28"/>
          <w:szCs w:val="28"/>
        </w:rPr>
        <w:t>电动阀门</w:t>
      </w:r>
      <w:r>
        <w:rPr>
          <w:rFonts w:hint="eastAsia"/>
          <w:sz w:val="28"/>
          <w:szCs w:val="28"/>
          <w:lang w:val="en-US" w:eastAsia="zh-CN"/>
        </w:rPr>
        <w:t>与附属手动阀门</w:t>
      </w:r>
      <w:r>
        <w:rPr>
          <w:rFonts w:hint="eastAsia"/>
          <w:sz w:val="28"/>
          <w:szCs w:val="28"/>
          <w:lang w:eastAsia="zh-CN"/>
        </w:rPr>
        <w:t>：</w:t>
      </w:r>
      <w:r>
        <w:rPr>
          <w:rFonts w:hint="eastAsia"/>
          <w:sz w:val="28"/>
          <w:szCs w:val="28"/>
          <w:lang w:val="en-US" w:eastAsia="zh-CN"/>
        </w:rPr>
        <w:t>常闭型</w:t>
      </w:r>
      <w:r>
        <w:rPr>
          <w:rFonts w:hint="eastAsia"/>
          <w:sz w:val="28"/>
          <w:szCs w:val="28"/>
        </w:rPr>
        <w:t>电动阀门</w:t>
      </w:r>
      <w:r>
        <w:rPr>
          <w:rFonts w:hint="eastAsia"/>
          <w:sz w:val="28"/>
          <w:szCs w:val="28"/>
          <w:lang w:eastAsia="zh-CN"/>
        </w:rPr>
        <w:t>，</w:t>
      </w:r>
      <w:r>
        <w:rPr>
          <w:rFonts w:hint="eastAsia"/>
          <w:sz w:val="28"/>
          <w:szCs w:val="28"/>
        </w:rPr>
        <w:t>要求可实现在</w:t>
      </w:r>
      <w:r>
        <w:rPr>
          <w:rFonts w:hint="eastAsia"/>
          <w:sz w:val="28"/>
          <w:szCs w:val="28"/>
          <w:lang w:val="en-US" w:eastAsia="zh-CN"/>
        </w:rPr>
        <w:t>0</w:t>
      </w:r>
      <w:r>
        <w:rPr>
          <w:rFonts w:hint="eastAsia"/>
          <w:sz w:val="28"/>
          <w:szCs w:val="28"/>
        </w:rPr>
        <w:t>-</w:t>
      </w:r>
      <w:r>
        <w:rPr>
          <w:rFonts w:hint="eastAsia"/>
          <w:sz w:val="28"/>
          <w:szCs w:val="28"/>
          <w:lang w:val="en-US" w:eastAsia="zh-CN"/>
        </w:rPr>
        <w:t>20</w:t>
      </w:r>
      <w:r>
        <w:rPr>
          <w:rFonts w:hint="eastAsia"/>
          <w:sz w:val="28"/>
          <w:szCs w:val="28"/>
        </w:rPr>
        <w:t>MPa范围内正常打开与关闭；其中从紧闭至完全打开不超过</w:t>
      </w:r>
      <w:r>
        <w:rPr>
          <w:rFonts w:hint="eastAsia"/>
          <w:sz w:val="28"/>
          <w:szCs w:val="28"/>
          <w:lang w:val="en-US" w:eastAsia="zh-CN"/>
        </w:rPr>
        <w:t>4</w:t>
      </w:r>
      <w:r>
        <w:rPr>
          <w:rFonts w:hint="eastAsia"/>
          <w:sz w:val="28"/>
          <w:szCs w:val="28"/>
        </w:rPr>
        <w:t>s，完全打开至紧闭不超过</w:t>
      </w:r>
      <w:r>
        <w:rPr>
          <w:rFonts w:hint="eastAsia"/>
          <w:sz w:val="28"/>
          <w:szCs w:val="28"/>
          <w:lang w:val="en-US" w:eastAsia="zh-CN"/>
        </w:rPr>
        <w:t>4</w:t>
      </w:r>
      <w:r>
        <w:rPr>
          <w:rFonts w:hint="eastAsia"/>
          <w:sz w:val="28"/>
          <w:szCs w:val="28"/>
        </w:rPr>
        <w:t>s</w:t>
      </w:r>
      <w:r>
        <w:rPr>
          <w:rFonts w:hint="eastAsia"/>
          <w:sz w:val="28"/>
          <w:szCs w:val="28"/>
          <w:lang w:val="en-US" w:eastAsia="zh-CN"/>
        </w:rPr>
        <w:t>，</w:t>
      </w:r>
      <w:r>
        <w:rPr>
          <w:rFonts w:hint="eastAsia"/>
          <w:sz w:val="28"/>
          <w:szCs w:val="28"/>
        </w:rPr>
        <w:t>附属手动阀门，与电动阀门协同配合，确保装置缺电等情况下手动阀门能够迅速断开气罐与需补气装置</w:t>
      </w:r>
      <w:r>
        <w:rPr>
          <w:rFonts w:hint="eastAsia"/>
          <w:sz w:val="28"/>
          <w:szCs w:val="28"/>
          <w:lang w:eastAsia="zh-CN"/>
        </w:rPr>
        <w:t>，与SF6气体接触部分</w:t>
      </w:r>
      <w:r>
        <w:rPr>
          <w:rFonts w:hint="eastAsia"/>
          <w:sz w:val="28"/>
          <w:szCs w:val="28"/>
          <w:lang w:val="en-US" w:eastAsia="zh-CN"/>
        </w:rPr>
        <w:t>必须采用耐SF6腐蚀的材料，符合相关电气安全标准所有部件应能无缝集成到最终的“SF6补气自动控制装置”中，尺寸、接口、电气信号、通讯协议必须相互匹配。</w:t>
      </w:r>
    </w:p>
    <w:p>
      <w:pPr>
        <w:numPr>
          <w:ilvl w:val="0"/>
          <w:numId w:val="0"/>
        </w:numPr>
        <w:ind w:firstLine="560" w:firstLineChars="200"/>
        <w:rPr>
          <w:rFonts w:hint="eastAsia"/>
          <w:sz w:val="28"/>
          <w:szCs w:val="28"/>
          <w:lang w:eastAsia="zh-CN"/>
        </w:rPr>
      </w:pPr>
      <w:r>
        <w:rPr>
          <w:rFonts w:hint="eastAsia"/>
          <w:sz w:val="28"/>
          <w:szCs w:val="28"/>
          <w:lang w:val="en-US" w:eastAsia="zh-CN"/>
        </w:rPr>
        <w:t>（4）补气</w:t>
      </w:r>
      <w:r>
        <w:rPr>
          <w:rFonts w:hint="eastAsia"/>
          <w:sz w:val="28"/>
          <w:szCs w:val="28"/>
        </w:rPr>
        <w:t>控制器</w:t>
      </w:r>
      <w:r>
        <w:rPr>
          <w:rFonts w:hint="eastAsia"/>
          <w:sz w:val="28"/>
          <w:szCs w:val="28"/>
          <w:lang w:eastAsia="zh-CN"/>
        </w:rPr>
        <w:t>：</w:t>
      </w:r>
      <w:r>
        <w:rPr>
          <w:rFonts w:hint="eastAsia"/>
          <w:sz w:val="28"/>
          <w:szCs w:val="28"/>
          <w:lang w:val="en-US" w:eastAsia="zh-CN"/>
        </w:rPr>
        <w:t>手持式设计，</w:t>
      </w:r>
      <w:r>
        <w:rPr>
          <w:rFonts w:hint="eastAsia"/>
          <w:sz w:val="28"/>
          <w:szCs w:val="28"/>
        </w:rPr>
        <w:t>要求可实现数字压力表与电动阀门联动控制，两者响应时间小于0.5s；外</w:t>
      </w:r>
      <w:r>
        <w:rPr>
          <w:rFonts w:hint="eastAsia"/>
          <w:sz w:val="28"/>
          <w:szCs w:val="28"/>
          <w:lang w:val="en-US" w:eastAsia="zh-CN"/>
        </w:rPr>
        <w:t>观</w:t>
      </w:r>
      <w:r>
        <w:rPr>
          <w:rFonts w:hint="eastAsia"/>
          <w:sz w:val="28"/>
          <w:szCs w:val="28"/>
        </w:rPr>
        <w:t>要求具备显示，报警，状态指示、压力阈值设定、复位、电量显示等核心功能；设定阈值压力后，补气过程中实时显示当前补气装置内气压，达到阈值后自动停止补气</w:t>
      </w:r>
      <w:r>
        <w:rPr>
          <w:rFonts w:hint="eastAsia"/>
          <w:sz w:val="28"/>
          <w:szCs w:val="28"/>
          <w:lang w:eastAsia="zh-CN"/>
        </w:rPr>
        <w:t>，</w:t>
      </w:r>
      <w:r>
        <w:rPr>
          <w:rFonts w:hint="eastAsia"/>
          <w:sz w:val="28"/>
          <w:szCs w:val="28"/>
          <w:lang w:val="en-US" w:eastAsia="zh-CN"/>
        </w:rPr>
        <w:t>需</w:t>
      </w:r>
      <w:r>
        <w:rPr>
          <w:rFonts w:hint="default"/>
          <w:sz w:val="28"/>
          <w:szCs w:val="28"/>
        </w:rPr>
        <w:t>符合相关电气安全标准</w:t>
      </w:r>
      <w:r>
        <w:rPr>
          <w:rFonts w:hint="eastAsia"/>
          <w:sz w:val="28"/>
          <w:szCs w:val="28"/>
          <w:lang w:eastAsia="zh-CN"/>
        </w:rPr>
        <w:t>。</w:t>
      </w:r>
    </w:p>
    <w:p>
      <w:pPr>
        <w:rPr>
          <w:rFonts w:hint="eastAsia"/>
          <w:sz w:val="28"/>
          <w:szCs w:val="28"/>
          <w:lang w:eastAsia="zh-CN"/>
        </w:rPr>
      </w:pPr>
      <w:r>
        <w:rPr>
          <w:rFonts w:hint="eastAsia"/>
          <w:sz w:val="28"/>
          <w:szCs w:val="28"/>
          <w:lang w:eastAsia="zh-CN"/>
        </w:rPr>
        <w:t>（</w:t>
      </w:r>
      <w:r>
        <w:rPr>
          <w:rFonts w:hint="eastAsia"/>
          <w:sz w:val="28"/>
          <w:szCs w:val="28"/>
          <w:lang w:val="en-US" w:eastAsia="zh-CN"/>
        </w:rPr>
        <w:t>5</w:t>
      </w:r>
      <w:r>
        <w:rPr>
          <w:rFonts w:hint="eastAsia"/>
          <w:sz w:val="28"/>
          <w:szCs w:val="28"/>
          <w:lang w:eastAsia="zh-CN"/>
        </w:rPr>
        <w:t>）</w:t>
      </w:r>
      <w:r>
        <w:rPr>
          <w:rFonts w:hint="eastAsia"/>
          <w:sz w:val="28"/>
          <w:szCs w:val="28"/>
          <w:lang w:val="en-US" w:eastAsia="zh-CN"/>
        </w:rPr>
        <w:t>接头软管：</w:t>
      </w:r>
      <w:r>
        <w:rPr>
          <w:rFonts w:hint="eastAsia"/>
          <w:sz w:val="28"/>
          <w:szCs w:val="28"/>
        </w:rPr>
        <w:t>接头要求为</w:t>
      </w:r>
      <w:r>
        <w:rPr>
          <w:rFonts w:hint="eastAsia"/>
          <w:sz w:val="28"/>
          <w:szCs w:val="28"/>
          <w:lang w:val="en-US" w:eastAsia="zh-CN"/>
        </w:rPr>
        <w:t>快拆快装接头，</w:t>
      </w:r>
      <w:r>
        <w:rPr>
          <w:rFonts w:hint="eastAsia"/>
          <w:sz w:val="28"/>
          <w:szCs w:val="28"/>
        </w:rPr>
        <w:t>耐腐蚀，高可靠性金属结构，且</w:t>
      </w:r>
      <w:r>
        <w:rPr>
          <w:rFonts w:hint="eastAsia"/>
          <w:sz w:val="28"/>
          <w:szCs w:val="28"/>
          <w:lang w:val="en-US" w:eastAsia="zh-CN"/>
        </w:rPr>
        <w:t>配备的尺寸规</w:t>
      </w:r>
      <w:r>
        <w:rPr>
          <w:rFonts w:hint="eastAsia" w:ascii="Times New Roman" w:hAnsi="Times New Roman" w:eastAsia="宋体" w:cs="Times New Roman"/>
          <w:sz w:val="28"/>
          <w:szCs w:val="28"/>
          <w:lang w:val="en-US" w:eastAsia="zh-CN"/>
        </w:rPr>
        <w:t>格</w:t>
      </w:r>
      <w:r>
        <w:rPr>
          <w:rFonts w:hint="eastAsia" w:ascii="Times New Roman" w:hAnsi="Times New Roman" w:eastAsia="宋体" w:cs="Times New Roman"/>
          <w:sz w:val="28"/>
          <w:szCs w:val="28"/>
        </w:rPr>
        <w:t>与现有潮州供电局变电站内GIS等设备气体灌注口尺寸一致</w:t>
      </w: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软管气体通道应耐</w:t>
      </w:r>
      <w:r>
        <w:rPr>
          <w:rFonts w:hint="eastAsia"/>
          <w:sz w:val="28"/>
          <w:szCs w:val="28"/>
        </w:rPr>
        <w:t>腐蚀</w:t>
      </w:r>
      <w:r>
        <w:rPr>
          <w:rFonts w:hint="eastAsia"/>
          <w:sz w:val="28"/>
          <w:szCs w:val="28"/>
          <w:lang w:eastAsia="zh-CN"/>
        </w:rPr>
        <w:t>。</w:t>
      </w:r>
    </w:p>
    <w:p>
      <w:pPr>
        <w:rPr>
          <w:rFonts w:hint="eastAsia" w:ascii="Times New Roman" w:hAnsi="Times New Roman" w:eastAsia="宋体" w:cs="Times New Roman"/>
          <w:b/>
          <w:bCs/>
          <w:color w:val="auto"/>
          <w:sz w:val="32"/>
          <w:szCs w:val="32"/>
        </w:rPr>
      </w:pPr>
      <w:r>
        <w:rPr>
          <w:rFonts w:hint="eastAsia" w:ascii="Times New Roman" w:hAnsi="Times New Roman" w:eastAsia="宋体" w:cs="Times New Roman"/>
          <w:b/>
          <w:bCs/>
          <w:color w:val="auto"/>
          <w:sz w:val="32"/>
          <w:szCs w:val="32"/>
        </w:rPr>
        <w:t>二、交付项：</w:t>
      </w:r>
    </w:p>
    <w:tbl>
      <w:tblPr>
        <w:tblStyle w:val="4"/>
        <w:tblW w:w="0" w:type="auto"/>
        <w:tblInd w:w="0" w:type="dxa"/>
        <w:tblLayout w:type="fixed"/>
        <w:tblCellMar>
          <w:top w:w="0" w:type="dxa"/>
          <w:left w:w="108" w:type="dxa"/>
          <w:bottom w:w="0" w:type="dxa"/>
          <w:right w:w="108" w:type="dxa"/>
        </w:tblCellMar>
      </w:tblPr>
      <w:tblGrid>
        <w:gridCol w:w="578"/>
        <w:gridCol w:w="1800"/>
        <w:gridCol w:w="1274"/>
        <w:gridCol w:w="2754"/>
        <w:gridCol w:w="765"/>
        <w:gridCol w:w="960"/>
      </w:tblGrid>
      <w:tr>
        <w:tblPrEx>
          <w:tblCellMar>
            <w:top w:w="0" w:type="dxa"/>
            <w:left w:w="108" w:type="dxa"/>
            <w:bottom w:w="0" w:type="dxa"/>
            <w:right w:w="108" w:type="dxa"/>
          </w:tblCellMar>
        </w:tblPrEx>
        <w:trPr>
          <w:trHeight w:val="421" w:hRule="atLeast"/>
        </w:trPr>
        <w:tc>
          <w:tcPr>
            <w:tcW w:w="578" w:type="dxa"/>
            <w:tcBorders>
              <w:top w:val="single" w:color="010000" w:sz="4" w:space="0"/>
              <w:left w:val="single" w:color="010000" w:sz="4" w:space="0"/>
              <w:bottom w:val="single" w:color="010000" w:sz="4" w:space="0"/>
              <w:right w:val="single" w:color="010000" w:sz="4" w:space="0"/>
            </w:tcBorders>
            <w:noWrap w:val="0"/>
            <w:vAlign w:val="center"/>
          </w:tcPr>
          <w:p>
            <w:pPr>
              <w:widowControl/>
              <w:jc w:val="center"/>
              <w:rPr>
                <w:rFonts w:ascii="Arial" w:hAnsi="Arial" w:cs="Arial"/>
                <w:b/>
                <w:bCs/>
                <w:color w:val="000000"/>
                <w:kern w:val="0"/>
                <w:sz w:val="18"/>
                <w:szCs w:val="18"/>
              </w:rPr>
            </w:pPr>
            <w:r>
              <w:rPr>
                <w:rFonts w:ascii="Arial" w:hAnsi="Arial" w:cs="Arial"/>
                <w:b/>
                <w:bCs/>
                <w:color w:val="000000"/>
                <w:kern w:val="0"/>
                <w:sz w:val="18"/>
                <w:szCs w:val="18"/>
              </w:rPr>
              <w:t>序号</w:t>
            </w:r>
          </w:p>
        </w:tc>
        <w:tc>
          <w:tcPr>
            <w:tcW w:w="1800" w:type="dxa"/>
            <w:tcBorders>
              <w:top w:val="single" w:color="010000" w:sz="4" w:space="0"/>
              <w:left w:val="nil"/>
              <w:bottom w:val="single" w:color="010000" w:sz="4" w:space="0"/>
              <w:right w:val="single" w:color="010000" w:sz="4" w:space="0"/>
            </w:tcBorders>
            <w:noWrap w:val="0"/>
            <w:vAlign w:val="center"/>
          </w:tcPr>
          <w:p>
            <w:pPr>
              <w:widowControl/>
              <w:jc w:val="center"/>
              <w:rPr>
                <w:rFonts w:ascii="Arial" w:hAnsi="Arial" w:cs="Arial"/>
                <w:b/>
                <w:bCs/>
                <w:color w:val="000000"/>
                <w:kern w:val="0"/>
                <w:sz w:val="18"/>
                <w:szCs w:val="18"/>
              </w:rPr>
            </w:pPr>
            <w:r>
              <w:rPr>
                <w:rFonts w:ascii="Arial" w:hAnsi="Arial" w:cs="Arial"/>
                <w:b/>
                <w:bCs/>
                <w:color w:val="000000"/>
                <w:kern w:val="0"/>
                <w:sz w:val="18"/>
                <w:szCs w:val="18"/>
              </w:rPr>
              <w:t>物资</w:t>
            </w:r>
            <w:r>
              <w:rPr>
                <w:rFonts w:hint="eastAsia" w:ascii="Arial" w:hAnsi="Arial" w:cs="Arial"/>
                <w:b/>
                <w:bCs/>
                <w:color w:val="000000"/>
                <w:kern w:val="0"/>
                <w:sz w:val="18"/>
                <w:szCs w:val="18"/>
              </w:rPr>
              <w:t>（材料）</w:t>
            </w:r>
            <w:r>
              <w:rPr>
                <w:rFonts w:ascii="Arial" w:hAnsi="Arial" w:cs="Arial"/>
                <w:b/>
                <w:bCs/>
                <w:color w:val="000000"/>
                <w:kern w:val="0"/>
                <w:sz w:val="18"/>
                <w:szCs w:val="18"/>
              </w:rPr>
              <w:t>名称</w:t>
            </w:r>
          </w:p>
        </w:tc>
        <w:tc>
          <w:tcPr>
            <w:tcW w:w="1274" w:type="dxa"/>
            <w:tcBorders>
              <w:top w:val="single" w:color="010000" w:sz="4" w:space="0"/>
              <w:left w:val="nil"/>
              <w:bottom w:val="single" w:color="010000" w:sz="4" w:space="0"/>
              <w:right w:val="single" w:color="010000" w:sz="4" w:space="0"/>
            </w:tcBorders>
            <w:noWrap w:val="0"/>
            <w:vAlign w:val="center"/>
          </w:tcPr>
          <w:p>
            <w:pPr>
              <w:widowControl/>
              <w:jc w:val="center"/>
              <w:rPr>
                <w:rFonts w:hint="eastAsia" w:ascii="Arial" w:hAnsi="Arial" w:cs="Arial"/>
                <w:b/>
                <w:bCs/>
                <w:color w:val="000000"/>
                <w:kern w:val="0"/>
                <w:sz w:val="18"/>
                <w:szCs w:val="18"/>
              </w:rPr>
            </w:pPr>
            <w:r>
              <w:rPr>
                <w:rFonts w:hint="eastAsia" w:ascii="Arial" w:hAnsi="Arial" w:cs="Arial"/>
                <w:b/>
                <w:bCs/>
                <w:color w:val="000000"/>
                <w:kern w:val="0"/>
                <w:sz w:val="18"/>
                <w:szCs w:val="18"/>
              </w:rPr>
              <w:t>规格型号</w:t>
            </w:r>
          </w:p>
        </w:tc>
        <w:tc>
          <w:tcPr>
            <w:tcW w:w="2754" w:type="dxa"/>
            <w:tcBorders>
              <w:top w:val="single" w:color="010000" w:sz="4" w:space="0"/>
              <w:left w:val="single" w:color="010000" w:sz="4" w:space="0"/>
              <w:bottom w:val="single" w:color="010000" w:sz="4" w:space="0"/>
              <w:right w:val="single" w:color="010000" w:sz="4" w:space="0"/>
            </w:tcBorders>
            <w:noWrap w:val="0"/>
            <w:vAlign w:val="center"/>
          </w:tcPr>
          <w:p>
            <w:pPr>
              <w:widowControl/>
              <w:jc w:val="center"/>
              <w:rPr>
                <w:rFonts w:ascii="Arial" w:hAnsi="Arial" w:cs="Arial"/>
                <w:b/>
                <w:bCs/>
                <w:color w:val="000000"/>
                <w:kern w:val="0"/>
                <w:sz w:val="18"/>
                <w:szCs w:val="18"/>
              </w:rPr>
            </w:pPr>
            <w:r>
              <w:rPr>
                <w:rFonts w:hint="eastAsia" w:ascii="Arial" w:hAnsi="Arial" w:cs="Arial"/>
                <w:b/>
                <w:bCs/>
                <w:color w:val="000000"/>
                <w:kern w:val="0"/>
                <w:sz w:val="18"/>
                <w:szCs w:val="18"/>
              </w:rPr>
              <w:t>主要技术指标</w:t>
            </w:r>
          </w:p>
        </w:tc>
        <w:tc>
          <w:tcPr>
            <w:tcW w:w="765" w:type="dxa"/>
            <w:tcBorders>
              <w:top w:val="single" w:color="010000" w:sz="4" w:space="0"/>
              <w:left w:val="nil"/>
              <w:bottom w:val="single" w:color="010000" w:sz="4" w:space="0"/>
              <w:right w:val="single" w:color="010000" w:sz="4" w:space="0"/>
            </w:tcBorders>
            <w:noWrap w:val="0"/>
            <w:vAlign w:val="center"/>
          </w:tcPr>
          <w:p>
            <w:pPr>
              <w:widowControl/>
              <w:jc w:val="center"/>
              <w:rPr>
                <w:rFonts w:ascii="Arial" w:hAnsi="Arial" w:cs="Arial"/>
                <w:b/>
                <w:bCs/>
                <w:color w:val="000000"/>
                <w:kern w:val="0"/>
                <w:sz w:val="18"/>
                <w:szCs w:val="18"/>
              </w:rPr>
            </w:pPr>
            <w:r>
              <w:rPr>
                <w:rFonts w:ascii="Arial" w:hAnsi="Arial" w:cs="Arial"/>
                <w:b/>
                <w:bCs/>
                <w:color w:val="000000"/>
                <w:kern w:val="0"/>
                <w:sz w:val="18"/>
                <w:szCs w:val="18"/>
              </w:rPr>
              <w:t>数量</w:t>
            </w:r>
          </w:p>
        </w:tc>
        <w:tc>
          <w:tcPr>
            <w:tcW w:w="960" w:type="dxa"/>
            <w:tcBorders>
              <w:top w:val="single" w:color="010000" w:sz="4" w:space="0"/>
              <w:left w:val="nil"/>
              <w:bottom w:val="single" w:color="010000" w:sz="4" w:space="0"/>
              <w:right w:val="single" w:color="010000" w:sz="4" w:space="0"/>
            </w:tcBorders>
            <w:noWrap w:val="0"/>
            <w:vAlign w:val="center"/>
          </w:tcPr>
          <w:p>
            <w:pPr>
              <w:widowControl/>
              <w:jc w:val="center"/>
              <w:rPr>
                <w:rFonts w:ascii="Arial" w:hAnsi="Arial" w:cs="Arial"/>
                <w:b/>
                <w:bCs/>
                <w:color w:val="000000"/>
                <w:kern w:val="0"/>
                <w:sz w:val="18"/>
                <w:szCs w:val="18"/>
              </w:rPr>
            </w:pPr>
            <w:r>
              <w:rPr>
                <w:rFonts w:ascii="Arial" w:hAnsi="Arial" w:cs="Arial"/>
                <w:b/>
                <w:bCs/>
                <w:color w:val="000000"/>
                <w:kern w:val="0"/>
                <w:sz w:val="18"/>
                <w:szCs w:val="18"/>
              </w:rPr>
              <w:t>单位</w:t>
            </w:r>
          </w:p>
        </w:tc>
      </w:tr>
      <w:tr>
        <w:tblPrEx>
          <w:tblCellMar>
            <w:top w:w="0" w:type="dxa"/>
            <w:left w:w="108" w:type="dxa"/>
            <w:bottom w:w="0" w:type="dxa"/>
            <w:right w:w="108" w:type="dxa"/>
          </w:tblCellMar>
        </w:tblPrEx>
        <w:trPr>
          <w:trHeight w:val="271" w:hRule="atLeast"/>
        </w:trPr>
        <w:tc>
          <w:tcPr>
            <w:tcW w:w="578" w:type="dxa"/>
            <w:tcBorders>
              <w:top w:val="nil"/>
              <w:left w:val="single" w:color="010000" w:sz="4" w:space="0"/>
              <w:bottom w:val="single" w:color="010000" w:sz="4" w:space="0"/>
              <w:right w:val="single" w:color="010000" w:sz="4" w:space="0"/>
            </w:tcBorders>
            <w:noWrap w:val="0"/>
            <w:vAlign w:val="center"/>
          </w:tcPr>
          <w:p>
            <w:pPr>
              <w:jc w:val="center"/>
              <w:rPr>
                <w:rFonts w:ascii="宋体" w:hAnsi="宋体" w:cs="Arial"/>
                <w:bCs/>
                <w:color w:val="000000"/>
                <w:kern w:val="0"/>
                <w:sz w:val="18"/>
                <w:szCs w:val="18"/>
              </w:rPr>
            </w:pPr>
            <w:r>
              <w:rPr>
                <w:rFonts w:hint="eastAsia" w:ascii="宋体" w:hAnsi="宋体" w:cs="Arial"/>
                <w:bCs/>
                <w:color w:val="000000"/>
                <w:kern w:val="0"/>
                <w:sz w:val="18"/>
                <w:szCs w:val="18"/>
              </w:rPr>
              <w:t>1</w:t>
            </w:r>
          </w:p>
        </w:tc>
        <w:tc>
          <w:tcPr>
            <w:tcW w:w="1800" w:type="dxa"/>
            <w:tcBorders>
              <w:top w:val="nil"/>
              <w:left w:val="nil"/>
              <w:bottom w:val="single" w:color="010000" w:sz="4" w:space="0"/>
              <w:right w:val="single" w:color="010000" w:sz="4" w:space="0"/>
            </w:tcBorders>
            <w:noWrap w:val="0"/>
            <w:vAlign w:val="center"/>
          </w:tcPr>
          <w:p>
            <w:pPr>
              <w:spacing w:line="220" w:lineRule="atLeast"/>
              <w:jc w:val="center"/>
              <w:rPr>
                <w:rFonts w:hint="eastAsia" w:ascii="Times New Roman" w:hAnsi="Times New Roman" w:eastAsia="宋体" w:cs="Times New Roman"/>
                <w:lang w:eastAsia="zh-CN"/>
              </w:rPr>
            </w:pPr>
            <w:r>
              <w:rPr>
                <w:rFonts w:hint="eastAsia" w:ascii="Times New Roman" w:hAnsi="Times New Roman" w:eastAsia="宋体" w:cs="Times New Roman"/>
              </w:rPr>
              <w:t>数字式压力表</w:t>
            </w:r>
          </w:p>
        </w:tc>
        <w:tc>
          <w:tcPr>
            <w:tcW w:w="1274" w:type="dxa"/>
            <w:tcBorders>
              <w:top w:val="single" w:color="010000" w:sz="4" w:space="0"/>
              <w:left w:val="nil"/>
              <w:bottom w:val="single" w:color="010000" w:sz="4" w:space="0"/>
              <w:right w:val="single" w:color="010000" w:sz="4" w:space="0"/>
            </w:tcBorders>
            <w:noWrap w:val="0"/>
            <w:vAlign w:val="center"/>
          </w:tcPr>
          <w:p>
            <w:pPr>
              <w:spacing w:line="220" w:lineRule="atLeast"/>
              <w:jc w:val="center"/>
              <w:rPr>
                <w:rFonts w:hint="eastAsia" w:ascii="宋体" w:hAnsi="宋体" w:cs="Arial"/>
                <w:bCs/>
                <w:color w:val="000000"/>
                <w:kern w:val="0"/>
                <w:sz w:val="18"/>
                <w:szCs w:val="18"/>
              </w:rPr>
            </w:pPr>
            <w:r>
              <w:rPr>
                <w:rFonts w:hint="eastAsia" w:ascii="宋体" w:hAnsi="宋体" w:cs="Arial"/>
                <w:bCs/>
                <w:color w:val="000000"/>
                <w:kern w:val="0"/>
                <w:sz w:val="18"/>
                <w:szCs w:val="18"/>
              </w:rPr>
              <w:t>/</w:t>
            </w:r>
          </w:p>
        </w:tc>
        <w:tc>
          <w:tcPr>
            <w:tcW w:w="2754" w:type="dxa"/>
            <w:tcBorders>
              <w:top w:val="nil"/>
              <w:left w:val="single" w:color="010000" w:sz="4" w:space="0"/>
              <w:bottom w:val="single" w:color="010000" w:sz="4" w:space="0"/>
              <w:right w:val="single" w:color="010000" w:sz="4" w:space="0"/>
            </w:tcBorders>
            <w:noWrap w:val="0"/>
            <w:vAlign w:val="center"/>
          </w:tcPr>
          <w:p>
            <w:pPr>
              <w:widowControl/>
              <w:jc w:val="left"/>
              <w:rPr>
                <w:rFonts w:hint="eastAsia" w:ascii="宋体" w:hAnsi="宋体" w:eastAsia="宋体" w:cs="Arial"/>
                <w:bCs/>
                <w:color w:val="000000"/>
                <w:kern w:val="0"/>
                <w:sz w:val="18"/>
                <w:szCs w:val="18"/>
              </w:rPr>
            </w:pPr>
            <w:r>
              <w:rPr>
                <w:rFonts w:hint="eastAsia" w:ascii="宋体" w:hAnsi="宋体" w:eastAsia="宋体" w:cs="Arial"/>
                <w:bCs/>
                <w:color w:val="000000"/>
                <w:kern w:val="0"/>
                <w:sz w:val="18"/>
                <w:szCs w:val="18"/>
              </w:rPr>
              <w:t>测量范围：0-10MPa</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功能：带温度补偿</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稳定性：长期漂移小</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材料：耐SF6腐蚀</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安全标准：符合相关电气安全标准</w:t>
            </w:r>
          </w:p>
        </w:tc>
        <w:tc>
          <w:tcPr>
            <w:tcW w:w="765" w:type="dxa"/>
            <w:tcBorders>
              <w:top w:val="nil"/>
              <w:left w:val="nil"/>
              <w:bottom w:val="single" w:color="010000" w:sz="4" w:space="0"/>
              <w:right w:val="single" w:color="010000" w:sz="4" w:space="0"/>
            </w:tcBorders>
            <w:noWrap w:val="0"/>
            <w:vAlign w:val="center"/>
          </w:tcPr>
          <w:p>
            <w:pPr>
              <w:widowControl/>
              <w:jc w:val="center"/>
              <w:rPr>
                <w:rFonts w:hint="eastAsia" w:ascii="宋体" w:hAnsi="宋体" w:eastAsia="宋体" w:cs="Arial"/>
                <w:bCs/>
                <w:color w:val="000000"/>
                <w:kern w:val="0"/>
                <w:sz w:val="18"/>
                <w:szCs w:val="18"/>
                <w:lang w:eastAsia="zh-CN"/>
              </w:rPr>
            </w:pPr>
            <w:r>
              <w:rPr>
                <w:rFonts w:hint="eastAsia" w:ascii="宋体" w:hAnsi="宋体" w:cs="Arial"/>
                <w:bCs/>
                <w:color w:val="000000"/>
                <w:kern w:val="0"/>
                <w:sz w:val="18"/>
                <w:szCs w:val="18"/>
                <w:lang w:val="en-US" w:eastAsia="zh-CN"/>
              </w:rPr>
              <w:t>1</w:t>
            </w:r>
          </w:p>
        </w:tc>
        <w:tc>
          <w:tcPr>
            <w:tcW w:w="960" w:type="dxa"/>
            <w:tcBorders>
              <w:top w:val="nil"/>
              <w:left w:val="nil"/>
              <w:bottom w:val="single" w:color="010000" w:sz="4" w:space="0"/>
              <w:right w:val="single" w:color="010000" w:sz="4" w:space="0"/>
            </w:tcBorders>
            <w:noWrap w:val="0"/>
            <w:vAlign w:val="center"/>
          </w:tcPr>
          <w:p>
            <w:pPr>
              <w:widowControl/>
              <w:jc w:val="center"/>
              <w:rPr>
                <w:rFonts w:ascii="宋体" w:hAnsi="宋体" w:cs="Arial"/>
                <w:bCs/>
                <w:color w:val="000000"/>
                <w:kern w:val="0"/>
                <w:sz w:val="18"/>
                <w:szCs w:val="18"/>
              </w:rPr>
            </w:pPr>
            <w:r>
              <w:rPr>
                <w:rFonts w:hint="eastAsia" w:ascii="宋体" w:hAnsi="宋体" w:cs="Arial"/>
                <w:bCs/>
                <w:color w:val="000000"/>
                <w:kern w:val="0"/>
                <w:sz w:val="18"/>
                <w:szCs w:val="18"/>
              </w:rPr>
              <w:t>套</w:t>
            </w:r>
          </w:p>
        </w:tc>
      </w:tr>
      <w:tr>
        <w:tblPrEx>
          <w:tblCellMar>
            <w:top w:w="0" w:type="dxa"/>
            <w:left w:w="108" w:type="dxa"/>
            <w:bottom w:w="0" w:type="dxa"/>
            <w:right w:w="108" w:type="dxa"/>
          </w:tblCellMar>
        </w:tblPrEx>
        <w:trPr>
          <w:trHeight w:val="279" w:hRule="atLeast"/>
        </w:trPr>
        <w:tc>
          <w:tcPr>
            <w:tcW w:w="578" w:type="dxa"/>
            <w:tcBorders>
              <w:top w:val="single" w:color="010000" w:sz="4" w:space="0"/>
              <w:left w:val="single" w:color="010000" w:sz="4" w:space="0"/>
              <w:bottom w:val="single" w:color="010000" w:sz="4" w:space="0"/>
              <w:right w:val="single" w:color="010000" w:sz="4" w:space="0"/>
            </w:tcBorders>
            <w:noWrap w:val="0"/>
            <w:vAlign w:val="center"/>
          </w:tcPr>
          <w:p>
            <w:pPr>
              <w:jc w:val="center"/>
              <w:rPr>
                <w:rFonts w:hint="eastAsia" w:ascii="宋体" w:hAnsi="宋体" w:cs="Arial"/>
                <w:bCs/>
                <w:color w:val="000000"/>
                <w:kern w:val="0"/>
                <w:sz w:val="18"/>
                <w:szCs w:val="18"/>
              </w:rPr>
            </w:pPr>
            <w:r>
              <w:rPr>
                <w:rFonts w:hint="eastAsia" w:ascii="宋体" w:hAnsi="宋体" w:cs="Arial"/>
                <w:bCs/>
                <w:color w:val="000000"/>
                <w:kern w:val="0"/>
                <w:sz w:val="18"/>
                <w:szCs w:val="18"/>
              </w:rPr>
              <w:t>2</w:t>
            </w:r>
          </w:p>
        </w:tc>
        <w:tc>
          <w:tcPr>
            <w:tcW w:w="1800" w:type="dxa"/>
            <w:tcBorders>
              <w:top w:val="single" w:color="010000" w:sz="4" w:space="0"/>
              <w:left w:val="nil"/>
              <w:bottom w:val="single" w:color="010000" w:sz="4" w:space="0"/>
              <w:right w:val="single" w:color="010000" w:sz="4" w:space="0"/>
            </w:tcBorders>
            <w:noWrap w:val="0"/>
            <w:vAlign w:val="center"/>
          </w:tcPr>
          <w:p>
            <w:pPr>
              <w:spacing w:line="220" w:lineRule="atLeast"/>
              <w:jc w:val="center"/>
              <w:rPr>
                <w:rFonts w:hint="eastAsia" w:ascii="Times New Roman" w:hAnsi="Times New Roman" w:eastAsia="宋体" w:cs="Times New Roman"/>
                <w:lang w:val="en-US" w:eastAsia="zh-CN"/>
              </w:rPr>
            </w:pPr>
            <w:r>
              <w:rPr>
                <w:rFonts w:hint="eastAsia" w:ascii="Times New Roman" w:hAnsi="Times New Roman" w:eastAsia="宋体" w:cs="Times New Roman"/>
              </w:rPr>
              <w:t>电动阀门</w:t>
            </w:r>
            <w:r>
              <w:rPr>
                <w:rFonts w:hint="eastAsia" w:ascii="Times New Roman" w:hAnsi="Times New Roman" w:eastAsia="宋体" w:cs="Times New Roman"/>
                <w:lang w:val="en-US" w:eastAsia="zh-CN"/>
              </w:rPr>
              <w:t>与附属手动阀门</w:t>
            </w:r>
          </w:p>
        </w:tc>
        <w:tc>
          <w:tcPr>
            <w:tcW w:w="1274" w:type="dxa"/>
            <w:tcBorders>
              <w:top w:val="single" w:color="010000" w:sz="4" w:space="0"/>
              <w:left w:val="nil"/>
              <w:bottom w:val="single" w:color="010000" w:sz="4" w:space="0"/>
              <w:right w:val="single" w:color="010000" w:sz="4" w:space="0"/>
            </w:tcBorders>
            <w:noWrap w:val="0"/>
            <w:vAlign w:val="center"/>
          </w:tcPr>
          <w:p>
            <w:pPr>
              <w:spacing w:line="220" w:lineRule="atLeast"/>
              <w:jc w:val="center"/>
              <w:rPr>
                <w:rFonts w:hint="default" w:ascii="宋体" w:hAnsi="宋体" w:eastAsia="宋体" w:cs="Arial"/>
                <w:bCs/>
                <w:color w:val="000000"/>
                <w:kern w:val="0"/>
                <w:sz w:val="18"/>
                <w:szCs w:val="18"/>
                <w:lang w:val="en-US" w:eastAsia="zh-CN"/>
              </w:rPr>
            </w:pPr>
            <w:r>
              <w:rPr>
                <w:rFonts w:hint="eastAsia" w:ascii="宋体" w:hAnsi="宋体" w:cs="Arial"/>
                <w:bCs/>
                <w:color w:val="000000"/>
                <w:kern w:val="0"/>
                <w:sz w:val="18"/>
                <w:szCs w:val="18"/>
                <w:lang w:val="en-US" w:eastAsia="zh-CN"/>
              </w:rPr>
              <w:t>电动阀门为常闭型</w:t>
            </w:r>
          </w:p>
        </w:tc>
        <w:tc>
          <w:tcPr>
            <w:tcW w:w="2754" w:type="dxa"/>
            <w:tcBorders>
              <w:top w:val="single" w:color="010000" w:sz="4" w:space="0"/>
              <w:left w:val="single" w:color="010000" w:sz="4" w:space="0"/>
              <w:bottom w:val="single" w:color="010000" w:sz="4" w:space="0"/>
              <w:right w:val="single" w:color="010000" w:sz="4" w:space="0"/>
            </w:tcBorders>
            <w:noWrap w:val="0"/>
            <w:vAlign w:val="center"/>
          </w:tcPr>
          <w:p>
            <w:pPr>
              <w:widowControl/>
              <w:jc w:val="left"/>
              <w:rPr>
                <w:rFonts w:hint="eastAsia" w:ascii="宋体" w:hAnsi="宋体" w:eastAsia="宋体" w:cs="Arial"/>
                <w:bCs/>
                <w:color w:val="000000"/>
                <w:kern w:val="0"/>
                <w:sz w:val="18"/>
                <w:szCs w:val="18"/>
              </w:rPr>
            </w:pPr>
            <w:r>
              <w:rPr>
                <w:rFonts w:hint="eastAsia" w:ascii="宋体" w:hAnsi="宋体" w:eastAsia="宋体" w:cs="Arial"/>
                <w:bCs/>
                <w:color w:val="000000"/>
                <w:kern w:val="0"/>
                <w:sz w:val="18"/>
                <w:szCs w:val="18"/>
              </w:rPr>
              <w:t>压力范围：0-20MPa</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动作时间：开/闭≤4s</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材料：耐SF6腐蚀（含手动阀）</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手动阀功能：紧急气路切断</w:t>
            </w:r>
            <w:r>
              <w:rPr>
                <w:rFonts w:hint="default" w:ascii="宋体" w:hAnsi="宋体" w:eastAsia="宋体" w:cs="Arial"/>
                <w:bCs/>
                <w:color w:val="000000"/>
                <w:kern w:val="0"/>
                <w:sz w:val="18"/>
                <w:szCs w:val="18"/>
              </w:rPr>
              <w:br w:type="textWrapping"/>
            </w:r>
            <w:r>
              <w:rPr>
                <w:rFonts w:hint="eastAsia" w:ascii="宋体" w:hAnsi="宋体" w:eastAsia="宋体" w:cs="Arial"/>
                <w:bCs/>
                <w:color w:val="000000"/>
                <w:kern w:val="0"/>
                <w:sz w:val="18"/>
                <w:szCs w:val="18"/>
              </w:rPr>
              <w:t>安全标准：符合相关电气安全标准</w:t>
            </w:r>
          </w:p>
        </w:tc>
        <w:tc>
          <w:tcPr>
            <w:tcW w:w="765" w:type="dxa"/>
            <w:tcBorders>
              <w:top w:val="single" w:color="010000" w:sz="4" w:space="0"/>
              <w:left w:val="nil"/>
              <w:bottom w:val="single" w:color="010000" w:sz="4" w:space="0"/>
              <w:right w:val="single" w:color="010000" w:sz="4" w:space="0"/>
            </w:tcBorders>
            <w:noWrap w:val="0"/>
            <w:vAlign w:val="center"/>
          </w:tcPr>
          <w:p>
            <w:pPr>
              <w:widowControl/>
              <w:jc w:val="center"/>
              <w:rPr>
                <w:rFonts w:hint="eastAsia" w:ascii="宋体" w:hAnsi="宋体" w:cs="Arial"/>
                <w:bCs/>
                <w:color w:val="000000"/>
                <w:kern w:val="0"/>
                <w:sz w:val="18"/>
                <w:szCs w:val="18"/>
              </w:rPr>
            </w:pPr>
            <w:r>
              <w:rPr>
                <w:rFonts w:hint="eastAsia" w:ascii="宋体" w:hAnsi="宋体" w:cs="Arial"/>
                <w:bCs/>
                <w:color w:val="000000"/>
                <w:kern w:val="0"/>
                <w:sz w:val="18"/>
                <w:szCs w:val="18"/>
                <w:lang w:val="en-US" w:eastAsia="zh-CN"/>
              </w:rPr>
              <w:t>1</w:t>
            </w:r>
          </w:p>
        </w:tc>
        <w:tc>
          <w:tcPr>
            <w:tcW w:w="960" w:type="dxa"/>
            <w:tcBorders>
              <w:top w:val="single" w:color="010000" w:sz="4" w:space="0"/>
              <w:left w:val="nil"/>
              <w:bottom w:val="single" w:color="010000" w:sz="4" w:space="0"/>
              <w:right w:val="single" w:color="010000" w:sz="4" w:space="0"/>
            </w:tcBorders>
            <w:noWrap w:val="0"/>
            <w:vAlign w:val="center"/>
          </w:tcPr>
          <w:p>
            <w:pPr>
              <w:jc w:val="center"/>
              <w:rPr>
                <w:rFonts w:hint="eastAsia" w:ascii="宋体" w:hAnsi="宋体" w:eastAsia="宋体" w:cs="Arial"/>
                <w:bCs/>
                <w:color w:val="000000"/>
                <w:kern w:val="0"/>
                <w:sz w:val="18"/>
                <w:szCs w:val="18"/>
                <w:lang w:eastAsia="zh-CN"/>
              </w:rPr>
            </w:pPr>
            <w:r>
              <w:rPr>
                <w:rFonts w:hint="eastAsia" w:ascii="宋体" w:hAnsi="宋体" w:cs="Arial"/>
                <w:bCs/>
                <w:color w:val="000000"/>
                <w:kern w:val="0"/>
                <w:sz w:val="18"/>
                <w:szCs w:val="18"/>
                <w:lang w:val="en-US" w:eastAsia="zh-CN"/>
              </w:rPr>
              <w:t>套</w:t>
            </w:r>
          </w:p>
        </w:tc>
      </w:tr>
      <w:tr>
        <w:tblPrEx>
          <w:tblCellMar>
            <w:top w:w="0" w:type="dxa"/>
            <w:left w:w="108" w:type="dxa"/>
            <w:bottom w:w="0" w:type="dxa"/>
            <w:right w:w="108" w:type="dxa"/>
          </w:tblCellMar>
        </w:tblPrEx>
        <w:trPr>
          <w:trHeight w:val="272" w:hRule="atLeast"/>
        </w:trPr>
        <w:tc>
          <w:tcPr>
            <w:tcW w:w="578" w:type="dxa"/>
            <w:tcBorders>
              <w:top w:val="single" w:color="010000" w:sz="4" w:space="0"/>
              <w:left w:val="single" w:color="010000" w:sz="4" w:space="0"/>
              <w:bottom w:val="single" w:color="010000" w:sz="4" w:space="0"/>
              <w:right w:val="single" w:color="010000" w:sz="4" w:space="0"/>
            </w:tcBorders>
            <w:noWrap w:val="0"/>
            <w:vAlign w:val="center"/>
          </w:tcPr>
          <w:p>
            <w:pPr>
              <w:jc w:val="center"/>
              <w:rPr>
                <w:rFonts w:hint="eastAsia" w:ascii="宋体" w:hAnsi="宋体" w:cs="Arial"/>
                <w:bCs/>
                <w:color w:val="000000"/>
                <w:kern w:val="0"/>
                <w:sz w:val="18"/>
                <w:szCs w:val="18"/>
              </w:rPr>
            </w:pPr>
            <w:r>
              <w:rPr>
                <w:rFonts w:hint="eastAsia" w:ascii="宋体" w:hAnsi="宋体" w:cs="Arial"/>
                <w:bCs/>
                <w:color w:val="000000"/>
                <w:kern w:val="0"/>
                <w:sz w:val="18"/>
                <w:szCs w:val="18"/>
              </w:rPr>
              <w:t>3</w:t>
            </w:r>
          </w:p>
        </w:tc>
        <w:tc>
          <w:tcPr>
            <w:tcW w:w="1800" w:type="dxa"/>
            <w:tcBorders>
              <w:top w:val="single" w:color="010000" w:sz="4" w:space="0"/>
              <w:left w:val="nil"/>
              <w:bottom w:val="single" w:color="010000" w:sz="4" w:space="0"/>
              <w:right w:val="single" w:color="010000" w:sz="4" w:space="0"/>
            </w:tcBorders>
            <w:noWrap w:val="0"/>
            <w:vAlign w:val="center"/>
          </w:tcPr>
          <w:p>
            <w:pPr>
              <w:spacing w:line="220" w:lineRule="atLeast"/>
              <w:jc w:val="center"/>
              <w:rPr>
                <w:rFonts w:hint="eastAsia" w:ascii="Times New Roman" w:hAnsi="Times New Roman" w:eastAsia="宋体" w:cs="Times New Roman"/>
              </w:rPr>
            </w:pPr>
            <w:r>
              <w:rPr>
                <w:rFonts w:hint="eastAsia" w:ascii="Times New Roman" w:hAnsi="Times New Roman" w:eastAsia="宋体" w:cs="Times New Roman"/>
                <w:lang w:val="en-US" w:eastAsia="zh-CN"/>
              </w:rPr>
              <w:t>补气</w:t>
            </w:r>
            <w:r>
              <w:rPr>
                <w:rFonts w:hint="eastAsia" w:ascii="Times New Roman" w:hAnsi="Times New Roman" w:eastAsia="宋体" w:cs="Times New Roman"/>
              </w:rPr>
              <w:t>控制器</w:t>
            </w:r>
          </w:p>
        </w:tc>
        <w:tc>
          <w:tcPr>
            <w:tcW w:w="1274" w:type="dxa"/>
            <w:tcBorders>
              <w:top w:val="single" w:color="010000" w:sz="4" w:space="0"/>
              <w:left w:val="nil"/>
              <w:bottom w:val="single" w:color="010000" w:sz="4" w:space="0"/>
              <w:right w:val="single" w:color="010000" w:sz="4" w:space="0"/>
            </w:tcBorders>
            <w:noWrap w:val="0"/>
            <w:vAlign w:val="center"/>
          </w:tcPr>
          <w:p>
            <w:pPr>
              <w:jc w:val="center"/>
              <w:rPr>
                <w:rFonts w:hint="eastAsia" w:ascii="宋体" w:hAnsi="宋体" w:cs="Arial"/>
                <w:bCs/>
                <w:color w:val="000000"/>
                <w:kern w:val="0"/>
                <w:sz w:val="18"/>
                <w:szCs w:val="18"/>
              </w:rPr>
            </w:pPr>
            <w:r>
              <w:rPr>
                <w:rFonts w:hint="eastAsia" w:ascii="宋体" w:hAnsi="宋体" w:cs="Arial"/>
                <w:bCs/>
                <w:color w:val="000000"/>
                <w:kern w:val="0"/>
                <w:sz w:val="18"/>
                <w:szCs w:val="18"/>
              </w:rPr>
              <w:t>/</w:t>
            </w:r>
          </w:p>
        </w:tc>
        <w:tc>
          <w:tcPr>
            <w:tcW w:w="2754" w:type="dxa"/>
            <w:tcBorders>
              <w:top w:val="single" w:color="010000" w:sz="4" w:space="0"/>
              <w:left w:val="single" w:color="010000" w:sz="4" w:space="0"/>
              <w:bottom w:val="single" w:color="010000" w:sz="4" w:space="0"/>
              <w:right w:val="single" w:color="010000" w:sz="4" w:space="0"/>
            </w:tcBorders>
            <w:noWrap w:val="0"/>
            <w:vAlign w:val="center"/>
          </w:tcPr>
          <w:p>
            <w:pPr>
              <w:widowControl/>
              <w:jc w:val="left"/>
              <w:rPr>
                <w:rFonts w:hint="default" w:ascii="宋体" w:hAnsi="宋体" w:eastAsia="宋体" w:cs="Arial"/>
                <w:bCs/>
                <w:color w:val="000000"/>
                <w:kern w:val="0"/>
                <w:sz w:val="18"/>
                <w:szCs w:val="18"/>
              </w:rPr>
            </w:pPr>
            <w:r>
              <w:rPr>
                <w:rFonts w:hint="eastAsia" w:ascii="宋体" w:hAnsi="宋体" w:eastAsia="宋体" w:cs="Arial"/>
                <w:bCs/>
                <w:color w:val="000000"/>
                <w:kern w:val="0"/>
                <w:sz w:val="18"/>
                <w:szCs w:val="18"/>
              </w:rPr>
              <w:t> </w:t>
            </w:r>
            <w:r>
              <w:rPr>
                <w:rFonts w:hint="default" w:ascii="宋体" w:hAnsi="宋体" w:eastAsia="宋体" w:cs="Arial"/>
                <w:bCs/>
                <w:color w:val="000000"/>
                <w:kern w:val="0"/>
                <w:sz w:val="18"/>
                <w:szCs w:val="18"/>
              </w:rPr>
              <w:t>自动压力控制（联动压力表</w:t>
            </w:r>
            <w:r>
              <w:rPr>
                <w:rFonts w:hint="eastAsia" w:ascii="宋体" w:hAnsi="宋体" w:eastAsia="宋体" w:cs="Arial"/>
                <w:bCs/>
                <w:color w:val="000000"/>
                <w:kern w:val="0"/>
                <w:sz w:val="18"/>
                <w:szCs w:val="18"/>
                <w:lang w:val="en-US" w:eastAsia="zh-CN"/>
              </w:rPr>
              <w:t>与</w:t>
            </w:r>
            <w:r>
              <w:rPr>
                <w:rFonts w:hint="default" w:ascii="宋体" w:hAnsi="宋体" w:eastAsia="宋体" w:cs="Arial"/>
                <w:bCs/>
                <w:color w:val="000000"/>
                <w:kern w:val="0"/>
                <w:sz w:val="18"/>
                <w:szCs w:val="18"/>
              </w:rPr>
              <w:t>阀门）</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 响应时间：&lt;0.5s</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 气瓶压力检测</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人机界面：</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 压力阈值设定/显示/报警</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 状态指示/复位/电量显示</w:t>
            </w:r>
          </w:p>
          <w:p>
            <w:pPr>
              <w:widowControl/>
              <w:jc w:val="left"/>
              <w:rPr>
                <w:rFonts w:hint="eastAsia" w:ascii="宋体" w:hAnsi="宋体" w:eastAsia="宋体" w:cs="Arial"/>
                <w:bCs/>
                <w:color w:val="000000"/>
                <w:kern w:val="0"/>
                <w:sz w:val="18"/>
                <w:szCs w:val="18"/>
              </w:rPr>
            </w:pPr>
            <w:r>
              <w:rPr>
                <w:rFonts w:hint="eastAsia" w:ascii="宋体" w:hAnsi="宋体" w:cs="Arial"/>
                <w:bCs/>
                <w:color w:val="000000"/>
                <w:kern w:val="0"/>
                <w:sz w:val="18"/>
                <w:szCs w:val="18"/>
                <w:lang w:val="en-US" w:eastAsia="zh-CN"/>
              </w:rPr>
              <w:t>手持式设计</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兼容性：电气信号/通讯协议匹配最终装置</w:t>
            </w:r>
            <w:r>
              <w:rPr>
                <w:rFonts w:hint="default" w:ascii="宋体" w:hAnsi="宋体" w:eastAsia="宋体" w:cs="Arial"/>
                <w:bCs/>
                <w:color w:val="000000"/>
                <w:kern w:val="0"/>
                <w:sz w:val="18"/>
                <w:szCs w:val="18"/>
              </w:rPr>
              <w:br w:type="textWrapping"/>
            </w:r>
            <w:r>
              <w:rPr>
                <w:rFonts w:hint="default" w:ascii="宋体" w:hAnsi="宋体" w:eastAsia="宋体" w:cs="Arial"/>
                <w:bCs/>
                <w:color w:val="000000"/>
                <w:kern w:val="0"/>
                <w:sz w:val="18"/>
                <w:szCs w:val="18"/>
              </w:rPr>
              <w:t>安全标准：符合相关电气安全标准</w:t>
            </w:r>
          </w:p>
        </w:tc>
        <w:tc>
          <w:tcPr>
            <w:tcW w:w="765" w:type="dxa"/>
            <w:tcBorders>
              <w:top w:val="single" w:color="010000" w:sz="4" w:space="0"/>
              <w:left w:val="nil"/>
              <w:bottom w:val="single" w:color="010000" w:sz="4" w:space="0"/>
              <w:right w:val="single" w:color="010000" w:sz="4" w:space="0"/>
            </w:tcBorders>
            <w:noWrap w:val="0"/>
            <w:vAlign w:val="center"/>
          </w:tcPr>
          <w:p>
            <w:pPr>
              <w:widowControl/>
              <w:jc w:val="center"/>
              <w:rPr>
                <w:rFonts w:hint="eastAsia" w:ascii="宋体" w:hAnsi="宋体" w:cs="Arial"/>
                <w:bCs/>
                <w:color w:val="000000"/>
                <w:kern w:val="0"/>
                <w:sz w:val="18"/>
                <w:szCs w:val="18"/>
              </w:rPr>
            </w:pPr>
            <w:r>
              <w:rPr>
                <w:rFonts w:hint="eastAsia" w:ascii="宋体" w:hAnsi="宋体" w:cs="Arial"/>
                <w:bCs/>
                <w:color w:val="000000"/>
                <w:kern w:val="0"/>
                <w:sz w:val="18"/>
                <w:szCs w:val="18"/>
                <w:lang w:val="en-US" w:eastAsia="zh-CN"/>
              </w:rPr>
              <w:t>1</w:t>
            </w:r>
          </w:p>
        </w:tc>
        <w:tc>
          <w:tcPr>
            <w:tcW w:w="960" w:type="dxa"/>
            <w:tcBorders>
              <w:top w:val="single" w:color="010000" w:sz="4" w:space="0"/>
              <w:left w:val="nil"/>
              <w:bottom w:val="single" w:color="010000" w:sz="4" w:space="0"/>
              <w:right w:val="single" w:color="010000" w:sz="4" w:space="0"/>
            </w:tcBorders>
            <w:noWrap w:val="0"/>
            <w:vAlign w:val="center"/>
          </w:tcPr>
          <w:p>
            <w:pPr>
              <w:jc w:val="center"/>
              <w:rPr>
                <w:rFonts w:hint="eastAsia" w:ascii="宋体" w:hAnsi="宋体" w:eastAsia="宋体" w:cs="Arial"/>
                <w:bCs/>
                <w:color w:val="000000"/>
                <w:kern w:val="0"/>
                <w:sz w:val="18"/>
                <w:szCs w:val="18"/>
                <w:lang w:eastAsia="zh-CN"/>
              </w:rPr>
            </w:pPr>
            <w:r>
              <w:rPr>
                <w:rFonts w:hint="eastAsia" w:ascii="宋体" w:hAnsi="宋体" w:cs="Arial"/>
                <w:bCs/>
                <w:color w:val="000000"/>
                <w:kern w:val="0"/>
                <w:sz w:val="18"/>
                <w:szCs w:val="18"/>
                <w:lang w:val="en-US" w:eastAsia="zh-CN"/>
              </w:rPr>
              <w:t>个</w:t>
            </w:r>
          </w:p>
        </w:tc>
      </w:tr>
      <w:tr>
        <w:tblPrEx>
          <w:tblCellMar>
            <w:top w:w="0" w:type="dxa"/>
            <w:left w:w="108" w:type="dxa"/>
            <w:bottom w:w="0" w:type="dxa"/>
            <w:right w:w="108" w:type="dxa"/>
          </w:tblCellMar>
        </w:tblPrEx>
        <w:trPr>
          <w:trHeight w:val="642" w:hRule="atLeast"/>
        </w:trPr>
        <w:tc>
          <w:tcPr>
            <w:tcW w:w="578" w:type="dxa"/>
            <w:tcBorders>
              <w:top w:val="single" w:color="010000" w:sz="4" w:space="0"/>
              <w:left w:val="single" w:color="010000" w:sz="4" w:space="0"/>
              <w:bottom w:val="single" w:color="010000" w:sz="4" w:space="0"/>
              <w:right w:val="single" w:color="010000" w:sz="4" w:space="0"/>
            </w:tcBorders>
            <w:noWrap w:val="0"/>
            <w:vAlign w:val="center"/>
          </w:tcPr>
          <w:p>
            <w:pPr>
              <w:jc w:val="center"/>
              <w:rPr>
                <w:rFonts w:hint="eastAsia" w:ascii="宋体" w:hAnsi="宋体" w:eastAsia="宋体" w:cs="Arial"/>
                <w:bCs/>
                <w:color w:val="000000"/>
                <w:kern w:val="0"/>
                <w:sz w:val="18"/>
                <w:szCs w:val="18"/>
                <w:lang w:val="en-US" w:eastAsia="zh-CN"/>
              </w:rPr>
            </w:pPr>
            <w:r>
              <w:rPr>
                <w:rFonts w:hint="eastAsia" w:ascii="宋体" w:hAnsi="宋体" w:cs="Arial"/>
                <w:bCs/>
                <w:color w:val="000000"/>
                <w:kern w:val="0"/>
                <w:sz w:val="18"/>
                <w:szCs w:val="18"/>
                <w:lang w:val="en-US" w:eastAsia="zh-CN"/>
              </w:rPr>
              <w:t>4</w:t>
            </w:r>
          </w:p>
        </w:tc>
        <w:tc>
          <w:tcPr>
            <w:tcW w:w="1800" w:type="dxa"/>
            <w:tcBorders>
              <w:top w:val="single" w:color="010000" w:sz="4" w:space="0"/>
              <w:left w:val="nil"/>
              <w:bottom w:val="single" w:color="010000" w:sz="4" w:space="0"/>
              <w:right w:val="single" w:color="010000" w:sz="4" w:space="0"/>
            </w:tcBorders>
            <w:noWrap w:val="0"/>
            <w:vAlign w:val="center"/>
          </w:tcPr>
          <w:p>
            <w:pPr>
              <w:spacing w:line="220" w:lineRule="atLeast"/>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接头软管</w:t>
            </w:r>
          </w:p>
        </w:tc>
        <w:tc>
          <w:tcPr>
            <w:tcW w:w="1274" w:type="dxa"/>
            <w:tcBorders>
              <w:top w:val="single" w:color="010000" w:sz="4" w:space="0"/>
              <w:left w:val="nil"/>
              <w:bottom w:val="single" w:color="010000" w:sz="4" w:space="0"/>
              <w:right w:val="single" w:color="010000" w:sz="4" w:space="0"/>
            </w:tcBorders>
            <w:noWrap w:val="0"/>
            <w:vAlign w:val="center"/>
          </w:tcPr>
          <w:p>
            <w:pPr>
              <w:jc w:val="center"/>
              <w:rPr>
                <w:rFonts w:hint="eastAsia" w:ascii="宋体" w:hAnsi="宋体" w:cs="Arial"/>
                <w:bCs/>
                <w:color w:val="000000"/>
                <w:kern w:val="0"/>
                <w:sz w:val="18"/>
                <w:szCs w:val="18"/>
              </w:rPr>
            </w:pPr>
            <w:r>
              <w:rPr>
                <w:rFonts w:hint="eastAsia" w:ascii="宋体" w:hAnsi="宋体" w:cs="Arial"/>
                <w:bCs/>
                <w:color w:val="000000"/>
                <w:kern w:val="0"/>
                <w:sz w:val="18"/>
                <w:szCs w:val="18"/>
              </w:rPr>
              <w:t>/</w:t>
            </w:r>
          </w:p>
        </w:tc>
        <w:tc>
          <w:tcPr>
            <w:tcW w:w="2754" w:type="dxa"/>
            <w:tcBorders>
              <w:top w:val="single" w:color="010000" w:sz="4" w:space="0"/>
              <w:left w:val="single" w:color="010000" w:sz="4" w:space="0"/>
              <w:bottom w:val="single" w:color="010000" w:sz="4" w:space="0"/>
              <w:right w:val="single" w:color="010000" w:sz="4" w:space="0"/>
            </w:tcBorders>
            <w:noWrap w:val="0"/>
            <w:vAlign w:val="center"/>
          </w:tcPr>
          <w:p>
            <w:pPr>
              <w:widowControl/>
              <w:jc w:val="left"/>
              <w:rPr>
                <w:rFonts w:hint="default"/>
              </w:rPr>
            </w:pPr>
            <w:r>
              <w:rPr>
                <w:rFonts w:hint="default"/>
              </w:rPr>
              <w:t>结构：</w:t>
            </w:r>
            <w:r>
              <w:rPr>
                <w:rFonts w:hint="eastAsia"/>
                <w:lang w:val="en-US" w:eastAsia="zh-CN"/>
              </w:rPr>
              <w:t>通气管道</w:t>
            </w:r>
            <w:r>
              <w:rPr>
                <w:rFonts w:hint="default"/>
              </w:rPr>
              <w:t>耐腐蚀金属</w:t>
            </w:r>
            <w:r>
              <w:rPr>
                <w:rFonts w:hint="default"/>
              </w:rPr>
              <w:br w:type="textWrapping"/>
            </w:r>
            <w:r>
              <w:rPr>
                <w:rFonts w:hint="default"/>
              </w:rPr>
              <w:t>可靠性：高密封性</w:t>
            </w:r>
          </w:p>
          <w:p>
            <w:pPr>
              <w:pStyle w:val="2"/>
              <w:ind w:left="0" w:leftChars="0" w:firstLine="0" w:firstLineChars="0"/>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长度：5米</w:t>
            </w:r>
          </w:p>
          <w:p>
            <w:pPr>
              <w:pStyle w:val="3"/>
              <w:jc w:val="both"/>
              <w:rPr>
                <w:rFonts w:hint="default"/>
                <w:lang w:val="en-US" w:eastAsia="zh-CN"/>
              </w:rPr>
            </w:pPr>
            <w:r>
              <w:rPr>
                <w:rFonts w:hint="eastAsia" w:ascii="Times New Roman" w:hAnsi="Times New Roman" w:eastAsia="宋体" w:cs="Times New Roman"/>
                <w:b w:val="0"/>
                <w:bCs w:val="0"/>
                <w:kern w:val="2"/>
                <w:sz w:val="21"/>
                <w:szCs w:val="24"/>
                <w:lang w:val="en-US" w:eastAsia="zh-CN" w:bidi="ar-SA"/>
              </w:rPr>
              <w:t>M26X1.5</w:t>
            </w:r>
          </w:p>
        </w:tc>
        <w:tc>
          <w:tcPr>
            <w:tcW w:w="765" w:type="dxa"/>
            <w:tcBorders>
              <w:top w:val="single" w:color="010000" w:sz="4" w:space="0"/>
              <w:left w:val="nil"/>
              <w:bottom w:val="single" w:color="010000" w:sz="4" w:space="0"/>
              <w:right w:val="single" w:color="010000" w:sz="4" w:space="0"/>
            </w:tcBorders>
            <w:noWrap w:val="0"/>
            <w:vAlign w:val="center"/>
          </w:tcPr>
          <w:p>
            <w:pPr>
              <w:widowControl/>
              <w:jc w:val="center"/>
              <w:rPr>
                <w:rFonts w:hint="eastAsia" w:ascii="宋体" w:hAnsi="宋体" w:cs="Arial"/>
                <w:bCs/>
                <w:color w:val="000000"/>
                <w:kern w:val="0"/>
                <w:sz w:val="18"/>
                <w:szCs w:val="18"/>
              </w:rPr>
            </w:pPr>
            <w:r>
              <w:rPr>
                <w:rFonts w:hint="eastAsia" w:ascii="宋体" w:hAnsi="宋体" w:cs="Arial"/>
                <w:bCs/>
                <w:color w:val="000000"/>
                <w:kern w:val="0"/>
                <w:sz w:val="18"/>
                <w:szCs w:val="18"/>
                <w:lang w:val="en-US" w:eastAsia="zh-CN"/>
              </w:rPr>
              <w:t>1</w:t>
            </w:r>
          </w:p>
        </w:tc>
        <w:tc>
          <w:tcPr>
            <w:tcW w:w="960" w:type="dxa"/>
            <w:tcBorders>
              <w:top w:val="single" w:color="010000" w:sz="4" w:space="0"/>
              <w:left w:val="nil"/>
              <w:bottom w:val="single" w:color="010000" w:sz="4" w:space="0"/>
              <w:right w:val="single" w:color="010000" w:sz="4" w:space="0"/>
            </w:tcBorders>
            <w:noWrap w:val="0"/>
            <w:vAlign w:val="center"/>
          </w:tcPr>
          <w:p>
            <w:pPr>
              <w:widowControl/>
              <w:jc w:val="center"/>
              <w:rPr>
                <w:rFonts w:hint="eastAsia" w:ascii="宋体" w:hAnsi="宋体" w:cs="Arial"/>
                <w:bCs/>
                <w:color w:val="000000"/>
                <w:kern w:val="0"/>
                <w:sz w:val="18"/>
                <w:szCs w:val="18"/>
              </w:rPr>
            </w:pPr>
            <w:r>
              <w:rPr>
                <w:rFonts w:hint="eastAsia" w:ascii="宋体" w:hAnsi="宋体" w:cs="Arial"/>
                <w:bCs/>
                <w:color w:val="000000"/>
                <w:kern w:val="0"/>
                <w:sz w:val="18"/>
                <w:szCs w:val="18"/>
              </w:rPr>
              <w:t>套</w:t>
            </w:r>
          </w:p>
        </w:tc>
      </w:tr>
    </w:tbl>
    <w:p>
      <w:pPr>
        <w:numPr>
          <w:ilvl w:val="0"/>
          <w:numId w:val="1"/>
        </w:numPr>
        <w:ind w:firstLine="420" w:firstLineChars="0"/>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lang w:eastAsia="zh-CN"/>
        </w:rPr>
        <w:t>其他</w:t>
      </w:r>
      <w:r>
        <w:rPr>
          <w:rFonts w:hint="eastAsia" w:ascii="Times New Roman" w:hAnsi="Times New Roman" w:eastAsia="宋体" w:cs="Times New Roman"/>
          <w:b/>
          <w:bCs/>
          <w:sz w:val="32"/>
          <w:szCs w:val="32"/>
        </w:rPr>
        <w:t>要求：</w:t>
      </w:r>
    </w:p>
    <w:p>
      <w:pPr>
        <w:ind w:firstLine="420" w:firstLineChars="0"/>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rPr>
        <w:t>成交通知书发出（或签约）——30天内完成材料交付</w:t>
      </w:r>
      <w:r>
        <w:rPr>
          <w:rFonts w:hint="eastAsia" w:cs="Times New Roman"/>
          <w:sz w:val="28"/>
          <w:szCs w:val="28"/>
          <w:lang w:eastAsia="zh-CN"/>
        </w:rPr>
        <w:t>，</w:t>
      </w:r>
      <w:r>
        <w:rPr>
          <w:rFonts w:hint="eastAsia" w:cs="Times New Roman"/>
          <w:sz w:val="28"/>
          <w:szCs w:val="28"/>
          <w:lang w:val="en-US" w:eastAsia="zh-CN"/>
        </w:rPr>
        <w:t>保质期1年，期间上述零部件出现任何质量问题均由中标单位承担维修或更换费用。</w:t>
      </w:r>
    </w:p>
    <w:p>
      <w:pPr>
        <w:ind w:firstLine="420" w:firstLineChars="0"/>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2.为确保</w:t>
      </w:r>
      <w:r>
        <w:rPr>
          <w:rFonts w:hint="eastAsia" w:cs="Times New Roman"/>
          <w:kern w:val="2"/>
          <w:sz w:val="28"/>
          <w:szCs w:val="28"/>
          <w:lang w:val="en-US" w:eastAsia="zh-CN" w:bidi="ar-SA"/>
        </w:rPr>
        <w:t>项目的顺利进行以及材料的如期交付</w:t>
      </w:r>
      <w:bookmarkStart w:id="0" w:name="_GoBack"/>
      <w:bookmarkEnd w:id="0"/>
      <w:r>
        <w:rPr>
          <w:rFonts w:hint="eastAsia" w:ascii="Times New Roman" w:hAnsi="Times New Roman" w:eastAsia="宋体" w:cs="Times New Roman"/>
          <w:kern w:val="2"/>
          <w:sz w:val="28"/>
          <w:szCs w:val="28"/>
          <w:lang w:val="en-US" w:eastAsia="zh-CN" w:bidi="ar-SA"/>
        </w:rPr>
        <w:t>，参与本项目的投标公司应满足以下条件：</w:t>
      </w:r>
    </w:p>
    <w:p>
      <w:pPr>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（1）投标公司须为依法注册成立的企业法人，且自公司成立之日起至招标公告发布之日止，公司成立时间不少于五年。</w:t>
      </w:r>
    </w:p>
    <w:p>
      <w:pPr>
        <w:pStyle w:val="2"/>
        <w:ind w:left="0" w:leftChars="0" w:firstLine="0" w:firstLineChars="0"/>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（2）投标公司需目前不存在任何商业纠纷。</w:t>
      </w:r>
    </w:p>
    <w:p>
      <w:pPr>
        <w:rPr>
          <w:rFonts w:hint="default"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（3）为加快推动项目整体研发进度，成交通知书发出（或签约）3日内材料供应商需配合甲方外派驻点技术开发人员1名，配合进行补气控制器的逻辑选择</w:t>
      </w:r>
      <w:r>
        <w:rPr>
          <w:rFonts w:hint="eastAsia" w:cs="Times New Roman"/>
          <w:kern w:val="2"/>
          <w:sz w:val="28"/>
          <w:szCs w:val="28"/>
          <w:lang w:val="en-US" w:eastAsia="zh-CN" w:bidi="ar-SA"/>
        </w:rPr>
        <w:t>以及材料的</w:t>
      </w:r>
      <w:r>
        <w:rPr>
          <w:rFonts w:hint="eastAsia" w:ascii="Times New Roman" w:hAnsi="Times New Roman" w:eastAsia="宋体" w:cs="Times New Roman"/>
          <w:kern w:val="2"/>
          <w:sz w:val="28"/>
          <w:szCs w:val="28"/>
          <w:lang w:val="en-US" w:eastAsia="zh-CN" w:bidi="ar-SA"/>
        </w:rPr>
        <w:t>选</w:t>
      </w:r>
      <w:r>
        <w:rPr>
          <w:rFonts w:hint="eastAsia" w:cs="Times New Roman"/>
          <w:kern w:val="2"/>
          <w:sz w:val="28"/>
          <w:szCs w:val="28"/>
          <w:lang w:val="en-US" w:eastAsia="zh-CN" w:bidi="ar-SA"/>
        </w:rPr>
        <w:t>形</w:t>
      </w:r>
      <w:r>
        <w:rPr>
          <w:rFonts w:hint="eastAsia" w:ascii="Times New Roman" w:hAnsi="Times New Roman" w:eastAsia="宋体" w:cs="Times New Roman"/>
          <w:kern w:val="2"/>
          <w:sz w:val="28"/>
          <w:szCs w:val="28"/>
          <w:lang w:val="en-US" w:eastAsia="zh-CN" w:bidi="ar-SA"/>
        </w:rPr>
        <w:t>。</w:t>
      </w:r>
    </w:p>
    <w:p>
      <w:pPr>
        <w:keepNext w:val="0"/>
        <w:keepLines w:val="0"/>
        <w:widowControl w:val="0"/>
        <w:suppressLineNumbers w:val="0"/>
        <w:spacing w:before="0" w:beforeAutospacing="0" w:after="0" w:afterAutospacing="0"/>
        <w:ind w:right="0"/>
        <w:jc w:val="left"/>
        <w:rPr>
          <w:rFonts w:hint="eastAsia"/>
          <w:b w:val="0"/>
          <w:bCs w:val="0"/>
          <w:lang w:val="en-US" w:eastAsia="zh-CN"/>
        </w:rPr>
      </w:pPr>
      <w:r>
        <w:rPr>
          <w:rFonts w:hint="eastAsia" w:ascii="Times New Roman" w:hAnsi="Times New Roman" w:eastAsia="宋体" w:cs="Times New Roman"/>
          <w:kern w:val="2"/>
          <w:sz w:val="28"/>
          <w:szCs w:val="28"/>
          <w:lang w:val="en-US" w:eastAsia="zh-CN" w:bidi="ar-SA"/>
        </w:rPr>
        <w:t>（</w:t>
      </w:r>
      <w:r>
        <w:rPr>
          <w:rFonts w:hint="eastAsia" w:cs="Times New Roman"/>
          <w:kern w:val="2"/>
          <w:sz w:val="28"/>
          <w:szCs w:val="28"/>
          <w:lang w:val="en-US" w:eastAsia="zh-CN" w:bidi="ar-SA"/>
        </w:rPr>
        <w:t>4</w:t>
      </w:r>
      <w:r>
        <w:rPr>
          <w:rFonts w:hint="eastAsia" w:ascii="Times New Roman" w:hAnsi="Times New Roman" w:eastAsia="宋体" w:cs="Times New Roman"/>
          <w:kern w:val="2"/>
          <w:sz w:val="28"/>
          <w:szCs w:val="28"/>
          <w:lang w:val="en-US" w:eastAsia="zh-CN" w:bidi="ar-SA"/>
        </w:rPr>
        <w:t>）如因材料供应商自身原因，甲方出具整改通知书后仍不能完成本项目相关材料采购任务，甲方执行《中国南方电网有限责任公司供应商失信扣分管理细则（2023年版）》附录C“南方电网公司供应商扣分条款”第16021项执行的扣分，按四舍五入保留小数点后两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08D0D"/>
    <w:multiLevelType w:val="singleLevel"/>
    <w:tmpl w:val="83408D0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341C66"/>
    <w:rsid w:val="005A1382"/>
    <w:rsid w:val="02A44DE3"/>
    <w:rsid w:val="0E464928"/>
    <w:rsid w:val="0FD57709"/>
    <w:rsid w:val="19797CED"/>
    <w:rsid w:val="31B335C5"/>
    <w:rsid w:val="32341C66"/>
    <w:rsid w:val="33FB5112"/>
    <w:rsid w:val="37460B3B"/>
    <w:rsid w:val="3D6650E7"/>
    <w:rsid w:val="437B5369"/>
    <w:rsid w:val="446C2B8F"/>
    <w:rsid w:val="56464A92"/>
    <w:rsid w:val="5741089C"/>
    <w:rsid w:val="63C811DC"/>
    <w:rsid w:val="668558D4"/>
    <w:rsid w:val="680358AA"/>
    <w:rsid w:val="740D3927"/>
    <w:rsid w:val="7D8232B2"/>
    <w:rsid w:val="7DEA4B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ind w:firstLine="880" w:firstLineChars="200"/>
    </w:pPr>
    <w:rPr>
      <w:rFonts w:ascii="仿宋_GB2312" w:hAnsi="仿宋_GB2312" w:eastAsia="仿宋_GB2312" w:cs="Arial"/>
      <w:sz w:val="32"/>
      <w:szCs w:val="20"/>
    </w:rPr>
  </w:style>
  <w:style w:type="paragraph" w:styleId="3">
    <w:name w:val="Title"/>
    <w:basedOn w:val="1"/>
    <w:next w:val="1"/>
    <w:qFormat/>
    <w:uiPriority w:val="0"/>
    <w:pPr>
      <w:spacing w:before="240" w:after="60"/>
      <w:jc w:val="center"/>
      <w:outlineLvl w:val="0"/>
    </w:pPr>
    <w:rPr>
      <w:rFonts w:ascii="Cambria" w:hAnsi="Cambria"/>
      <w:b/>
      <w:bCs/>
      <w:kern w:val="0"/>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258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2025-07-22T13:54:00Z</dcterms:created>
  <dc:creator>Clear</dc:creator>
  <cp:lastModifiedBy>83959D0616D5405CA90847BCB23E7EE0</cp:lastModifiedBy>
  <dcterms:modified xsi:type="dcterms:W3CDTF">2025-08-22T06:59:27Z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EAE0A75CB3814C529834E5384C2E4A1E_11</vt:lpwstr>
  </property>
  <property fmtid="{D5CDD505-2E9C-101B-9397-08002B2CF9AE}" pid="4" name="KSOTemplateDocerSaveRecord">
    <vt:lpwstr>eyJoZGlkIjoiZmQ4MTlmNmU3MzdmMDZkNWQ2YjE5NWVkYjVmNTJiYWMiLCJ1c2VySWQiOiI1MDU2Mjc3MjUifQ==</vt:lpwstr>
  </property>
</Properties>
</file>