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36"/>
          <w:szCs w:val="28"/>
          <w:lang w:val="en-US" w:eastAsia="zh-CN"/>
        </w:rPr>
      </w:pPr>
      <w:r>
        <w:rPr>
          <w:rFonts w:hint="eastAsia" w:ascii="方正小标宋_GBK" w:hAnsi="方正小标宋_GBK" w:eastAsia="方正小标宋_GBK" w:cs="方正小标宋_GBK"/>
          <w:sz w:val="36"/>
          <w:szCs w:val="28"/>
          <w:lang w:val="en-US" w:eastAsia="zh-CN"/>
        </w:rPr>
        <w:t>南网通航公司办公场地空气治理服务采购项目</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36"/>
          <w:szCs w:val="28"/>
          <w:lang w:val="en-US" w:eastAsia="zh-CN"/>
        </w:rPr>
      </w:pPr>
      <w:r>
        <w:rPr>
          <w:rFonts w:hint="eastAsia" w:ascii="方正小标宋_GBK" w:hAnsi="方正小标宋_GBK" w:eastAsia="方正小标宋_GBK" w:cs="方正小标宋_GBK"/>
          <w:sz w:val="36"/>
          <w:szCs w:val="28"/>
          <w:lang w:val="en-US" w:eastAsia="zh-CN"/>
        </w:rPr>
        <w:t>技术条件书</w:t>
      </w:r>
    </w:p>
    <w:p>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640" w:leftChars="0" w:firstLine="640" w:firstLineChars="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项目概况</w:t>
      </w:r>
    </w:p>
    <w:p>
      <w:pPr>
        <w:pStyle w:val="17"/>
        <w:keepNext w:val="0"/>
        <w:keepLines w:val="0"/>
        <w:pageBreakBefore w:val="0"/>
        <w:widowControl w:val="0"/>
        <w:numPr>
          <w:ilvl w:val="0"/>
          <w:numId w:val="0"/>
        </w:numPr>
        <w:tabs>
          <w:tab w:val="left" w:pos="1556"/>
        </w:tabs>
        <w:kinsoku/>
        <w:wordWrap/>
        <w:overflowPunct/>
        <w:topLinePunct w:val="0"/>
        <w:autoSpaceDE/>
        <w:autoSpaceDN/>
        <w:bidi w:val="0"/>
        <w:adjustRightInd/>
        <w:snapToGrid/>
        <w:spacing w:before="0" w:after="0" w:line="560" w:lineRule="exact"/>
        <w:ind w:left="0" w:right="0" w:rightChars="0" w:firstLine="640" w:firstLineChars="200"/>
        <w:jc w:val="left"/>
        <w:textAlignment w:val="auto"/>
        <w:rPr>
          <w:rFonts w:hint="default" w:ascii="仿宋_GB2312" w:hAnsi="仿宋_GB2312" w:eastAsia="仿宋_GB2312" w:cs="仿宋_GB2312"/>
          <w:kern w:val="2"/>
          <w:sz w:val="32"/>
          <w:szCs w:val="32"/>
          <w:lang w:val="en-US" w:eastAsia="zh-CN" w:bidi="zh-CN"/>
        </w:rPr>
      </w:pPr>
      <w:r>
        <w:rPr>
          <w:rFonts w:hint="eastAsia" w:cs="仿宋_GB2312"/>
          <w:kern w:val="2"/>
          <w:sz w:val="32"/>
          <w:szCs w:val="32"/>
          <w:lang w:val="en-US" w:eastAsia="zh-CN" w:bidi="zh-CN"/>
        </w:rPr>
        <w:t>公司新租赁办公场地黄埔科技园1号楼</w:t>
      </w:r>
      <w:r>
        <w:rPr>
          <w:rFonts w:hint="eastAsia" w:ascii="仿宋_GB2312" w:hAnsi="仿宋_GB2312" w:eastAsia="仿宋_GB2312" w:cs="仿宋_GB2312"/>
          <w:sz w:val="32"/>
          <w:szCs w:val="32"/>
          <w:lang w:val="en-US" w:eastAsia="zh-CN" w:bidi="zh-CN"/>
        </w:rPr>
        <w:t>1</w:t>
      </w:r>
      <w:r>
        <w:rPr>
          <w:rFonts w:hint="eastAsia" w:cs="仿宋_GB2312"/>
          <w:sz w:val="32"/>
          <w:szCs w:val="32"/>
          <w:lang w:val="en-US" w:eastAsia="zh-CN" w:bidi="zh-CN"/>
        </w:rPr>
        <w:t>1-13</w:t>
      </w:r>
      <w:r>
        <w:rPr>
          <w:rFonts w:hint="eastAsia" w:ascii="仿宋_GB2312" w:hAnsi="仿宋_GB2312" w:eastAsia="仿宋_GB2312" w:cs="仿宋_GB2312"/>
          <w:sz w:val="32"/>
          <w:szCs w:val="32"/>
          <w:lang w:val="en-US" w:eastAsia="zh-CN" w:bidi="zh-CN"/>
        </w:rPr>
        <w:t>层</w:t>
      </w:r>
      <w:r>
        <w:rPr>
          <w:rFonts w:hint="eastAsia" w:cs="仿宋_GB2312"/>
          <w:kern w:val="2"/>
          <w:sz w:val="32"/>
          <w:szCs w:val="32"/>
          <w:lang w:val="en-US" w:eastAsia="zh-CN" w:bidi="zh-CN"/>
        </w:rPr>
        <w:t>已完成装修，为进一步改善新办公场地空气质量，确保员工工作环境空气质量持续稳定，拟对办公场地内环境污染物进行综合治理，包括对装修物、家具所挥发</w:t>
      </w:r>
      <w:r>
        <w:rPr>
          <w:rFonts w:hint="eastAsia" w:ascii="仿宋_GB2312" w:hAnsi="仿宋_GB2312" w:eastAsia="仿宋_GB2312" w:cs="仿宋_GB2312"/>
          <w:sz w:val="32"/>
          <w:szCs w:val="32"/>
          <w:highlight w:val="none"/>
          <w:lang w:val="en-US" w:eastAsia="zh-CN" w:bidi="zh-CN"/>
        </w:rPr>
        <w:t>甲醛、苯、甲苯、二甲苯、TVOC以及</w:t>
      </w:r>
      <w:r>
        <w:rPr>
          <w:rFonts w:hint="eastAsia" w:cs="仿宋_GB2312"/>
          <w:sz w:val="32"/>
          <w:szCs w:val="32"/>
          <w:highlight w:val="none"/>
          <w:lang w:val="en-US" w:eastAsia="zh-CN" w:bidi="zh-CN"/>
        </w:rPr>
        <w:t>异味等有害气体的治理。</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640" w:leftChars="0" w:firstLine="640" w:firstLine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服务地点</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lang w:val="en-US" w:eastAsia="zh-CN" w:bidi="zh-CN"/>
        </w:rPr>
      </w:pPr>
      <w:r>
        <w:rPr>
          <w:rFonts w:hint="eastAsia" w:ascii="仿宋_GB2312" w:hAnsi="仿宋_GB2312" w:eastAsia="仿宋_GB2312" w:cs="仿宋_GB2312"/>
          <w:sz w:val="32"/>
          <w:szCs w:val="32"/>
          <w:lang w:val="en-US" w:eastAsia="zh-CN" w:bidi="zh-CN"/>
        </w:rPr>
        <w:t>广州市黄埔区彩频路6号黄埔科技园1号楼南方电网通用航空服务有限公司。</w:t>
      </w:r>
    </w:p>
    <w:p>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left="-640" w:leftChars="0" w:firstLine="640" w:firstLine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服务内容及要求</w:t>
      </w:r>
    </w:p>
    <w:p>
      <w:pPr>
        <w:widowControl/>
        <w:numPr>
          <w:ilvl w:val="-1"/>
          <w:numId w:val="0"/>
        </w:numPr>
        <w:adjustRightInd w:val="0"/>
        <w:snapToGrid w:val="0"/>
        <w:spacing w:line="560" w:lineRule="exact"/>
        <w:ind w:leftChars="0" w:firstLine="640" w:firstLineChars="200"/>
        <w:rPr>
          <w:rFonts w:hint="default" w:ascii="仿宋_GB2312" w:hAnsi="仿宋_GB2312" w:eastAsia="仿宋_GB2312" w:cs="仿宋_GB2312"/>
          <w:sz w:val="32"/>
          <w:szCs w:val="32"/>
          <w:lang w:val="en-US" w:eastAsia="zh-CN" w:bidi="zh-CN"/>
        </w:rPr>
      </w:pPr>
      <w:r>
        <w:rPr>
          <w:rFonts w:hint="eastAsia" w:ascii="仿宋_GB2312" w:hAnsi="仿宋_GB2312" w:eastAsia="仿宋_GB2312" w:cs="仿宋_GB2312"/>
          <w:color w:val="auto"/>
          <w:kern w:val="2"/>
          <w:sz w:val="32"/>
          <w:szCs w:val="32"/>
          <w:lang w:val="en-US" w:eastAsia="zh-CN" w:bidi="zh-CN"/>
        </w:rPr>
        <w:t>1.污染治理范围：本项目室内空气治理服务用于公司新租赁办公场黄埔科技园1号楼11-13层。主要包含员工办公区域、独立办公室、会议室、接待区、茶水间、卫生间等区域。治理前后需开展专项空气质量检测工作，作为质量效果的衡量标准。</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highlight w:val="none"/>
          <w:lang w:val="en-US" w:eastAsia="zh-CN" w:bidi="zh-CN"/>
        </w:rPr>
      </w:pPr>
      <w:r>
        <w:rPr>
          <w:rFonts w:hint="eastAsia" w:ascii="仿宋_GB2312" w:hAnsi="仿宋_GB2312" w:eastAsia="仿宋_GB2312" w:cs="仿宋_GB2312"/>
          <w:sz w:val="32"/>
          <w:szCs w:val="32"/>
          <w:highlight w:val="none"/>
          <w:lang w:val="en-US" w:eastAsia="zh-CN" w:bidi="zh-CN"/>
        </w:rPr>
        <w:t>2.治理技术要求：应采用先进、有效的空气污染治理技术，如光触媒技术、生物酶技术等，确保治理效果显著且持久。所使用的治理产品必须符合国家相关环保标准，具有无毒、无害、无二次污染等特点。需提供产品的质量检测报告、使用说明书等相关资料，所使用的光触媒产品具备正规资质的检测机构出具的检测报告复印件，该报告上须同时显示CMA和CNAS的认可标识，报告中的检测结果应同时包含甲醛、苯、甲苯、二甲苯、以及TVOC这五大关键指标的测定数据。对于不同的污染物和污染程度，应制定针对性的治理方案，确保治理措施科学合理。</w:t>
      </w:r>
    </w:p>
    <w:p>
      <w:pPr>
        <w:widowControl/>
        <w:numPr>
          <w:ilvl w:val="-1"/>
          <w:numId w:val="0"/>
        </w:numPr>
        <w:adjustRightInd w:val="0"/>
        <w:snapToGrid w:val="0"/>
        <w:spacing w:line="560" w:lineRule="exact"/>
        <w:ind w:leftChars="0" w:firstLine="640" w:firstLineChars="200"/>
        <w:rPr>
          <w:rFonts w:hint="eastAsia" w:ascii="仿宋_GB2312" w:hAnsi="仿宋_GB2312" w:eastAsia="仿宋_GB2312" w:cs="仿宋_GB2312"/>
          <w:sz w:val="32"/>
          <w:szCs w:val="32"/>
          <w:highlight w:val="none"/>
          <w:lang w:val="en-US" w:eastAsia="zh-CN" w:bidi="zh-CN"/>
        </w:rPr>
      </w:pPr>
      <w:r>
        <w:rPr>
          <w:rFonts w:hint="eastAsia" w:ascii="仿宋_GB2312" w:hAnsi="仿宋_GB2312" w:eastAsia="仿宋_GB2312" w:cs="仿宋_GB2312"/>
          <w:sz w:val="32"/>
          <w:szCs w:val="32"/>
          <w:highlight w:val="none"/>
          <w:lang w:val="en-US" w:eastAsia="zh-CN" w:bidi="zh-CN"/>
        </w:rPr>
        <w:t>3.治理效果要求：完成治理后，办公场地内各项污染物的浓度应符合国家相关标准要求，即甲醛浓度不超过 0.08mg/m³，苯浓度不超过 0.03mg/m³，甲苯浓度不超过 0.20mg/m³，二甲苯浓度不超过 0.20mg/m³，TVOC 浓度不超过 0.50mg/m³。在治理完成后3个自然日内进行验收检测，必须聘请有CMA资质的第三方检测机构进行检测验收。如检测结果不达标，应免费进行再次治理，直至达到标准要求。</w:t>
      </w:r>
    </w:p>
    <w:p>
      <w:pPr>
        <w:widowControl/>
        <w:numPr>
          <w:ilvl w:val="-1"/>
          <w:numId w:val="0"/>
        </w:numPr>
        <w:adjustRightInd w:val="0"/>
        <w:snapToGrid w:val="0"/>
        <w:spacing w:line="560" w:lineRule="exact"/>
        <w:ind w:leftChars="0" w:firstLine="640" w:firstLineChars="200"/>
        <w:rPr>
          <w:rFonts w:hint="default"/>
          <w:lang w:val="en-US" w:eastAsia="zh-CN"/>
        </w:rPr>
      </w:pPr>
      <w:r>
        <w:rPr>
          <w:rFonts w:hint="eastAsia" w:ascii="仿宋_GB2312" w:hAnsi="仿宋_GB2312" w:eastAsia="仿宋_GB2312" w:cs="仿宋_GB2312"/>
          <w:sz w:val="32"/>
          <w:szCs w:val="32"/>
          <w:highlight w:val="none"/>
          <w:lang w:val="en-US" w:eastAsia="zh-CN" w:bidi="zh-CN"/>
        </w:rPr>
        <w:t>4.污染检测要求：检测项目应包括但不限于甲醛、苯、甲苯、二甲苯、TVOC等常见有害气体。应严格按照国家相关标准执行，确保检测结果准确可靠。施工结束后，由采购人认可的第三方（具有CMA资质的官方检测机构）检测并提供有效检测报告。检测完成后，成交人/应在5个自然日内出具有法律效应带CMA资质检测报告，包括甲醛、苯、甲苯、二甲苯、TVOC五项数据。</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四、服务资格要求</w:t>
      </w:r>
      <w:bookmarkStart w:id="0" w:name="_Toc31008"/>
    </w:p>
    <w:p>
      <w:pPr>
        <w:keepNext w:val="0"/>
        <w:keepLines w:val="0"/>
        <w:pageBreakBefore w:val="0"/>
        <w:widowControl/>
        <w:numPr>
          <w:ilvl w:val="-1"/>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_GB2312" w:hAnsi="仿宋_GB2312" w:eastAsia="仿宋_GB2312" w:cs="仿宋_GB2312"/>
          <w:kern w:val="2"/>
          <w:sz w:val="32"/>
          <w:szCs w:val="32"/>
          <w:highlight w:val="none"/>
          <w:lang w:val="en-US" w:eastAsia="zh-CN" w:bidi="zh-CN"/>
        </w:rPr>
      </w:pPr>
      <w:r>
        <w:rPr>
          <w:rFonts w:hint="eastAsia" w:ascii="仿宋_GB2312" w:hAnsi="仿宋_GB2312" w:eastAsia="仿宋_GB2312" w:cs="仿宋_GB2312"/>
          <w:kern w:val="2"/>
          <w:sz w:val="32"/>
          <w:szCs w:val="32"/>
          <w:highlight w:val="none"/>
          <w:lang w:val="en-US" w:eastAsia="zh-CN" w:bidi="zh-CN"/>
        </w:rPr>
        <w:t>1.应具有独立法人资格，持有有效的营业执照。</w:t>
      </w:r>
    </w:p>
    <w:p>
      <w:pPr>
        <w:keepNext w:val="0"/>
        <w:keepLines w:val="0"/>
        <w:pageBreakBefore w:val="0"/>
        <w:widowControl/>
        <w:numPr>
          <w:ilvl w:val="-1"/>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2.应具有有效期内省级室内环境卫生行业协会颁发的室内环境污染治理甲级资质，须提供资质证书证明材料。</w:t>
      </w:r>
    </w:p>
    <w:p>
      <w:pPr>
        <w:keepNext w:val="0"/>
        <w:keepLines w:val="0"/>
        <w:pageBreakBefore w:val="0"/>
        <w:widowControl w:val="0"/>
        <w:numPr>
          <w:ilvl w:val="-1"/>
          <w:numId w:val="0"/>
        </w:numPr>
        <w:kinsoku/>
        <w:wordWrap/>
        <w:overflowPunct/>
        <w:topLinePunct w:val="0"/>
        <w:autoSpaceDE/>
        <w:autoSpaceDN/>
        <w:bidi w:val="0"/>
        <w:adjustRightInd/>
        <w:snapToGrid/>
        <w:spacing w:line="540" w:lineRule="exact"/>
        <w:textAlignment w:val="auto"/>
        <w:rPr>
          <w:rFonts w:hint="eastAsia" w:ascii="黑体" w:hAnsi="黑体" w:eastAsia="黑体" w:cs="黑体"/>
          <w:sz w:val="32"/>
          <w:szCs w:val="32"/>
          <w:lang w:val="zh-CN" w:eastAsia="zh-CN"/>
        </w:rPr>
      </w:pPr>
      <w:r>
        <w:rPr>
          <w:rFonts w:hint="eastAsia" w:ascii="黑体" w:hAnsi="黑体" w:eastAsia="黑体" w:cs="黑体"/>
          <w:sz w:val="32"/>
          <w:szCs w:val="32"/>
          <w:lang w:val="en-US" w:eastAsia="zh-CN"/>
        </w:rPr>
        <w:t>五、</w:t>
      </w:r>
      <w:r>
        <w:rPr>
          <w:rFonts w:hint="eastAsia" w:ascii="黑体" w:hAnsi="黑体" w:eastAsia="黑体" w:cs="黑体"/>
          <w:sz w:val="32"/>
          <w:szCs w:val="32"/>
          <w:lang w:val="zh-CN" w:eastAsia="zh-CN"/>
        </w:rPr>
        <w:t>售后服务要求</w:t>
      </w:r>
    </w:p>
    <w:p>
      <w:pPr>
        <w:keepNext w:val="0"/>
        <w:keepLines w:val="0"/>
        <w:pageBreakBefore w:val="0"/>
        <w:widowControl w:val="0"/>
        <w:numPr>
          <w:ilvl w:val="-1"/>
          <w:numId w:val="0"/>
        </w:numPr>
        <w:kinsoku/>
        <w:wordWrap/>
        <w:overflowPunct/>
        <w:topLinePunct w:val="0"/>
        <w:autoSpaceDE/>
        <w:autoSpaceDN/>
        <w:bidi w:val="0"/>
        <w:adjustRightInd/>
        <w:snapToGrid/>
        <w:spacing w:line="540" w:lineRule="exact"/>
        <w:ind w:left="0" w:leftChars="0" w:firstLine="640" w:firstLineChars="200"/>
        <w:textAlignment w:val="auto"/>
        <w:rPr>
          <w:rFonts w:hint="default" w:ascii="仿宋_GB2312" w:hAnsi="仿宋_GB2312" w:eastAsia="仿宋_GB2312" w:cs="仿宋_GB2312"/>
          <w:kern w:val="2"/>
          <w:sz w:val="32"/>
          <w:szCs w:val="32"/>
          <w:highlight w:val="none"/>
          <w:lang w:val="en-US" w:eastAsia="zh-CN" w:bidi="zh-CN"/>
        </w:rPr>
      </w:pP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lang w:val="en-US" w:eastAsia="zh-CN" w:bidi="zh-CN"/>
        </w:rPr>
        <w:t>治理效果应具有长期稳定性，</w:t>
      </w:r>
      <w:r>
        <w:rPr>
          <w:rFonts w:hint="eastAsia" w:ascii="仿宋_GB2312" w:hAnsi="仿宋_GB2312" w:eastAsia="仿宋_GB2312" w:cs="仿宋_GB2312"/>
          <w:sz w:val="32"/>
          <w:szCs w:val="32"/>
          <w:highlight w:val="none"/>
          <w:lang w:val="en-US" w:eastAsia="zh-CN"/>
        </w:rPr>
        <w:t>成交人</w:t>
      </w:r>
      <w:r>
        <w:rPr>
          <w:rFonts w:hint="eastAsia" w:ascii="仿宋_GB2312" w:hAnsi="仿宋_GB2312" w:eastAsia="仿宋_GB2312" w:cs="仿宋_GB2312"/>
          <w:sz w:val="32"/>
          <w:szCs w:val="32"/>
          <w:highlight w:val="none"/>
          <w:lang w:val="en-US" w:eastAsia="zh-CN" w:bidi="zh-CN"/>
        </w:rPr>
        <w:t>应提供至少5年的质量保证期。在</w:t>
      </w:r>
      <w:r>
        <w:rPr>
          <w:rFonts w:hint="default" w:ascii="仿宋_GB2312" w:hAnsi="仿宋_GB2312" w:eastAsia="仿宋_GB2312" w:cs="仿宋_GB2312"/>
          <w:kern w:val="2"/>
          <w:sz w:val="32"/>
          <w:szCs w:val="32"/>
          <w:highlight w:val="none"/>
          <w:lang w:val="en-US" w:eastAsia="zh-CN" w:bidi="zh-CN"/>
        </w:rPr>
        <w:t>承保期间</w:t>
      </w:r>
      <w:r>
        <w:rPr>
          <w:rFonts w:hint="eastAsia" w:ascii="仿宋_GB2312" w:hAnsi="仿宋_GB2312" w:eastAsia="仿宋_GB2312" w:cs="仿宋_GB2312"/>
          <w:sz w:val="32"/>
          <w:szCs w:val="32"/>
          <w:highlight w:val="none"/>
          <w:lang w:val="en-US" w:eastAsia="zh-CN" w:bidi="zh-CN"/>
        </w:rPr>
        <w:t>，采购人</w:t>
      </w:r>
      <w:r>
        <w:rPr>
          <w:rFonts w:hint="default" w:ascii="仿宋_GB2312" w:hAnsi="仿宋_GB2312" w:eastAsia="仿宋_GB2312" w:cs="仿宋_GB2312"/>
          <w:kern w:val="2"/>
          <w:sz w:val="32"/>
          <w:szCs w:val="32"/>
          <w:highlight w:val="none"/>
          <w:lang w:val="en-US" w:eastAsia="zh-CN" w:bidi="zh-CN"/>
        </w:rPr>
        <w:t>可随时邀请第三方权威机构抽查本工程质量，如发现空气质量不达国家室内空气质量标准范围（GB5</w:t>
      </w:r>
      <w:r>
        <w:rPr>
          <w:rFonts w:hint="eastAsia" w:ascii="仿宋_GB2312" w:hAnsi="仿宋_GB2312" w:eastAsia="仿宋_GB2312" w:cs="仿宋_GB2312"/>
          <w:kern w:val="2"/>
          <w:sz w:val="32"/>
          <w:szCs w:val="32"/>
          <w:highlight w:val="none"/>
          <w:lang w:val="en-US" w:eastAsia="zh-CN" w:bidi="zh-CN"/>
        </w:rPr>
        <w:t>0325</w:t>
      </w:r>
      <w:r>
        <w:rPr>
          <w:rFonts w:hint="default" w:ascii="仿宋_GB2312" w:hAnsi="仿宋_GB2312" w:eastAsia="仿宋_GB2312" w:cs="仿宋_GB2312"/>
          <w:kern w:val="2"/>
          <w:sz w:val="32"/>
          <w:szCs w:val="32"/>
          <w:highlight w:val="none"/>
          <w:lang w:val="en-US" w:eastAsia="zh-CN" w:bidi="zh-CN"/>
        </w:rPr>
        <w:t>-202</w:t>
      </w:r>
      <w:r>
        <w:rPr>
          <w:rFonts w:hint="eastAsia" w:ascii="仿宋_GB2312" w:hAnsi="仿宋_GB2312" w:eastAsia="仿宋_GB2312" w:cs="仿宋_GB2312"/>
          <w:kern w:val="2"/>
          <w:sz w:val="32"/>
          <w:szCs w:val="32"/>
          <w:highlight w:val="none"/>
          <w:lang w:val="en-US" w:eastAsia="zh-CN" w:bidi="zh-CN"/>
        </w:rPr>
        <w:t>0、</w:t>
      </w:r>
      <w:r>
        <w:rPr>
          <w:rFonts w:hint="default" w:ascii="仿宋_GB2312" w:hAnsi="仿宋_GB2312" w:eastAsia="仿宋_GB2312" w:cs="仿宋_GB2312"/>
          <w:kern w:val="2"/>
          <w:sz w:val="32"/>
          <w:szCs w:val="32"/>
          <w:highlight w:val="none"/>
          <w:lang w:val="en-US" w:eastAsia="zh-CN" w:bidi="zh-CN"/>
        </w:rPr>
        <w:t>GB</w:t>
      </w:r>
      <w:r>
        <w:rPr>
          <w:rFonts w:hint="eastAsia" w:ascii="仿宋_GB2312" w:hAnsi="仿宋_GB2312" w:eastAsia="仿宋_GB2312" w:cs="仿宋_GB2312"/>
          <w:kern w:val="2"/>
          <w:sz w:val="32"/>
          <w:szCs w:val="32"/>
          <w:highlight w:val="none"/>
          <w:lang w:val="en-US" w:eastAsia="zh-CN" w:bidi="zh-CN"/>
        </w:rPr>
        <w:t>18883</w:t>
      </w:r>
      <w:r>
        <w:rPr>
          <w:rFonts w:hint="default" w:ascii="仿宋_GB2312" w:hAnsi="仿宋_GB2312" w:eastAsia="仿宋_GB2312" w:cs="仿宋_GB2312"/>
          <w:kern w:val="2"/>
          <w:sz w:val="32"/>
          <w:szCs w:val="32"/>
          <w:highlight w:val="none"/>
          <w:lang w:val="en-US" w:eastAsia="zh-CN" w:bidi="zh-CN"/>
        </w:rPr>
        <w:t>-202</w:t>
      </w:r>
      <w:r>
        <w:rPr>
          <w:rFonts w:hint="eastAsia" w:ascii="仿宋_GB2312" w:hAnsi="仿宋_GB2312" w:eastAsia="仿宋_GB2312" w:cs="仿宋_GB2312"/>
          <w:kern w:val="2"/>
          <w:sz w:val="32"/>
          <w:szCs w:val="32"/>
          <w:highlight w:val="none"/>
          <w:lang w:val="en-US" w:eastAsia="zh-CN" w:bidi="zh-CN"/>
        </w:rPr>
        <w:t>2</w:t>
      </w:r>
      <w:r>
        <w:rPr>
          <w:rFonts w:hint="default" w:ascii="仿宋_GB2312" w:hAnsi="仿宋_GB2312" w:eastAsia="仿宋_GB2312" w:cs="仿宋_GB2312"/>
          <w:kern w:val="2"/>
          <w:sz w:val="32"/>
          <w:szCs w:val="32"/>
          <w:highlight w:val="none"/>
          <w:lang w:val="en-US" w:eastAsia="zh-CN" w:bidi="zh-CN"/>
        </w:rPr>
        <w:t>），</w:t>
      </w:r>
      <w:r>
        <w:rPr>
          <w:rFonts w:hint="eastAsia" w:ascii="仿宋_GB2312" w:hAnsi="仿宋_GB2312" w:eastAsia="仿宋_GB2312" w:cs="仿宋_GB2312"/>
          <w:sz w:val="32"/>
          <w:szCs w:val="32"/>
          <w:highlight w:val="none"/>
          <w:lang w:val="en-US" w:eastAsia="zh-CN"/>
        </w:rPr>
        <w:t>成交人</w:t>
      </w:r>
      <w:r>
        <w:rPr>
          <w:rFonts w:hint="default" w:ascii="仿宋_GB2312" w:hAnsi="仿宋_GB2312" w:eastAsia="仿宋_GB2312" w:cs="仿宋_GB2312"/>
          <w:kern w:val="2"/>
          <w:sz w:val="32"/>
          <w:szCs w:val="32"/>
          <w:highlight w:val="none"/>
          <w:lang w:val="en-US" w:eastAsia="zh-CN" w:bidi="zh-CN"/>
        </w:rPr>
        <w:t>须无条件免费处理。</w:t>
      </w:r>
    </w:p>
    <w:p>
      <w:pPr>
        <w:keepNext w:val="0"/>
        <w:keepLines w:val="0"/>
        <w:pageBreakBefore w:val="0"/>
        <w:widowControl/>
        <w:numPr>
          <w:ilvl w:val="-1"/>
          <w:numId w:val="0"/>
        </w:numPr>
        <w:kinsoku/>
        <w:wordWrap/>
        <w:overflowPunct/>
        <w:topLinePunct w:val="0"/>
        <w:autoSpaceDE/>
        <w:autoSpaceDN/>
        <w:bidi w:val="0"/>
        <w:adjustRightInd w:val="0"/>
        <w:snapToGrid w:val="0"/>
        <w:spacing w:line="560" w:lineRule="exact"/>
        <w:ind w:leftChars="0"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2.成交人</w:t>
      </w:r>
      <w:r>
        <w:rPr>
          <w:rFonts w:hint="eastAsia" w:ascii="仿宋_GB2312" w:hAnsi="仿宋_GB2312" w:eastAsia="仿宋_GB2312" w:cs="仿宋_GB2312"/>
          <w:kern w:val="2"/>
          <w:sz w:val="32"/>
          <w:szCs w:val="32"/>
          <w:highlight w:val="none"/>
          <w:lang w:val="zh-CN" w:eastAsia="zh-CN" w:bidi="zh-CN"/>
        </w:rPr>
        <w:t>应在接到</w:t>
      </w:r>
      <w:r>
        <w:rPr>
          <w:rFonts w:hint="eastAsia" w:ascii="仿宋_GB2312" w:hAnsi="仿宋_GB2312" w:eastAsia="仿宋_GB2312" w:cs="仿宋_GB2312"/>
          <w:kern w:val="2"/>
          <w:sz w:val="32"/>
          <w:szCs w:val="32"/>
          <w:highlight w:val="none"/>
          <w:lang w:val="en-US" w:eastAsia="zh-CN" w:bidi="zh-CN"/>
        </w:rPr>
        <w:t>采购人关于采购项目质量问题</w:t>
      </w:r>
      <w:r>
        <w:rPr>
          <w:rFonts w:hint="eastAsia" w:ascii="仿宋_GB2312" w:hAnsi="仿宋_GB2312" w:eastAsia="仿宋_GB2312" w:cs="仿宋_GB2312"/>
          <w:kern w:val="2"/>
          <w:sz w:val="32"/>
          <w:szCs w:val="32"/>
          <w:highlight w:val="none"/>
          <w:lang w:val="zh-CN" w:eastAsia="zh-CN" w:bidi="zh-CN"/>
        </w:rPr>
        <w:t>通知后，</w:t>
      </w:r>
      <w:r>
        <w:rPr>
          <w:rFonts w:hint="eastAsia" w:ascii="仿宋_GB2312" w:hAnsi="仿宋_GB2312" w:eastAsia="仿宋_GB2312" w:cs="仿宋_GB2312"/>
          <w:kern w:val="2"/>
          <w:sz w:val="32"/>
          <w:szCs w:val="32"/>
          <w:highlight w:val="none"/>
          <w:lang w:val="en-US" w:eastAsia="zh-CN" w:bidi="zh-CN"/>
        </w:rPr>
        <w:t>应1</w:t>
      </w:r>
      <w:r>
        <w:rPr>
          <w:rFonts w:hint="eastAsia" w:ascii="仿宋_GB2312" w:hAnsi="仿宋_GB2312" w:eastAsia="仿宋_GB2312" w:cs="仿宋_GB2312"/>
          <w:kern w:val="2"/>
          <w:sz w:val="32"/>
          <w:szCs w:val="32"/>
          <w:highlight w:val="none"/>
          <w:lang w:val="zh-CN" w:eastAsia="zh-CN" w:bidi="zh-CN"/>
        </w:rPr>
        <w:t>小</w:t>
      </w:r>
      <w:r>
        <w:rPr>
          <w:rFonts w:hint="eastAsia" w:ascii="仿宋_GB2312" w:hAnsi="仿宋_GB2312" w:eastAsia="仿宋_GB2312" w:cs="仿宋_GB2312"/>
          <w:sz w:val="32"/>
          <w:szCs w:val="32"/>
          <w:highlight w:val="none"/>
          <w:lang w:val="zh-CN" w:eastAsia="zh-CN"/>
        </w:rPr>
        <w:t>时内做出响应，并在</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lang w:val="zh-CN" w:eastAsia="zh-CN"/>
        </w:rPr>
        <w:t>小时内到达现场进行处理。</w:t>
      </w:r>
    </w:p>
    <w:bookmarkEnd w:id="0"/>
    <w:p>
      <w:pPr>
        <w:keepNext w:val="0"/>
        <w:keepLines w:val="0"/>
        <w:pageBreakBefore w:val="0"/>
        <w:widowControl w:val="0"/>
        <w:numPr>
          <w:ilvl w:val="-1"/>
          <w:numId w:val="0"/>
        </w:numPr>
        <w:kinsoku/>
        <w:wordWrap/>
        <w:overflowPunct/>
        <w:topLinePunct w:val="0"/>
        <w:autoSpaceDE/>
        <w:autoSpaceDN/>
        <w:bidi w:val="0"/>
        <w:adjustRightInd/>
        <w:snapToGrid/>
        <w:spacing w:line="540" w:lineRule="exac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六、验收标准</w:t>
      </w:r>
    </w:p>
    <w:p>
      <w:pPr>
        <w:keepNext w:val="0"/>
        <w:keepLines w:val="0"/>
        <w:pageBreakBefore w:val="0"/>
        <w:widowControl/>
        <w:numPr>
          <w:ilvl w:val="-1"/>
          <w:numId w:val="0"/>
        </w:numPr>
        <w:kinsoku/>
        <w:wordWrap/>
        <w:overflowPunct/>
        <w:topLinePunct w:val="0"/>
        <w:autoSpaceDE/>
        <w:autoSpaceDN/>
        <w:bidi w:val="0"/>
        <w:adjustRightInd w:val="0"/>
        <w:snapToGrid w:val="0"/>
        <w:spacing w:line="560" w:lineRule="exact"/>
        <w:ind w:leftChars="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检测报告中的检测结果应同时包含甲醛、苯、甲苯、二甲苯以及TVOC这五大关键指标的测定数据，必须达到国标</w:t>
      </w:r>
      <w:r>
        <w:rPr>
          <w:rFonts w:hint="default" w:ascii="仿宋_GB2312" w:hAnsi="仿宋_GB2312" w:eastAsia="仿宋_GB2312" w:cs="仿宋_GB2312"/>
          <w:kern w:val="2"/>
          <w:sz w:val="32"/>
          <w:szCs w:val="32"/>
          <w:highlight w:val="none"/>
          <w:lang w:val="en-US" w:eastAsia="zh-CN" w:bidi="zh-CN"/>
        </w:rPr>
        <w:t>GB5</w:t>
      </w:r>
      <w:r>
        <w:rPr>
          <w:rFonts w:hint="eastAsia" w:ascii="仿宋_GB2312" w:hAnsi="仿宋_GB2312" w:eastAsia="仿宋_GB2312" w:cs="仿宋_GB2312"/>
          <w:kern w:val="2"/>
          <w:sz w:val="32"/>
          <w:szCs w:val="32"/>
          <w:highlight w:val="none"/>
          <w:lang w:val="en-US" w:eastAsia="zh-CN" w:bidi="zh-CN"/>
        </w:rPr>
        <w:t>0325</w:t>
      </w:r>
      <w:r>
        <w:rPr>
          <w:rFonts w:hint="default" w:ascii="仿宋_GB2312" w:hAnsi="仿宋_GB2312" w:eastAsia="仿宋_GB2312" w:cs="仿宋_GB2312"/>
          <w:kern w:val="2"/>
          <w:sz w:val="32"/>
          <w:szCs w:val="32"/>
          <w:highlight w:val="none"/>
          <w:lang w:val="en-US" w:eastAsia="zh-CN" w:bidi="zh-CN"/>
        </w:rPr>
        <w:t>-202</w:t>
      </w:r>
      <w:r>
        <w:rPr>
          <w:rFonts w:hint="eastAsia" w:ascii="仿宋_GB2312" w:hAnsi="仿宋_GB2312" w:eastAsia="仿宋_GB2312" w:cs="仿宋_GB2312"/>
          <w:kern w:val="2"/>
          <w:sz w:val="32"/>
          <w:szCs w:val="32"/>
          <w:highlight w:val="none"/>
          <w:lang w:val="en-US" w:eastAsia="zh-CN" w:bidi="zh-CN"/>
        </w:rPr>
        <w:t>0、</w:t>
      </w:r>
      <w:r>
        <w:rPr>
          <w:rFonts w:hint="default" w:ascii="仿宋_GB2312" w:hAnsi="仿宋_GB2312" w:eastAsia="仿宋_GB2312" w:cs="仿宋_GB2312"/>
          <w:kern w:val="2"/>
          <w:sz w:val="32"/>
          <w:szCs w:val="32"/>
          <w:highlight w:val="none"/>
          <w:lang w:val="en-US" w:eastAsia="zh-CN" w:bidi="zh-CN"/>
        </w:rPr>
        <w:t>GB</w:t>
      </w:r>
      <w:r>
        <w:rPr>
          <w:rFonts w:hint="eastAsia" w:ascii="仿宋_GB2312" w:hAnsi="仿宋_GB2312" w:eastAsia="仿宋_GB2312" w:cs="仿宋_GB2312"/>
          <w:kern w:val="2"/>
          <w:sz w:val="32"/>
          <w:szCs w:val="32"/>
          <w:highlight w:val="none"/>
          <w:lang w:val="en-US" w:eastAsia="zh-CN" w:bidi="zh-CN"/>
        </w:rPr>
        <w:t>18883</w:t>
      </w:r>
      <w:r>
        <w:rPr>
          <w:rFonts w:hint="default" w:ascii="仿宋_GB2312" w:hAnsi="仿宋_GB2312" w:eastAsia="仿宋_GB2312" w:cs="仿宋_GB2312"/>
          <w:kern w:val="2"/>
          <w:sz w:val="32"/>
          <w:szCs w:val="32"/>
          <w:highlight w:val="none"/>
          <w:lang w:val="en-US" w:eastAsia="zh-CN" w:bidi="zh-CN"/>
        </w:rPr>
        <w:t>-202</w:t>
      </w:r>
      <w:r>
        <w:rPr>
          <w:rFonts w:hint="eastAsia" w:ascii="仿宋_GB2312" w:hAnsi="仿宋_GB2312" w:eastAsia="仿宋_GB2312" w:cs="仿宋_GB2312"/>
          <w:kern w:val="2"/>
          <w:sz w:val="32"/>
          <w:szCs w:val="32"/>
          <w:highlight w:val="none"/>
          <w:lang w:val="en-US" w:eastAsia="zh-CN" w:bidi="zh-CN"/>
        </w:rPr>
        <w:t>2</w:t>
      </w:r>
      <w:r>
        <w:rPr>
          <w:rFonts w:hint="eastAsia" w:ascii="仿宋_GB2312" w:hAnsi="仿宋_GB2312" w:eastAsia="仿宋_GB2312" w:cs="仿宋_GB2312"/>
          <w:sz w:val="32"/>
          <w:szCs w:val="32"/>
          <w:highlight w:val="none"/>
          <w:lang w:val="en-US" w:eastAsia="zh-CN"/>
        </w:rPr>
        <w:t>标准，以第三方检测结果为准。</w:t>
      </w:r>
      <w:bookmarkStart w:id="1" w:name="_GoBack"/>
      <w:bookmarkEnd w:id="1"/>
    </w:p>
    <w:p>
      <w:pPr>
        <w:keepNext w:val="0"/>
        <w:keepLines w:val="0"/>
        <w:pageBreakBefore w:val="0"/>
        <w:widowControl w:val="0"/>
        <w:numPr>
          <w:ilvl w:val="-1"/>
          <w:numId w:val="0"/>
        </w:numPr>
        <w:kinsoku/>
        <w:wordWrap/>
        <w:overflowPunct/>
        <w:topLinePunct w:val="0"/>
        <w:autoSpaceDE/>
        <w:autoSpaceDN/>
        <w:bidi w:val="0"/>
        <w:adjustRightInd/>
        <w:snapToGrid/>
        <w:spacing w:line="540" w:lineRule="exact"/>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七、费用结算</w:t>
      </w:r>
    </w:p>
    <w:p>
      <w:pPr>
        <w:keepNext w:val="0"/>
        <w:keepLines w:val="0"/>
        <w:pageBreakBefore w:val="0"/>
        <w:widowControl/>
        <w:numPr>
          <w:ilvl w:val="-1"/>
          <w:numId w:val="0"/>
        </w:numPr>
        <w:kinsoku/>
        <w:wordWrap/>
        <w:overflowPunct/>
        <w:topLinePunct w:val="0"/>
        <w:autoSpaceDE/>
        <w:autoSpaceDN/>
        <w:bidi w:val="0"/>
        <w:adjustRightInd w:val="0"/>
        <w:snapToGrid w:val="0"/>
        <w:spacing w:line="560" w:lineRule="exact"/>
        <w:ind w:leftChars="0" w:firstLine="640" w:firstLineChars="200"/>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kern w:val="2"/>
          <w:sz w:val="32"/>
          <w:szCs w:val="32"/>
          <w:highlight w:val="none"/>
          <w:lang w:val="en-US" w:eastAsia="zh-CN" w:bidi="ar-SA"/>
        </w:rPr>
        <w:t>根据实际治理及检测情况，据实结算。乙方提供合格的第三方检测报告并经甲方验收确认后，提供等额有效的增值税专用发票。甲方收到正确完整的请款资料后60个工作日内支付费用。</w:t>
      </w:r>
    </w:p>
    <w:sectPr>
      <w:pgSz w:w="11906" w:h="16838"/>
      <w:pgMar w:top="1270" w:right="1080" w:bottom="127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japaneseCounting"/>
      <w:lvlText w:val="%1、"/>
      <w:lvlJc w:val="left"/>
      <w:pPr>
        <w:tabs>
          <w:tab w:val="left" w:pos="1260"/>
        </w:tabs>
        <w:ind w:left="1260" w:hanging="720"/>
      </w:pPr>
      <w:rPr>
        <w:rFonts w:hint="eastAsia"/>
      </w:rPr>
    </w:lvl>
    <w:lvl w:ilvl="1" w:tentative="0">
      <w:start w:val="1"/>
      <w:numFmt w:val="lowerLetter"/>
      <w:pStyle w:val="4"/>
      <w:lvlText w:val="%2)"/>
      <w:lvlJc w:val="left"/>
      <w:pPr>
        <w:tabs>
          <w:tab w:val="left" w:pos="1380"/>
        </w:tabs>
        <w:ind w:left="1380" w:hanging="420"/>
      </w:pPr>
    </w:lvl>
    <w:lvl w:ilvl="2" w:tentative="0">
      <w:start w:val="1"/>
      <w:numFmt w:val="lowerRoman"/>
      <w:lvlText w:val="%3."/>
      <w:lvlJc w:val="right"/>
      <w:pPr>
        <w:tabs>
          <w:tab w:val="left" w:pos="1800"/>
        </w:tabs>
        <w:ind w:left="1800" w:hanging="420"/>
      </w:p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abstractNum w:abstractNumId="1">
    <w:nsid w:val="00000001"/>
    <w:multiLevelType w:val="singleLevel"/>
    <w:tmpl w:val="00000001"/>
    <w:lvl w:ilvl="0" w:tentative="0">
      <w:start w:val="1"/>
      <w:numFmt w:val="chineseCounting"/>
      <w:suff w:val="nothing"/>
      <w:lvlText w:val="%1、"/>
      <w:lvlJc w:val="left"/>
      <w:pPr>
        <w:ind w:left="-640" w:firstLine="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xYWUwYmQzNGI1MGQ4ZTA2ZWMwMjc5MzRjNTQxY2QifQ=="/>
  </w:docVars>
  <w:rsids>
    <w:rsidRoot w:val="00000000"/>
    <w:rsid w:val="00047D12"/>
    <w:rsid w:val="004F2710"/>
    <w:rsid w:val="006D7742"/>
    <w:rsid w:val="0086286A"/>
    <w:rsid w:val="00BF3CC9"/>
    <w:rsid w:val="00FC3B2D"/>
    <w:rsid w:val="010F32D3"/>
    <w:rsid w:val="01245BEB"/>
    <w:rsid w:val="014B38AD"/>
    <w:rsid w:val="01875C90"/>
    <w:rsid w:val="019A362C"/>
    <w:rsid w:val="01ED0EB7"/>
    <w:rsid w:val="02353A89"/>
    <w:rsid w:val="024F56D9"/>
    <w:rsid w:val="025A70D7"/>
    <w:rsid w:val="02682A2A"/>
    <w:rsid w:val="0389415C"/>
    <w:rsid w:val="039E6195"/>
    <w:rsid w:val="03CC4957"/>
    <w:rsid w:val="03D25855"/>
    <w:rsid w:val="040D6D41"/>
    <w:rsid w:val="042839DF"/>
    <w:rsid w:val="042913CB"/>
    <w:rsid w:val="047C49E9"/>
    <w:rsid w:val="04B803D4"/>
    <w:rsid w:val="055A71DE"/>
    <w:rsid w:val="05621588"/>
    <w:rsid w:val="058F57AB"/>
    <w:rsid w:val="05BA2E0F"/>
    <w:rsid w:val="05CE0B13"/>
    <w:rsid w:val="06223E20"/>
    <w:rsid w:val="068176BD"/>
    <w:rsid w:val="06AC6798"/>
    <w:rsid w:val="06DB29FA"/>
    <w:rsid w:val="06DE41D3"/>
    <w:rsid w:val="06F247A1"/>
    <w:rsid w:val="070005F5"/>
    <w:rsid w:val="075D0324"/>
    <w:rsid w:val="07944BFB"/>
    <w:rsid w:val="07C74150"/>
    <w:rsid w:val="08376DC6"/>
    <w:rsid w:val="085262B3"/>
    <w:rsid w:val="08610ACC"/>
    <w:rsid w:val="086168CD"/>
    <w:rsid w:val="08E9552D"/>
    <w:rsid w:val="09055F84"/>
    <w:rsid w:val="091457A3"/>
    <w:rsid w:val="09444942"/>
    <w:rsid w:val="094636C4"/>
    <w:rsid w:val="09B74B70"/>
    <w:rsid w:val="09CF6AA4"/>
    <w:rsid w:val="0A0422A1"/>
    <w:rsid w:val="0A4D7372"/>
    <w:rsid w:val="0AF54308"/>
    <w:rsid w:val="0AFB7690"/>
    <w:rsid w:val="0B291CB1"/>
    <w:rsid w:val="0B59720D"/>
    <w:rsid w:val="0C1A6669"/>
    <w:rsid w:val="0C206374"/>
    <w:rsid w:val="0C213EBA"/>
    <w:rsid w:val="0C3575CA"/>
    <w:rsid w:val="0C7E7DDA"/>
    <w:rsid w:val="0CA92A55"/>
    <w:rsid w:val="0CCA18AE"/>
    <w:rsid w:val="0CE916F8"/>
    <w:rsid w:val="0D2D4669"/>
    <w:rsid w:val="0D533465"/>
    <w:rsid w:val="0D6F3717"/>
    <w:rsid w:val="0DDF2AD2"/>
    <w:rsid w:val="0DEE7869"/>
    <w:rsid w:val="0E18121A"/>
    <w:rsid w:val="0E2557C4"/>
    <w:rsid w:val="0E475979"/>
    <w:rsid w:val="0EAE6622"/>
    <w:rsid w:val="0F0415AF"/>
    <w:rsid w:val="0F2C6214"/>
    <w:rsid w:val="0FAF52CB"/>
    <w:rsid w:val="0FBB4B01"/>
    <w:rsid w:val="0FC00082"/>
    <w:rsid w:val="0FDB5D8F"/>
    <w:rsid w:val="0FF643BB"/>
    <w:rsid w:val="1040492A"/>
    <w:rsid w:val="10892A30"/>
    <w:rsid w:val="111F09A5"/>
    <w:rsid w:val="11576580"/>
    <w:rsid w:val="11604C92"/>
    <w:rsid w:val="11673155"/>
    <w:rsid w:val="122A435A"/>
    <w:rsid w:val="12CD2621"/>
    <w:rsid w:val="134428A9"/>
    <w:rsid w:val="134A2234"/>
    <w:rsid w:val="135A4A4C"/>
    <w:rsid w:val="13685097"/>
    <w:rsid w:val="138278A7"/>
    <w:rsid w:val="13D46914"/>
    <w:rsid w:val="14117ACE"/>
    <w:rsid w:val="141241FB"/>
    <w:rsid w:val="143037AB"/>
    <w:rsid w:val="14467430"/>
    <w:rsid w:val="144B565A"/>
    <w:rsid w:val="14847F58"/>
    <w:rsid w:val="14B51486"/>
    <w:rsid w:val="14B51D54"/>
    <w:rsid w:val="14CD6C92"/>
    <w:rsid w:val="15090F10"/>
    <w:rsid w:val="150F2E19"/>
    <w:rsid w:val="15180A24"/>
    <w:rsid w:val="155C2F18"/>
    <w:rsid w:val="15F70B98"/>
    <w:rsid w:val="16196205"/>
    <w:rsid w:val="16527FAD"/>
    <w:rsid w:val="167B40A1"/>
    <w:rsid w:val="16953F1A"/>
    <w:rsid w:val="1696779D"/>
    <w:rsid w:val="16A27B48"/>
    <w:rsid w:val="175005C5"/>
    <w:rsid w:val="17E52942"/>
    <w:rsid w:val="180169EF"/>
    <w:rsid w:val="180C2158"/>
    <w:rsid w:val="18174416"/>
    <w:rsid w:val="183710C7"/>
    <w:rsid w:val="186D11B7"/>
    <w:rsid w:val="18775734"/>
    <w:rsid w:val="18A516FB"/>
    <w:rsid w:val="18F845CE"/>
    <w:rsid w:val="18FB42DA"/>
    <w:rsid w:val="192A5088"/>
    <w:rsid w:val="19B21C39"/>
    <w:rsid w:val="19FA202D"/>
    <w:rsid w:val="1A314705"/>
    <w:rsid w:val="1ABB4669"/>
    <w:rsid w:val="1AD56DD0"/>
    <w:rsid w:val="1B1262BE"/>
    <w:rsid w:val="1B213295"/>
    <w:rsid w:val="1B267FBB"/>
    <w:rsid w:val="1B566EB0"/>
    <w:rsid w:val="1B6D2901"/>
    <w:rsid w:val="1BAC3AB5"/>
    <w:rsid w:val="1BCC17F9"/>
    <w:rsid w:val="1BCF3EC0"/>
    <w:rsid w:val="1C1A2CD5"/>
    <w:rsid w:val="1C4A27F6"/>
    <w:rsid w:val="1CEE1106"/>
    <w:rsid w:val="1D1C2B4F"/>
    <w:rsid w:val="1D444093"/>
    <w:rsid w:val="1DDB5112"/>
    <w:rsid w:val="1E7A4110"/>
    <w:rsid w:val="1ED32220"/>
    <w:rsid w:val="1ED43525"/>
    <w:rsid w:val="1EFD7285"/>
    <w:rsid w:val="1F7774AB"/>
    <w:rsid w:val="1FC62AAD"/>
    <w:rsid w:val="1FE458E0"/>
    <w:rsid w:val="201D05F4"/>
    <w:rsid w:val="20416E2A"/>
    <w:rsid w:val="20485F86"/>
    <w:rsid w:val="207B2B57"/>
    <w:rsid w:val="208479E8"/>
    <w:rsid w:val="20A670ED"/>
    <w:rsid w:val="20B96156"/>
    <w:rsid w:val="20FD05AB"/>
    <w:rsid w:val="2100305C"/>
    <w:rsid w:val="212D6B7C"/>
    <w:rsid w:val="215D18CA"/>
    <w:rsid w:val="21687C5B"/>
    <w:rsid w:val="216D7966"/>
    <w:rsid w:val="217527F4"/>
    <w:rsid w:val="21792903"/>
    <w:rsid w:val="21E60529"/>
    <w:rsid w:val="22151078"/>
    <w:rsid w:val="2217626B"/>
    <w:rsid w:val="221E7789"/>
    <w:rsid w:val="225047E7"/>
    <w:rsid w:val="227C36F7"/>
    <w:rsid w:val="22BA5E71"/>
    <w:rsid w:val="22E84C54"/>
    <w:rsid w:val="233D7BE1"/>
    <w:rsid w:val="234B6EF7"/>
    <w:rsid w:val="23A1369B"/>
    <w:rsid w:val="23D41365"/>
    <w:rsid w:val="23D7455C"/>
    <w:rsid w:val="24044127"/>
    <w:rsid w:val="240834CF"/>
    <w:rsid w:val="240927AD"/>
    <w:rsid w:val="2445130D"/>
    <w:rsid w:val="254060AD"/>
    <w:rsid w:val="255F52DD"/>
    <w:rsid w:val="258011E8"/>
    <w:rsid w:val="2599737A"/>
    <w:rsid w:val="259A54C2"/>
    <w:rsid w:val="25A073CB"/>
    <w:rsid w:val="25DA2A28"/>
    <w:rsid w:val="25E22033"/>
    <w:rsid w:val="2604386C"/>
    <w:rsid w:val="26720558"/>
    <w:rsid w:val="26751DF6"/>
    <w:rsid w:val="268705C2"/>
    <w:rsid w:val="26AF266D"/>
    <w:rsid w:val="26C713AC"/>
    <w:rsid w:val="26FA0563"/>
    <w:rsid w:val="270E75A2"/>
    <w:rsid w:val="271C4339"/>
    <w:rsid w:val="27665A32"/>
    <w:rsid w:val="277327DA"/>
    <w:rsid w:val="27AF08CB"/>
    <w:rsid w:val="27B02A0E"/>
    <w:rsid w:val="27B97A3A"/>
    <w:rsid w:val="27C512CF"/>
    <w:rsid w:val="27D43C48"/>
    <w:rsid w:val="27E61803"/>
    <w:rsid w:val="284B3726"/>
    <w:rsid w:val="28BD3A65"/>
    <w:rsid w:val="28F61EA6"/>
    <w:rsid w:val="29386635"/>
    <w:rsid w:val="295419DA"/>
    <w:rsid w:val="29B64C00"/>
    <w:rsid w:val="29CA071F"/>
    <w:rsid w:val="2A290739"/>
    <w:rsid w:val="2AAB5DE7"/>
    <w:rsid w:val="2AC16374"/>
    <w:rsid w:val="2ACB21DF"/>
    <w:rsid w:val="2B1F115A"/>
    <w:rsid w:val="2B2153CD"/>
    <w:rsid w:val="2B2B6F28"/>
    <w:rsid w:val="2B5D30B4"/>
    <w:rsid w:val="2B9144CC"/>
    <w:rsid w:val="2BBC6951"/>
    <w:rsid w:val="2BE04587"/>
    <w:rsid w:val="2C2F340C"/>
    <w:rsid w:val="2C8F5E63"/>
    <w:rsid w:val="2CAC6259"/>
    <w:rsid w:val="2CE8063C"/>
    <w:rsid w:val="2CF97994"/>
    <w:rsid w:val="2D027C4B"/>
    <w:rsid w:val="2D283624"/>
    <w:rsid w:val="2D3164B2"/>
    <w:rsid w:val="2D492A45"/>
    <w:rsid w:val="2D9C13E5"/>
    <w:rsid w:val="2E1B2AF8"/>
    <w:rsid w:val="2E262242"/>
    <w:rsid w:val="2E2F0B2F"/>
    <w:rsid w:val="2E9372E3"/>
    <w:rsid w:val="2EB2419D"/>
    <w:rsid w:val="2F0D1AFD"/>
    <w:rsid w:val="2F1F7783"/>
    <w:rsid w:val="2F3A210B"/>
    <w:rsid w:val="2F5E57C2"/>
    <w:rsid w:val="2F666452"/>
    <w:rsid w:val="2FA71273"/>
    <w:rsid w:val="2FC32EA4"/>
    <w:rsid w:val="30001DAC"/>
    <w:rsid w:val="30305B1B"/>
    <w:rsid w:val="304D2090"/>
    <w:rsid w:val="3086432B"/>
    <w:rsid w:val="30B53BCD"/>
    <w:rsid w:val="30BF3918"/>
    <w:rsid w:val="30E80B4C"/>
    <w:rsid w:val="30EA07CC"/>
    <w:rsid w:val="30F62060"/>
    <w:rsid w:val="317561B2"/>
    <w:rsid w:val="31872740"/>
    <w:rsid w:val="31923AE2"/>
    <w:rsid w:val="32184BD9"/>
    <w:rsid w:val="321A6940"/>
    <w:rsid w:val="321F2DC7"/>
    <w:rsid w:val="32361594"/>
    <w:rsid w:val="32551342"/>
    <w:rsid w:val="32552F95"/>
    <w:rsid w:val="32635E3A"/>
    <w:rsid w:val="32CC1FE7"/>
    <w:rsid w:val="33066224"/>
    <w:rsid w:val="338C0DA0"/>
    <w:rsid w:val="33992634"/>
    <w:rsid w:val="33C87900"/>
    <w:rsid w:val="33CF6FEA"/>
    <w:rsid w:val="33DB43A2"/>
    <w:rsid w:val="348F7F1E"/>
    <w:rsid w:val="34DD15C7"/>
    <w:rsid w:val="34ED7013"/>
    <w:rsid w:val="34F97D87"/>
    <w:rsid w:val="352E3D4F"/>
    <w:rsid w:val="353F1A6B"/>
    <w:rsid w:val="36514DAB"/>
    <w:rsid w:val="36C17F5A"/>
    <w:rsid w:val="36C52B6C"/>
    <w:rsid w:val="36CA3770"/>
    <w:rsid w:val="37047B87"/>
    <w:rsid w:val="371C1BD9"/>
    <w:rsid w:val="375241BA"/>
    <w:rsid w:val="37F02C2F"/>
    <w:rsid w:val="37F50CDF"/>
    <w:rsid w:val="37F605EE"/>
    <w:rsid w:val="38000B91"/>
    <w:rsid w:val="380A3076"/>
    <w:rsid w:val="383A69FC"/>
    <w:rsid w:val="38AB76D3"/>
    <w:rsid w:val="38BF2926"/>
    <w:rsid w:val="38CC1212"/>
    <w:rsid w:val="38E54D64"/>
    <w:rsid w:val="39900A80"/>
    <w:rsid w:val="39EA15A5"/>
    <w:rsid w:val="39F407A5"/>
    <w:rsid w:val="39F63F29"/>
    <w:rsid w:val="3A1F19CA"/>
    <w:rsid w:val="3A904DA0"/>
    <w:rsid w:val="3AE80CB2"/>
    <w:rsid w:val="3B114E23"/>
    <w:rsid w:val="3B3B4D6E"/>
    <w:rsid w:val="3B3F4F44"/>
    <w:rsid w:val="3B4736B1"/>
    <w:rsid w:val="3C1A48A7"/>
    <w:rsid w:val="3C324B34"/>
    <w:rsid w:val="3C8A3C61"/>
    <w:rsid w:val="3C9F0383"/>
    <w:rsid w:val="3CB215A2"/>
    <w:rsid w:val="3CBF2E36"/>
    <w:rsid w:val="3CC527C1"/>
    <w:rsid w:val="3CDB4965"/>
    <w:rsid w:val="3D693138"/>
    <w:rsid w:val="3D790ED4"/>
    <w:rsid w:val="3DAC5CA6"/>
    <w:rsid w:val="3DC90D6A"/>
    <w:rsid w:val="3E0456CC"/>
    <w:rsid w:val="3E1A786F"/>
    <w:rsid w:val="3E322DFA"/>
    <w:rsid w:val="3E5541D1"/>
    <w:rsid w:val="3EB62F71"/>
    <w:rsid w:val="3EE5023D"/>
    <w:rsid w:val="3EEF4053"/>
    <w:rsid w:val="3F210422"/>
    <w:rsid w:val="3F26232B"/>
    <w:rsid w:val="3F3125F7"/>
    <w:rsid w:val="3F401114"/>
    <w:rsid w:val="3F401885"/>
    <w:rsid w:val="3F4D6968"/>
    <w:rsid w:val="3F522DEF"/>
    <w:rsid w:val="3F616F07"/>
    <w:rsid w:val="3FAD5A88"/>
    <w:rsid w:val="3FBB6674"/>
    <w:rsid w:val="40BF6BC9"/>
    <w:rsid w:val="40C377CE"/>
    <w:rsid w:val="40E747E2"/>
    <w:rsid w:val="41122DD0"/>
    <w:rsid w:val="41267873"/>
    <w:rsid w:val="416937DF"/>
    <w:rsid w:val="416E6F82"/>
    <w:rsid w:val="41A970CC"/>
    <w:rsid w:val="41CE0F85"/>
    <w:rsid w:val="41EE3A38"/>
    <w:rsid w:val="424853CC"/>
    <w:rsid w:val="42741713"/>
    <w:rsid w:val="42B34A7B"/>
    <w:rsid w:val="42DD1142"/>
    <w:rsid w:val="42E5100F"/>
    <w:rsid w:val="431D1F2C"/>
    <w:rsid w:val="43615785"/>
    <w:rsid w:val="43661FA0"/>
    <w:rsid w:val="43972851"/>
    <w:rsid w:val="43B26B9C"/>
    <w:rsid w:val="43B63024"/>
    <w:rsid w:val="43BD69CC"/>
    <w:rsid w:val="440853AC"/>
    <w:rsid w:val="44625310"/>
    <w:rsid w:val="447C536B"/>
    <w:rsid w:val="448501F9"/>
    <w:rsid w:val="448E5285"/>
    <w:rsid w:val="44996E9A"/>
    <w:rsid w:val="44AF776A"/>
    <w:rsid w:val="44BF6C07"/>
    <w:rsid w:val="44C147DB"/>
    <w:rsid w:val="44FD453C"/>
    <w:rsid w:val="450519C4"/>
    <w:rsid w:val="454724B5"/>
    <w:rsid w:val="45830911"/>
    <w:rsid w:val="45901F42"/>
    <w:rsid w:val="45B579C8"/>
    <w:rsid w:val="45C37881"/>
    <w:rsid w:val="46080375"/>
    <w:rsid w:val="46256BED"/>
    <w:rsid w:val="46266A8D"/>
    <w:rsid w:val="46596E7B"/>
    <w:rsid w:val="468E27CD"/>
    <w:rsid w:val="46A1726F"/>
    <w:rsid w:val="46C144DC"/>
    <w:rsid w:val="46D81947"/>
    <w:rsid w:val="46FB0100"/>
    <w:rsid w:val="472707CD"/>
    <w:rsid w:val="47446A78"/>
    <w:rsid w:val="4755593A"/>
    <w:rsid w:val="4783425B"/>
    <w:rsid w:val="47A041EE"/>
    <w:rsid w:val="47AB13D9"/>
    <w:rsid w:val="47AF44AD"/>
    <w:rsid w:val="47E44403"/>
    <w:rsid w:val="48285669"/>
    <w:rsid w:val="48326701"/>
    <w:rsid w:val="484B1829"/>
    <w:rsid w:val="485E3DC5"/>
    <w:rsid w:val="486C2C02"/>
    <w:rsid w:val="48870389"/>
    <w:rsid w:val="48E07B1E"/>
    <w:rsid w:val="48E727D3"/>
    <w:rsid w:val="495F006C"/>
    <w:rsid w:val="49605AEE"/>
    <w:rsid w:val="496941FF"/>
    <w:rsid w:val="49BE56DF"/>
    <w:rsid w:val="49EB12D5"/>
    <w:rsid w:val="4A0B3E41"/>
    <w:rsid w:val="4A6C2B28"/>
    <w:rsid w:val="4A9D448C"/>
    <w:rsid w:val="4ABD382C"/>
    <w:rsid w:val="4AD50ED2"/>
    <w:rsid w:val="4AFF7B18"/>
    <w:rsid w:val="4B306041"/>
    <w:rsid w:val="4B610AB6"/>
    <w:rsid w:val="4B7235D4"/>
    <w:rsid w:val="4BD92268"/>
    <w:rsid w:val="4BF02924"/>
    <w:rsid w:val="4C012BBE"/>
    <w:rsid w:val="4C0473C6"/>
    <w:rsid w:val="4C0B7BCA"/>
    <w:rsid w:val="4C244078"/>
    <w:rsid w:val="4C3D3D97"/>
    <w:rsid w:val="4C5F0846"/>
    <w:rsid w:val="4C771B75"/>
    <w:rsid w:val="4C906FAA"/>
    <w:rsid w:val="4CEE53E6"/>
    <w:rsid w:val="4CF51418"/>
    <w:rsid w:val="4D072EF9"/>
    <w:rsid w:val="4D197E75"/>
    <w:rsid w:val="4D210A97"/>
    <w:rsid w:val="4D316B33"/>
    <w:rsid w:val="4D3D3009"/>
    <w:rsid w:val="4D873CBF"/>
    <w:rsid w:val="4DC146C5"/>
    <w:rsid w:val="4DE91D11"/>
    <w:rsid w:val="4DFF39C4"/>
    <w:rsid w:val="4E30258B"/>
    <w:rsid w:val="4E5B751A"/>
    <w:rsid w:val="4E6B3E5E"/>
    <w:rsid w:val="4E803ED7"/>
    <w:rsid w:val="4E9179F4"/>
    <w:rsid w:val="4EAF6FA4"/>
    <w:rsid w:val="4EEF5810"/>
    <w:rsid w:val="4F0A0EE8"/>
    <w:rsid w:val="4F45079D"/>
    <w:rsid w:val="4FF24139"/>
    <w:rsid w:val="4FF75B4D"/>
    <w:rsid w:val="50465DC1"/>
    <w:rsid w:val="50703E0E"/>
    <w:rsid w:val="50951D99"/>
    <w:rsid w:val="50B2011B"/>
    <w:rsid w:val="50B252E0"/>
    <w:rsid w:val="50B3392B"/>
    <w:rsid w:val="50E7376D"/>
    <w:rsid w:val="50F07DF4"/>
    <w:rsid w:val="517B1757"/>
    <w:rsid w:val="51AD6837"/>
    <w:rsid w:val="51BA3724"/>
    <w:rsid w:val="51C5793D"/>
    <w:rsid w:val="520635F9"/>
    <w:rsid w:val="520B0E53"/>
    <w:rsid w:val="5235461A"/>
    <w:rsid w:val="52856670"/>
    <w:rsid w:val="52A124B2"/>
    <w:rsid w:val="52AB0AAE"/>
    <w:rsid w:val="52BC45CC"/>
    <w:rsid w:val="52CC1D29"/>
    <w:rsid w:val="52DC4B00"/>
    <w:rsid w:val="533E38A0"/>
    <w:rsid w:val="53662E9D"/>
    <w:rsid w:val="53C77F81"/>
    <w:rsid w:val="53D64D18"/>
    <w:rsid w:val="53D8090A"/>
    <w:rsid w:val="54BA4091"/>
    <w:rsid w:val="54E645F3"/>
    <w:rsid w:val="55425B78"/>
    <w:rsid w:val="556F611C"/>
    <w:rsid w:val="559A36FF"/>
    <w:rsid w:val="56391F84"/>
    <w:rsid w:val="566D6EC2"/>
    <w:rsid w:val="56902993"/>
    <w:rsid w:val="56905D0D"/>
    <w:rsid w:val="569A72D2"/>
    <w:rsid w:val="56AD7D44"/>
    <w:rsid w:val="57040F2C"/>
    <w:rsid w:val="571B5E1B"/>
    <w:rsid w:val="57212128"/>
    <w:rsid w:val="5735569F"/>
    <w:rsid w:val="578C3B2F"/>
    <w:rsid w:val="57B47272"/>
    <w:rsid w:val="581D341E"/>
    <w:rsid w:val="58291F14"/>
    <w:rsid w:val="587D4961"/>
    <w:rsid w:val="588C2765"/>
    <w:rsid w:val="598D237B"/>
    <w:rsid w:val="59E47507"/>
    <w:rsid w:val="59E81790"/>
    <w:rsid w:val="5A1E613F"/>
    <w:rsid w:val="5A317606"/>
    <w:rsid w:val="5AAD49D1"/>
    <w:rsid w:val="5ABB1768"/>
    <w:rsid w:val="5AE42A01"/>
    <w:rsid w:val="5B2555BE"/>
    <w:rsid w:val="5B52515F"/>
    <w:rsid w:val="5B5D7C55"/>
    <w:rsid w:val="5B692B86"/>
    <w:rsid w:val="5B77571F"/>
    <w:rsid w:val="5B83329D"/>
    <w:rsid w:val="5B897C2D"/>
    <w:rsid w:val="5BE825E0"/>
    <w:rsid w:val="5BFE5E0F"/>
    <w:rsid w:val="5C013FFE"/>
    <w:rsid w:val="5C936DF0"/>
    <w:rsid w:val="5CC44962"/>
    <w:rsid w:val="5CFF3502"/>
    <w:rsid w:val="5D3A4FFF"/>
    <w:rsid w:val="5D8131F5"/>
    <w:rsid w:val="5DA424B0"/>
    <w:rsid w:val="5DD60DF1"/>
    <w:rsid w:val="5E115063"/>
    <w:rsid w:val="5E1D3074"/>
    <w:rsid w:val="5E8922BE"/>
    <w:rsid w:val="5EC35112"/>
    <w:rsid w:val="5F860448"/>
    <w:rsid w:val="5F88394B"/>
    <w:rsid w:val="5FCC24AC"/>
    <w:rsid w:val="5FD27242"/>
    <w:rsid w:val="5FE73964"/>
    <w:rsid w:val="5FF351F8"/>
    <w:rsid w:val="60033294"/>
    <w:rsid w:val="604F09E7"/>
    <w:rsid w:val="606B19BF"/>
    <w:rsid w:val="60E96A0A"/>
    <w:rsid w:val="611B04DE"/>
    <w:rsid w:val="61507648"/>
    <w:rsid w:val="624B321E"/>
    <w:rsid w:val="629F065A"/>
    <w:rsid w:val="631E2D6C"/>
    <w:rsid w:val="634642EB"/>
    <w:rsid w:val="63493E13"/>
    <w:rsid w:val="63527750"/>
    <w:rsid w:val="635C3E8F"/>
    <w:rsid w:val="638E7F62"/>
    <w:rsid w:val="63AB1A91"/>
    <w:rsid w:val="63D8165B"/>
    <w:rsid w:val="63DD2682"/>
    <w:rsid w:val="63F35708"/>
    <w:rsid w:val="63F6668D"/>
    <w:rsid w:val="646F444D"/>
    <w:rsid w:val="64F53B92"/>
    <w:rsid w:val="65031475"/>
    <w:rsid w:val="6515190C"/>
    <w:rsid w:val="65181F7D"/>
    <w:rsid w:val="65242442"/>
    <w:rsid w:val="65472E61"/>
    <w:rsid w:val="654C11BD"/>
    <w:rsid w:val="659F0078"/>
    <w:rsid w:val="660D053B"/>
    <w:rsid w:val="663414BA"/>
    <w:rsid w:val="66434CE2"/>
    <w:rsid w:val="66C52FA8"/>
    <w:rsid w:val="671E0191"/>
    <w:rsid w:val="67BC11AD"/>
    <w:rsid w:val="67BF4A1C"/>
    <w:rsid w:val="67F00D31"/>
    <w:rsid w:val="68237743"/>
    <w:rsid w:val="68370C8B"/>
    <w:rsid w:val="684B1EAA"/>
    <w:rsid w:val="68553916"/>
    <w:rsid w:val="68A60AC7"/>
    <w:rsid w:val="697D3521"/>
    <w:rsid w:val="699E3A55"/>
    <w:rsid w:val="69AF5EEE"/>
    <w:rsid w:val="69ED625D"/>
    <w:rsid w:val="6A06437E"/>
    <w:rsid w:val="6A133DC8"/>
    <w:rsid w:val="6A383C54"/>
    <w:rsid w:val="6A8539C9"/>
    <w:rsid w:val="6AA95198"/>
    <w:rsid w:val="6AC769BB"/>
    <w:rsid w:val="6B225676"/>
    <w:rsid w:val="6B5A17AD"/>
    <w:rsid w:val="6C186A79"/>
    <w:rsid w:val="6C232FF3"/>
    <w:rsid w:val="6C2E2A8A"/>
    <w:rsid w:val="6C483634"/>
    <w:rsid w:val="6C4F1706"/>
    <w:rsid w:val="6C5B6DD1"/>
    <w:rsid w:val="6C741EF9"/>
    <w:rsid w:val="6CC77785"/>
    <w:rsid w:val="6CF841D0"/>
    <w:rsid w:val="6D2E042E"/>
    <w:rsid w:val="6D6E3416"/>
    <w:rsid w:val="6D814635"/>
    <w:rsid w:val="6D98425A"/>
    <w:rsid w:val="6DDB5FC9"/>
    <w:rsid w:val="6DE852DE"/>
    <w:rsid w:val="6E40376F"/>
    <w:rsid w:val="6E881964"/>
    <w:rsid w:val="6E8A28E9"/>
    <w:rsid w:val="6EA136DF"/>
    <w:rsid w:val="6ED74F67"/>
    <w:rsid w:val="6F050034"/>
    <w:rsid w:val="6F387D23"/>
    <w:rsid w:val="6F45301C"/>
    <w:rsid w:val="6FB92B1C"/>
    <w:rsid w:val="6FF3443A"/>
    <w:rsid w:val="6FFD6F48"/>
    <w:rsid w:val="700B3881"/>
    <w:rsid w:val="7026148A"/>
    <w:rsid w:val="702A6711"/>
    <w:rsid w:val="702C2015"/>
    <w:rsid w:val="70710FAF"/>
    <w:rsid w:val="70C35A0C"/>
    <w:rsid w:val="70CD3D9D"/>
    <w:rsid w:val="70D511A9"/>
    <w:rsid w:val="70EB4AB4"/>
    <w:rsid w:val="711C51A1"/>
    <w:rsid w:val="711C739F"/>
    <w:rsid w:val="7146353F"/>
    <w:rsid w:val="718D0958"/>
    <w:rsid w:val="71CF4C44"/>
    <w:rsid w:val="71DB64D8"/>
    <w:rsid w:val="720751EB"/>
    <w:rsid w:val="722978DD"/>
    <w:rsid w:val="723536EF"/>
    <w:rsid w:val="723A2BE4"/>
    <w:rsid w:val="72617A36"/>
    <w:rsid w:val="727D2614"/>
    <w:rsid w:val="734112A3"/>
    <w:rsid w:val="73A41347"/>
    <w:rsid w:val="73CA3785"/>
    <w:rsid w:val="73EC13D7"/>
    <w:rsid w:val="74B54A08"/>
    <w:rsid w:val="74E62C58"/>
    <w:rsid w:val="74EB70E0"/>
    <w:rsid w:val="74F3217B"/>
    <w:rsid w:val="750905E8"/>
    <w:rsid w:val="750D091A"/>
    <w:rsid w:val="75D77FE2"/>
    <w:rsid w:val="75DC446A"/>
    <w:rsid w:val="762F1CF6"/>
    <w:rsid w:val="7648390A"/>
    <w:rsid w:val="76542A9B"/>
    <w:rsid w:val="76671E50"/>
    <w:rsid w:val="76834A28"/>
    <w:rsid w:val="76AA4315"/>
    <w:rsid w:val="76B07CC5"/>
    <w:rsid w:val="770045CD"/>
    <w:rsid w:val="77361223"/>
    <w:rsid w:val="77602068"/>
    <w:rsid w:val="77935205"/>
    <w:rsid w:val="77A55779"/>
    <w:rsid w:val="77C71A27"/>
    <w:rsid w:val="782347DB"/>
    <w:rsid w:val="78925C5D"/>
    <w:rsid w:val="78952D3D"/>
    <w:rsid w:val="79004B1D"/>
    <w:rsid w:val="79427FFF"/>
    <w:rsid w:val="794B00D2"/>
    <w:rsid w:val="795B557D"/>
    <w:rsid w:val="79664D3B"/>
    <w:rsid w:val="79BC1EC7"/>
    <w:rsid w:val="79EE0BA0"/>
    <w:rsid w:val="7A4D5F33"/>
    <w:rsid w:val="7A843E8E"/>
    <w:rsid w:val="7AFC2853"/>
    <w:rsid w:val="7BC01697"/>
    <w:rsid w:val="7BED3721"/>
    <w:rsid w:val="7BF06FAC"/>
    <w:rsid w:val="7C0206A4"/>
    <w:rsid w:val="7C09509A"/>
    <w:rsid w:val="7C201778"/>
    <w:rsid w:val="7C2300B7"/>
    <w:rsid w:val="7C245B39"/>
    <w:rsid w:val="7C26103C"/>
    <w:rsid w:val="7C2F774D"/>
    <w:rsid w:val="7C941670"/>
    <w:rsid w:val="7CA14209"/>
    <w:rsid w:val="7CA80310"/>
    <w:rsid w:val="7CA87612"/>
    <w:rsid w:val="7CCC504D"/>
    <w:rsid w:val="7CF25986"/>
    <w:rsid w:val="7D146DB4"/>
    <w:rsid w:val="7D610DC4"/>
    <w:rsid w:val="7D626845"/>
    <w:rsid w:val="7D741FE3"/>
    <w:rsid w:val="7D933791"/>
    <w:rsid w:val="7DD148FB"/>
    <w:rsid w:val="7E4E0A20"/>
    <w:rsid w:val="7E947EBC"/>
    <w:rsid w:val="7E9755BD"/>
    <w:rsid w:val="7ED10C1A"/>
    <w:rsid w:val="7EDD0896"/>
    <w:rsid w:val="7EE60BBF"/>
    <w:rsid w:val="7EE91B44"/>
    <w:rsid w:val="7EF20255"/>
    <w:rsid w:val="7F0F3F82"/>
    <w:rsid w:val="7F2A68E9"/>
    <w:rsid w:val="7F3D15CE"/>
    <w:rsid w:val="7F6646CC"/>
    <w:rsid w:val="7F7165A5"/>
    <w:rsid w:val="7FF939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keepNext/>
      <w:keepLines/>
      <w:numPr>
        <w:ilvl w:val="1"/>
        <w:numId w:val="1"/>
      </w:numPr>
      <w:tabs>
        <w:tab w:val="left" w:pos="1260"/>
      </w:tabs>
      <w:suppressAutoHyphens/>
      <w:spacing w:before="260" w:after="260" w:line="415" w:lineRule="auto"/>
      <w:jc w:val="left"/>
      <w:textAlignment w:val="baseline"/>
      <w:outlineLvl w:val="1"/>
    </w:pPr>
    <w:rPr>
      <w:rFonts w:ascii="Arial" w:hAnsi="Arial" w:eastAsia="黑体"/>
      <w:b/>
      <w:bCs/>
      <w:w w:val="80"/>
      <w:kern w:val="1"/>
      <w:sz w:val="32"/>
      <w:szCs w:val="32"/>
    </w:rPr>
  </w:style>
  <w:style w:type="character" w:default="1" w:styleId="15">
    <w:name w:val="Default Paragraph Font"/>
    <w:qFormat/>
    <w:uiPriority w:val="0"/>
  </w:style>
  <w:style w:type="table" w:default="1" w:styleId="13">
    <w:name w:val="Normal Table"/>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annotation text"/>
    <w:basedOn w:val="1"/>
    <w:qFormat/>
    <w:uiPriority w:val="0"/>
    <w:pPr>
      <w:jc w:val="left"/>
    </w:pPr>
  </w:style>
  <w:style w:type="paragraph" w:styleId="6">
    <w:name w:val="Body Text"/>
    <w:basedOn w:val="7"/>
    <w:next w:val="7"/>
    <w:qFormat/>
    <w:uiPriority w:val="0"/>
    <w:rPr>
      <w:color w:val="000000"/>
      <w:sz w:val="28"/>
      <w:szCs w:val="20"/>
    </w:rPr>
  </w:style>
  <w:style w:type="paragraph" w:styleId="7">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8">
    <w:name w:val="Body Text Indent"/>
    <w:basedOn w:val="1"/>
    <w:next w:val="9"/>
    <w:qFormat/>
    <w:uiPriority w:val="0"/>
    <w:pPr>
      <w:adjustRightInd w:val="0"/>
      <w:snapToGrid w:val="0"/>
      <w:spacing w:line="300" w:lineRule="auto"/>
      <w:ind w:firstLine="0" w:firstLineChars="0"/>
    </w:pPr>
    <w:rPr>
      <w:sz w:val="21"/>
      <w:szCs w:val="20"/>
      <w:lang w:eastAsia="zh-TW"/>
    </w:rPr>
  </w:style>
  <w:style w:type="paragraph" w:styleId="9">
    <w:name w:val="envelope return"/>
    <w:basedOn w:val="1"/>
    <w:qFormat/>
    <w:uiPriority w:val="0"/>
    <w:pPr>
      <w:snapToGrid w:val="0"/>
    </w:pPr>
    <w:rPr>
      <w:rFonts w:ascii="Arial" w:hAnsi="Arial"/>
    </w:rPr>
  </w:style>
  <w:style w:type="paragraph" w:styleId="10">
    <w:name w:val="Plain Text"/>
    <w:basedOn w:val="1"/>
    <w:qFormat/>
    <w:uiPriority w:val="0"/>
    <w:pPr>
      <w:adjustRightInd w:val="0"/>
      <w:ind w:firstLine="560" w:firstLineChars="200"/>
    </w:pPr>
    <w:rPr>
      <w:rFonts w:ascii="宋体" w:hAnsi="Courier New" w:eastAsia="仿宋_GB2312"/>
      <w:sz w:val="28"/>
      <w:szCs w:val="20"/>
    </w:r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Body Text First Indent 2"/>
    <w:basedOn w:val="8"/>
    <w:qFormat/>
    <w:uiPriority w:val="0"/>
    <w:pPr>
      <w:ind w:firstLine="200" w:firstLineChars="2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6">
    <w:name w:val="No Spacing"/>
    <w:qFormat/>
    <w:uiPriority w:val="1"/>
    <w:rPr>
      <w:rFonts w:ascii="宋体" w:hAnsi="宋体" w:eastAsia="宋体" w:cs="Times New Roman"/>
      <w:sz w:val="22"/>
      <w:szCs w:val="22"/>
      <w:lang w:val="en-US" w:eastAsia="zh-CN" w:bidi="ar-SA"/>
    </w:rPr>
  </w:style>
  <w:style w:type="paragraph" w:styleId="17">
    <w:name w:val="List Paragraph"/>
    <w:basedOn w:val="1"/>
    <w:qFormat/>
    <w:uiPriority w:val="1"/>
    <w:pPr>
      <w:ind w:left="117" w:right="275" w:firstLine="639"/>
    </w:pPr>
    <w:rPr>
      <w:rFonts w:ascii="仿宋_GB2312" w:hAnsi="仿宋_GB2312" w:eastAsia="仿宋_GB2312" w:cs="仿宋_GB2312"/>
      <w:lang w:val="zh-CN" w:eastAsia="zh-CN" w:bidi="zh-CN"/>
    </w:rPr>
  </w:style>
  <w:style w:type="paragraph" w:customStyle="1" w:styleId="18">
    <w:name w:val="样式 35 10 磅"/>
    <w:qFormat/>
    <w:uiPriority w:val="0"/>
    <w:pPr>
      <w:widowControl w:val="0"/>
      <w:jc w:val="both"/>
    </w:pPr>
    <w:rPr>
      <w:rFonts w:ascii="Times New Roman" w:hAnsi="Times New Roman" w:eastAsia="宋体" w:cs="黑体"/>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921</Words>
  <Characters>1028</Characters>
  <Paragraphs>263</Paragraphs>
  <TotalTime>8</TotalTime>
  <ScaleCrop>false</ScaleCrop>
  <LinksUpToDate>false</LinksUpToDate>
  <CharactersWithSpaces>1036</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2022-08-03T06:35:00Z</dcterms:created>
  <dc:creator>pengjy</dc:creator>
  <cp:lastModifiedBy>E20B9FAAE1464AA8B94D26AC8CD77CA9</cp:lastModifiedBy>
  <cp:lastPrinted>2025-08-06T10:33:00Z</cp:lastPrinted>
  <dcterms:modified xsi:type="dcterms:W3CDTF">2025-08-22T00:56:23Z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721767C085684A38A7C15A41CE28ED41</vt:lpwstr>
  </property>
  <property fmtid="{D5CDD505-2E9C-101B-9397-08002B2CF9AE}" pid="4" name="KSOTemplateDocerSaveRecord">
    <vt:lpwstr>eyJoZGlkIjoiMGIxOThkOWI2NWE2ZTQ1N2MzZDcyZjdkOWEyODg3MDYiLCJ1c2VySWQiOiI3MDAzNjUyODIifQ==</vt:lpwstr>
  </property>
</Properties>
</file>