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pPr>
      <w:r>
        <w:drawing>
          <wp:anchor distT="0" distB="0" distL="114300" distR="114300" simplePos="0" relativeHeight="251659264" behindDoc="0" locked="0" layoutInCell="1" allowOverlap="1">
            <wp:simplePos x="0" y="0"/>
            <wp:positionH relativeFrom="column">
              <wp:posOffset>-1071880</wp:posOffset>
            </wp:positionH>
            <wp:positionV relativeFrom="paragraph">
              <wp:posOffset>-1008380</wp:posOffset>
            </wp:positionV>
            <wp:extent cx="7581900" cy="2234565"/>
            <wp:effectExtent l="0" t="0" r="0" b="13335"/>
            <wp:wrapNone/>
            <wp:docPr id="492" name="图片 492" descr="变形体（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92" descr="变形体（蓝）"/>
                    <pic:cNvPicPr>
                      <a:picLocks noChangeAspect="1" noChangeArrowheads="1"/>
                    </pic:cNvPicPr>
                  </pic:nvPicPr>
                  <pic:blipFill>
                    <a:blip r:embed="rId10" cstate="print"/>
                    <a:srcRect/>
                    <a:stretch>
                      <a:fillRect/>
                    </a:stretch>
                  </pic:blipFill>
                  <pic:spPr>
                    <a:xfrm>
                      <a:off x="0" y="0"/>
                      <a:ext cx="7591425" cy="2237140"/>
                    </a:xfrm>
                    <a:prstGeom prst="rect">
                      <a:avLst/>
                    </a:prstGeom>
                    <a:noFill/>
                    <a:ln w="9525">
                      <a:noFill/>
                      <a:miter lim="800000"/>
                      <a:headEnd/>
                      <a:tailEnd/>
                    </a:ln>
                  </pic:spPr>
                </pic:pic>
              </a:graphicData>
            </a:graphic>
          </wp:anchor>
        </w:drawing>
      </w:r>
    </w:p>
    <w:p>
      <w:pPr>
        <w:spacing w:line="360" w:lineRule="auto"/>
      </w:pPr>
    </w:p>
    <w:p>
      <w:pPr>
        <w:spacing w:line="360" w:lineRule="auto"/>
      </w:pPr>
      <w:r>
        <w:rPr>
          <w:rFonts w:hint="eastAsia"/>
        </w:rPr>
        <w:drawing>
          <wp:anchor distT="0" distB="0" distL="114300" distR="114300" simplePos="0" relativeHeight="251660288" behindDoc="0" locked="0" layoutInCell="1" allowOverlap="1">
            <wp:simplePos x="0" y="0"/>
            <wp:positionH relativeFrom="column">
              <wp:posOffset>62865</wp:posOffset>
            </wp:positionH>
            <wp:positionV relativeFrom="paragraph">
              <wp:posOffset>128270</wp:posOffset>
            </wp:positionV>
            <wp:extent cx="2047875" cy="362585"/>
            <wp:effectExtent l="0" t="0" r="9525" b="18415"/>
            <wp:wrapNone/>
            <wp:docPr id="613" name="图片 613" descr="南方电网（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613" descr="南方电网（横）"/>
                    <pic:cNvPicPr>
                      <a:picLocks noChangeAspect="1" noChangeArrowheads="1"/>
                    </pic:cNvPicPr>
                  </pic:nvPicPr>
                  <pic:blipFill>
                    <a:blip r:embed="rId11" cstate="print"/>
                    <a:srcRect/>
                    <a:stretch>
                      <a:fillRect/>
                    </a:stretch>
                  </pic:blipFill>
                  <pic:spPr>
                    <a:xfrm>
                      <a:off x="0" y="0"/>
                      <a:ext cx="2047875" cy="362585"/>
                    </a:xfrm>
                    <a:prstGeom prst="rect">
                      <a:avLst/>
                    </a:prstGeom>
                    <a:noFill/>
                    <a:ln w="9525">
                      <a:noFill/>
                      <a:miter lim="800000"/>
                      <a:headEnd/>
                      <a:tailEnd/>
                    </a:ln>
                  </pic:spPr>
                </pic:pic>
              </a:graphicData>
            </a:graphic>
          </wp:anchor>
        </w:drawing>
      </w:r>
    </w:p>
    <w:p>
      <w:pPr>
        <w:spacing w:line="360" w:lineRule="auto"/>
      </w:pPr>
    </w:p>
    <w:p>
      <w:pPr>
        <w:spacing w:line="360" w:lineRule="auto"/>
      </w:pPr>
    </w:p>
    <w:p>
      <w:pPr>
        <w:ind w:firstLine="1760" w:firstLineChars="400"/>
        <w:rPr>
          <w:sz w:val="44"/>
          <w:szCs w:val="44"/>
        </w:rPr>
      </w:pPr>
    </w:p>
    <w:p>
      <w:pPr>
        <w:ind w:firstLine="1760" w:firstLineChars="400"/>
        <w:rPr>
          <w:sz w:val="44"/>
          <w:szCs w:val="44"/>
        </w:rPr>
      </w:pPr>
    </w:p>
    <w:p>
      <w:pPr>
        <w:ind w:firstLine="1760" w:firstLineChars="400"/>
        <w:rPr>
          <w:sz w:val="44"/>
          <w:szCs w:val="44"/>
        </w:rPr>
      </w:pPr>
    </w:p>
    <w:p>
      <w:pPr>
        <w:ind w:firstLine="2640" w:firstLineChars="600"/>
        <w:rPr>
          <w:sz w:val="44"/>
          <w:szCs w:val="44"/>
        </w:rPr>
      </w:pPr>
      <w:r>
        <w:rPr>
          <w:sz w:val="44"/>
          <w:szCs w:val="44"/>
        </w:rPr>
        <w:t>网络高清摄像头</w:t>
      </w:r>
    </w:p>
    <w:p>
      <w:pPr>
        <w:ind w:firstLine="3080" w:firstLineChars="700"/>
        <w:rPr>
          <w:rFonts w:hint="eastAsia" w:eastAsia="宋体"/>
          <w:sz w:val="44"/>
          <w:szCs w:val="44"/>
          <w:lang w:val="en-US" w:eastAsia="zh-CN"/>
        </w:rPr>
      </w:pPr>
      <w:r>
        <w:rPr>
          <w:rFonts w:hint="eastAsia"/>
          <w:sz w:val="44"/>
          <w:szCs w:val="44"/>
          <w:lang w:eastAsia="zh-CN"/>
        </w:rPr>
        <w:t>技术规范书</w:t>
      </w:r>
    </w:p>
    <w:p>
      <w:pPr>
        <w:rPr>
          <w:sz w:val="44"/>
          <w:szCs w:val="44"/>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ind w:firstLine="1280" w:firstLineChars="400"/>
        <w:rPr>
          <w:rFonts w:hint="eastAsia"/>
          <w:sz w:val="32"/>
          <w:szCs w:val="32"/>
          <w:lang w:eastAsia="zh-CN"/>
        </w:rPr>
      </w:pPr>
    </w:p>
    <w:p>
      <w:pPr>
        <w:rPr>
          <w:sz w:val="32"/>
          <w:szCs w:val="32"/>
        </w:rPr>
      </w:pPr>
      <w:r>
        <w:rPr>
          <w:rFonts w:hint="eastAsia"/>
          <w:sz w:val="32"/>
          <w:szCs w:val="32"/>
          <w:lang w:eastAsia="zh-CN"/>
        </w:rPr>
        <w:t>项目名称：</w:t>
      </w:r>
      <w:r>
        <w:rPr>
          <w:sz w:val="32"/>
          <w:szCs w:val="32"/>
        </w:rPr>
        <w:t>2024年分布式数据中心升级改造（信息机房建设）</w:t>
      </w:r>
    </w:p>
    <w:p>
      <w:pPr>
        <w:ind w:firstLine="1280" w:firstLineChars="400"/>
        <w:rPr>
          <w:sz w:val="32"/>
          <w:szCs w:val="32"/>
        </w:rPr>
      </w:pPr>
    </w:p>
    <w:p>
      <w:pPr>
        <w:spacing w:line="360" w:lineRule="auto"/>
      </w:pPr>
    </w:p>
    <w:p>
      <w:pPr>
        <w:spacing w:line="360" w:lineRule="auto"/>
        <w:ind w:firstLine="3313" w:firstLineChars="1000"/>
        <w:jc w:val="both"/>
        <w:rPr>
          <w:rFonts w:hint="eastAsia" w:ascii="汉仪大宋简" w:eastAsia="汉仪大宋简"/>
          <w:b/>
          <w:bCs/>
          <w:sz w:val="33"/>
          <w:szCs w:val="33"/>
          <w:lang w:val="en-US" w:eastAsia="zh-CN"/>
        </w:rPr>
      </w:pPr>
      <w:r>
        <w:rPr>
          <w:rFonts w:hint="eastAsia" w:ascii="汉仪大宋简" w:eastAsia="汉仪大宋简"/>
          <w:b/>
          <w:bCs/>
          <w:sz w:val="33"/>
          <w:szCs w:val="33"/>
          <w:lang w:val="en-US" w:eastAsia="zh-CN"/>
        </w:rPr>
        <w:t>南宁供电局</w:t>
      </w:r>
    </w:p>
    <w:p>
      <w:pPr>
        <w:spacing w:line="360" w:lineRule="auto"/>
        <w:jc w:val="center"/>
        <w:rPr>
          <w:rFonts w:hint="default" w:ascii="黑体" w:eastAsia="汉仪大宋简"/>
          <w:sz w:val="33"/>
          <w:szCs w:val="33"/>
          <w:lang w:val="en-US" w:eastAsia="zh-CN"/>
        </w:rPr>
      </w:pPr>
      <w:r>
        <w:rPr>
          <w:rFonts w:hint="eastAsia" w:ascii="汉仪大宋简" w:eastAsia="汉仪大宋简"/>
          <w:b/>
          <w:bCs/>
          <w:sz w:val="33"/>
          <w:szCs w:val="33"/>
        </w:rPr>
        <w:t>202</w:t>
      </w:r>
      <w:r>
        <w:rPr>
          <w:rFonts w:hint="eastAsia" w:ascii="汉仪大宋简" w:eastAsia="汉仪大宋简"/>
          <w:b/>
          <w:bCs/>
          <w:sz w:val="33"/>
          <w:szCs w:val="33"/>
          <w:lang w:val="en-US" w:eastAsia="zh-CN"/>
        </w:rPr>
        <w:t>5</w:t>
      </w:r>
      <w:r>
        <w:rPr>
          <w:rFonts w:hint="eastAsia" w:ascii="汉仪大宋简" w:eastAsia="汉仪大宋简"/>
          <w:b/>
          <w:bCs/>
          <w:sz w:val="33"/>
          <w:szCs w:val="33"/>
        </w:rPr>
        <w:t>.</w:t>
      </w:r>
      <w:r>
        <w:rPr>
          <w:rFonts w:hint="eastAsia" w:ascii="汉仪大宋简" w:eastAsia="汉仪大宋简"/>
          <w:b/>
          <w:bCs/>
          <w:sz w:val="33"/>
          <w:szCs w:val="33"/>
          <w:lang w:val="en-US" w:eastAsia="zh-CN"/>
        </w:rPr>
        <w:t>7</w:t>
      </w:r>
    </w:p>
    <w:p>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r>
      <w:r>
        <w:rPr>
          <w:rFonts w:hint="eastAsia" w:asciiTheme="minorEastAsia" w:hAnsiTheme="minorEastAsia" w:eastAsiaTheme="minorEastAsia" w:cstheme="minorEastAsia"/>
          <w:color w:val="000000" w:themeColor="text1"/>
          <w14:textFill>
            <w14:solidFill>
              <w14:schemeClr w14:val="tx1"/>
            </w14:solidFill>
          </w14:textFill>
        </w:rPr>
        <w:t>目  录</w:t>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TOC \o "1-1" \h \z \u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"_Toc353115665"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1. 总则</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PAGEREF _Toc353115665 \h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14:textFill>
            <w14:solidFill>
              <w14:schemeClr w14:val="tx1"/>
            </w14:solidFill>
          </w14:textFill>
        </w:rPr>
        <w:t>1</w: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"_Toc353115666"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2. 应遵循的主要标准</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PAGEREF _Toc353115666 \h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14:textFill>
            <w14:solidFill>
              <w14:schemeClr w14:val="tx1"/>
            </w14:solidFill>
          </w14:textFill>
        </w:rPr>
        <w:t>3</w: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"_Toc353115667"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3. 项目概述</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PAGEREF _Toc353115667 \h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"_Toc353115668"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4. 范围和内容</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PAGEREF _Toc353115668 \h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"_Toc353115669"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5. 总体要求</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PAGEREF _Toc353115669 \h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14:textFill>
            <w14:solidFill>
              <w14:schemeClr w14:val="tx1"/>
            </w14:solidFill>
          </w14:textFill>
        </w:rPr>
        <w:t>6</w: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"_Toc353115670"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6. 主要技术要求</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t>7</w:t>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"_Toc353115671"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14:textFill>
            <w14:solidFill>
              <w14:schemeClr w14:val="tx1"/>
            </w14:solidFill>
          </w14:textFill>
        </w:rPr>
        <w:t>7. 其他要求</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t>9</w:t>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pStyle w:val="10"/>
        <w:rPr>
          <w:rFonts w:hint="eastAsia" w:asciiTheme="minorEastAsia" w:hAnsiTheme="minorEastAsia" w:eastAsiaTheme="minorEastAsia" w:cstheme="minorEastAsia"/>
          <w:color w:val="000000" w:themeColor="text1"/>
          <w:sz w:val="21"/>
          <w:szCs w:val="22"/>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"_Toc353115671" </w:instrText>
      </w:r>
      <w:r>
        <w:rPr>
          <w:rFonts w:hint="eastAsia" w:asciiTheme="minorEastAsia" w:hAnsiTheme="minorEastAsia" w:eastAsiaTheme="minorEastAsia" w:cstheme="minorEastAsia"/>
        </w:rPr>
        <w:fldChar w:fldCharType="separate"/>
      </w:r>
      <w:r>
        <w:rPr>
          <w:rStyle w:val="15"/>
          <w:rFonts w:hint="eastAsia" w:asciiTheme="minorEastAsia" w:hAnsiTheme="minorEastAsia" w:eastAsiaTheme="minorEastAsia" w:cstheme="minorEastAsia"/>
          <w:color w:val="000000" w:themeColor="text1"/>
          <w:u w:val="none"/>
          <w14:textFill>
            <w14:solidFill>
              <w14:schemeClr w14:val="tx1"/>
            </w14:solidFill>
          </w14:textFill>
        </w:rPr>
        <w:t>8. 附件</w:t>
      </w:r>
      <w:r>
        <w:rPr>
          <w:rFonts w:hint="eastAsia" w:asciiTheme="minorEastAsia" w:hAnsiTheme="minorEastAsia" w:eastAsiaTheme="minorEastAsia" w:cstheme="minorEastAsia"/>
          <w:color w:val="000000" w:themeColor="text1"/>
          <w14:textFill>
            <w14:solidFill>
              <w14:schemeClr w14:val="tx1"/>
            </w14:solidFill>
          </w14:textFill>
        </w:rPr>
        <w:tab/>
      </w:r>
      <w:r>
        <w:rPr>
          <w:rFonts w:hint="eastAsia" w:asciiTheme="minorEastAsia" w:hAnsiTheme="minorEastAsia" w:eastAsiaTheme="minorEastAsia" w:cstheme="minorEastAsia"/>
          <w:color w:val="000000" w:themeColor="text1"/>
          <w14:textFill>
            <w14:solidFill>
              <w14:schemeClr w14:val="tx1"/>
            </w14:solidFill>
          </w14:textFill>
        </w:rPr>
        <w:t>10</w:t>
      </w: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pPr>
        <w:rPr>
          <w:rFonts w:hint="eastAsia" w:asciiTheme="minorEastAsia" w:hAnsiTheme="minorEastAsia" w:eastAsiaTheme="minorEastAsia" w:cstheme="minorEastAsia"/>
          <w:color w:val="000000" w:themeColor="text1"/>
          <w14:textFill>
            <w14:solidFill>
              <w14:schemeClr w14:val="tx1"/>
            </w14:solidFill>
          </w14:textFill>
        </w:rPr>
      </w:pPr>
    </w:p>
    <w:p>
      <w:pPr>
        <w:rPr>
          <w:rFonts w:hint="eastAsia" w:asciiTheme="minorEastAsia" w:hAnsiTheme="minorEastAsia" w:eastAsiaTheme="minorEastAsia" w:cstheme="minorEastAsia"/>
          <w:color w:val="000000" w:themeColor="text1"/>
          <w14:textFill>
            <w14:solidFill>
              <w14:schemeClr w14:val="tx1"/>
            </w14:solidFill>
          </w14:textFill>
        </w:rPr>
        <w:sectPr>
          <w:footerReference r:id="rId5" w:type="default"/>
          <w:footerReference r:id="rId6" w:type="even"/>
          <w:pgSz w:w="11906" w:h="16838"/>
          <w:pgMar w:top="1440" w:right="1800" w:bottom="1440" w:left="1800" w:header="851" w:footer="992" w:gutter="0"/>
          <w:cols w:space="425" w:num="1"/>
          <w:docGrid w:type="lines" w:linePitch="312" w:charSpace="0"/>
        </w:sectPr>
      </w:pPr>
    </w:p>
    <w:p>
      <w:pPr>
        <w:pStyle w:val="3"/>
        <w:rPr>
          <w:rFonts w:hint="eastAsia" w:asciiTheme="minorEastAsia" w:hAnsiTheme="minorEastAsia" w:eastAsiaTheme="minorEastAsia" w:cstheme="minorEastAsia"/>
          <w:color w:val="000000" w:themeColor="text1"/>
          <w14:textFill>
            <w14:solidFill>
              <w14:schemeClr w14:val="tx1"/>
            </w14:solidFill>
          </w14:textFill>
        </w:rPr>
      </w:pPr>
      <w:bookmarkStart w:id="0" w:name="_Toc353115665"/>
      <w:r>
        <w:rPr>
          <w:rFonts w:hint="eastAsia" w:asciiTheme="minorEastAsia" w:hAnsiTheme="minorEastAsia" w:eastAsiaTheme="minorEastAsia" w:cstheme="minorEastAsia"/>
          <w:color w:val="000000" w:themeColor="text1"/>
          <w14:textFill>
            <w14:solidFill>
              <w14:schemeClr w14:val="tx1"/>
            </w14:solidFill>
          </w14:textFill>
        </w:rPr>
        <w:t>总则</w:t>
      </w:r>
      <w:bookmarkEnd w:id="0"/>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1.1一般要求</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投标方必须认真阅读本技术条款内容，以免造成投标失败。</w:t>
      </w:r>
    </w:p>
    <w:p>
      <w:pPr>
        <w:jc w:val="lef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本技术规范书主要描</w:t>
      </w:r>
      <w:r>
        <w:rPr>
          <w:rFonts w:hint="eastAsia" w:asciiTheme="minorEastAsia" w:hAnsiTheme="minorEastAsia" w:eastAsiaTheme="minorEastAsia" w:cstheme="minorEastAsia"/>
        </w:rPr>
        <w:t>述</w:t>
      </w: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2024年分布式数据中心升级改造（信息机房建设）项目（</w:t>
      </w:r>
      <w:r>
        <w:rPr>
          <w:rFonts w:hint="eastAsia" w:asciiTheme="minorEastAsia" w:hAnsiTheme="minorEastAsia" w:eastAsiaTheme="minorEastAsia" w:cstheme="minorEastAsia"/>
          <w:color w:val="auto"/>
          <w:u w:val="none"/>
          <w:lang w:eastAsia="zh-CN"/>
        </w:rPr>
        <w:t>摄像</w:t>
      </w:r>
      <w:r>
        <w:rPr>
          <w:rFonts w:hint="eastAsia" w:asciiTheme="minorEastAsia" w:hAnsiTheme="minorEastAsia" w:eastAsiaTheme="minorEastAsia" w:cstheme="minorEastAsia"/>
          <w:lang w:eastAsia="zh-CN"/>
        </w:rPr>
        <w:t>头）采购</w:t>
      </w:r>
      <w:r>
        <w:rPr>
          <w:rFonts w:hint="eastAsia" w:asciiTheme="minorEastAsia" w:hAnsiTheme="minorEastAsia" w:eastAsiaTheme="minorEastAsia" w:cstheme="minorEastAsia"/>
          <w:color w:val="000000" w:themeColor="text1"/>
          <w14:textFill>
            <w14:solidFill>
              <w14:schemeClr w14:val="tx1"/>
            </w14:solidFill>
          </w14:textFill>
        </w:rPr>
        <w:t>要求有关事项。</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如果投标方认为本技术条款所描述技术要求等存在不合理性或不明白的，可在响应原要求后陈述相关建议。</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投标方也可提出满足本技术规范书要求，且技术先进、成熟、价格合理的其他建议，供招标方选择。</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投标方应提供满足本技术规范书要求的完整的服务、工作产品，满足国家及用户提出的有关质量标准要求。所有工作产品必须具有在中国境内的合法使用权。</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本技术规范书所使用的标准如与投标方所执行的标准不一致，按较高标准执行。</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如果因为无法提供的原因而提供其他产品、服务，投标方应明确说明并提出质量保证承诺。</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投标方应保证为今后招标方开发的或招标方委托第三方开发的其他工作产品提供可靠的性能和兼容性。</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投标方应对本次投标所有文件保密，不得向其他单位公布或泄漏招标项目的有关信息。</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招标方保留技术规范书修改的权利，可以提出变更的意见和建议，最终签订的技术协议与合同具有同等效力。</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在不超出本技术规范书要求的情况下，投标方应对招标方提出的所有细化要求予以满足。</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有文件、图纸、通信的均使用中文。所有计算、说明、图纸文件、手册等使用国际单位制。</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1.2投标方职责</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负责合同内所需服务、工作产品的方案设计，并根据招标方需求细化。</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w:t>
      </w:r>
      <w:r>
        <w:rPr>
          <w:rFonts w:hint="eastAsia" w:asciiTheme="minorEastAsia" w:hAnsiTheme="minorEastAsia" w:eastAsiaTheme="minorEastAsia" w:cstheme="minorEastAsia"/>
          <w:color w:val="000000" w:themeColor="text1"/>
          <w:lang w:eastAsia="zh-CN"/>
          <w14:textFill>
            <w14:solidFill>
              <w14:schemeClr w14:val="tx1"/>
            </w14:solidFill>
          </w14:textFill>
        </w:rPr>
        <w:t>设备</w:t>
      </w:r>
      <w:r>
        <w:rPr>
          <w:rFonts w:hint="eastAsia" w:asciiTheme="minorEastAsia" w:hAnsiTheme="minorEastAsia" w:eastAsiaTheme="minorEastAsia" w:cstheme="minorEastAsia"/>
          <w:color w:val="000000" w:themeColor="text1"/>
          <w14:textFill>
            <w14:solidFill>
              <w14:schemeClr w14:val="tx1"/>
            </w14:solidFill>
          </w14:textFill>
        </w:rPr>
        <w:t>现场验收。</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w:t>
      </w:r>
      <w:r>
        <w:rPr>
          <w:rFonts w:hint="eastAsia" w:asciiTheme="minorEastAsia" w:hAnsiTheme="minorEastAsia" w:eastAsiaTheme="minorEastAsia" w:cstheme="minorEastAsia"/>
          <w:color w:val="000000" w:themeColor="text1"/>
          <w:lang w:eastAsia="zh-CN"/>
          <w14:textFill>
            <w14:solidFill>
              <w14:schemeClr w14:val="tx1"/>
            </w14:solidFill>
          </w14:textFill>
        </w:rPr>
        <w:t>按需</w:t>
      </w:r>
      <w:r>
        <w:rPr>
          <w:rFonts w:hint="eastAsia" w:asciiTheme="minorEastAsia" w:hAnsiTheme="minorEastAsia" w:eastAsiaTheme="minorEastAsia" w:cstheme="minorEastAsia"/>
          <w:color w:val="000000" w:themeColor="text1"/>
          <w14:textFill>
            <w14:solidFill>
              <w14:schemeClr w14:val="tx1"/>
            </w14:solidFill>
          </w14:textFill>
        </w:rPr>
        <w:t>对招标方运行人员的技术培训。</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列出需招标方提供的数据、资料详细清单。</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负责提供产品的所有文件资料和技术资料。</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负责最终提供的全部技术资料的准确性。</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保证提供的所有产品</w:t>
      </w:r>
      <w:r>
        <w:rPr>
          <w:rFonts w:hint="eastAsia" w:asciiTheme="minorEastAsia" w:hAnsiTheme="minorEastAsia" w:eastAsiaTheme="minorEastAsia" w:cstheme="minorEastAsia"/>
          <w:color w:val="000000" w:themeColor="text1"/>
          <w:lang w:eastAsia="zh-CN"/>
          <w14:textFill>
            <w14:solidFill>
              <w14:schemeClr w14:val="tx1"/>
            </w14:solidFill>
          </w14:textFill>
        </w:rPr>
        <w:t>、服务</w:t>
      </w:r>
      <w:r>
        <w:rPr>
          <w:rFonts w:hint="eastAsia" w:asciiTheme="minorEastAsia" w:hAnsiTheme="minorEastAsia" w:eastAsiaTheme="minorEastAsia" w:cstheme="minorEastAsia"/>
          <w:color w:val="000000" w:themeColor="text1"/>
          <w14:textFill>
            <w14:solidFill>
              <w14:schemeClr w14:val="tx1"/>
            </w14:solidFill>
          </w14:textFill>
        </w:rPr>
        <w:t>的质量及技术指标完全满足合同要求。</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1.3招标方职责</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负责提供与本项目有关的技术资料、参数及图纸。</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确认投标方提供的服务、工作产品的文件资料和技术。</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提供满足招标方开展工作的环境条件。</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负责向投标方解释技术规范书中的要求。</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配合投标方完成项目工作，并组织验收。</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负责提供招标方办公区域的活动场地。</w:t>
      </w:r>
    </w:p>
    <w:p>
      <w:pPr>
        <w:rPr>
          <w:rFonts w:hint="eastAsia" w:asciiTheme="minorEastAsia" w:hAnsiTheme="minorEastAsia" w:eastAsiaTheme="minorEastAsia" w:cstheme="minorEastAsia"/>
          <w:color w:val="000000" w:themeColor="text1"/>
          <w14:textFill>
            <w14:solidFill>
              <w14:schemeClr w14:val="tx1"/>
            </w14:solidFill>
          </w14:textFill>
        </w:rPr>
      </w:pP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1" w:name="_Toc353115667"/>
      <w:bookmarkStart w:id="2" w:name="_Toc351129172"/>
      <w:r>
        <w:rPr>
          <w:rFonts w:hint="eastAsia" w:asciiTheme="minorEastAsia" w:hAnsiTheme="minorEastAsia" w:eastAsiaTheme="minorEastAsia" w:cstheme="minorEastAsia"/>
          <w:color w:val="000000" w:themeColor="text1"/>
          <w14:textFill>
            <w14:solidFill>
              <w14:schemeClr w14:val="tx1"/>
            </w14:solidFill>
          </w14:textFill>
        </w:rPr>
        <w:t>应遵循的主要标准</w:t>
      </w:r>
      <w:bookmarkEnd w:id="1"/>
      <w:bookmarkEnd w:id="2"/>
    </w:p>
    <w:p>
      <w:p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本项目的工作应遵循以下标准和文件要求：</w:t>
      </w:r>
    </w:p>
    <w:tbl>
      <w:tblPr>
        <w:tblStyle w:val="12"/>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Q/CSG118005-2012</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中国南方电网有限责任公司信息机房建设技术规范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Q/CSG118012-2011</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中国南方电网有限责任公司办公局域网建设技术规范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桂电信〔2014〕16号</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广西电网有限责任公司县级供电企业信息化软硬件基础设施定置规范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GB 50174-2008</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电子信息系统机房设计规范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GB 50174-2008</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电子信息系统机房施工及验收规范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GB_T 9361-2011</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计算机场地安全要求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GB_T 2887-2011</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计算机场地通用规范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GB50016-2006</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建筑设计防火规范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GB50234-2011</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通风与空调工程施工质量验收规范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GB8624-2006</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建筑材料及制品燃烧性能分级方法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GB 50222-2001</w:t>
            </w:r>
          </w:p>
        </w:tc>
        <w:tc>
          <w:tcPr>
            <w:tcW w:w="5812" w:type="dxa"/>
            <w:tcBorders>
              <w:top w:val="single" w:color="000000" w:sz="4" w:space="0"/>
              <w:left w:val="single" w:color="000000" w:sz="4" w:space="0"/>
              <w:bottom w:val="single" w:color="000000" w:sz="4" w:space="0"/>
              <w:right w:val="single" w:color="000000" w:sz="4" w:space="0"/>
            </w:tcBorders>
          </w:tcPr>
          <w:p>
            <w:pP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32"/>
                <w14:textFill>
                  <w14:solidFill>
                    <w14:schemeClr w14:val="tx1"/>
                  </w14:solidFill>
                </w14:textFill>
              </w:rPr>
              <w:t>建筑内部装修设计防火规范</w:t>
            </w:r>
          </w:p>
        </w:tc>
      </w:tr>
    </w:tbl>
    <w:p>
      <w:p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3" w:name="_Toc353115666"/>
      <w:r>
        <w:rPr>
          <w:rFonts w:hint="eastAsia" w:asciiTheme="minorEastAsia" w:hAnsiTheme="minorEastAsia" w:eastAsiaTheme="minorEastAsia" w:cstheme="minorEastAsia"/>
          <w:color w:val="000000" w:themeColor="text1"/>
          <w14:textFill>
            <w14:solidFill>
              <w14:schemeClr w14:val="tx1"/>
            </w14:solidFill>
          </w14:textFill>
        </w:rPr>
        <w:t>项目概述</w:t>
      </w:r>
      <w:bookmarkEnd w:id="3"/>
    </w:p>
    <w:p>
      <w:pPr>
        <w:ind w:firstLine="48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本项目将</w:t>
      </w:r>
      <w:r>
        <w:rPr>
          <w:rFonts w:hint="eastAsia" w:asciiTheme="minorEastAsia" w:hAnsiTheme="minorEastAsia" w:eastAsiaTheme="minorEastAsia" w:cstheme="minorEastAsia"/>
          <w:lang w:eastAsia="zh-CN"/>
        </w:rPr>
        <w:t>采购</w:t>
      </w:r>
      <w:r>
        <w:rPr>
          <w:rFonts w:hint="eastAsia" w:asciiTheme="minorEastAsia" w:hAnsiTheme="minorEastAsia" w:eastAsiaTheme="minorEastAsia" w:cstheme="minorEastAsia"/>
        </w:rPr>
        <w:t>网络高清摄像头</w:t>
      </w:r>
      <w:r>
        <w:rPr>
          <w:rFonts w:hint="eastAsia" w:asciiTheme="minorEastAsia" w:hAnsiTheme="minorEastAsia" w:eastAsiaTheme="minorEastAsia" w:cstheme="minorEastAsia"/>
          <w:lang w:val="en-US" w:eastAsia="zh-CN"/>
        </w:rPr>
        <w:t>4个</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具体区域为</w:t>
      </w:r>
      <w:r>
        <w:rPr>
          <w:rFonts w:hint="eastAsia" w:asciiTheme="minorEastAsia" w:hAnsiTheme="minorEastAsia" w:eastAsiaTheme="minorEastAsia" w:cstheme="minorEastAsia"/>
          <w:lang w:val="en-US" w:eastAsia="zh-CN"/>
        </w:rPr>
        <w:t>:良庆供电公司。</w:t>
      </w:r>
    </w:p>
    <w:p>
      <w:pPr>
        <w:ind w:firstLine="480" w:firstLineChars="200"/>
        <w:rPr>
          <w:rFonts w:hint="eastAsia" w:asciiTheme="minorEastAsia" w:hAnsiTheme="minorEastAsia" w:eastAsiaTheme="minorEastAsia" w:cstheme="minorEastAsia"/>
        </w:rPr>
      </w:pP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范围和内容</w:t>
      </w:r>
    </w:p>
    <w:p>
      <w:pPr>
        <w:pStyle w:val="4"/>
        <w:rPr>
          <w:rFonts w:hint="eastAsia" w:asciiTheme="minorEastAsia" w:hAnsiTheme="minorEastAsia" w:eastAsiaTheme="minorEastAsia" w:cstheme="minorEastAsia"/>
        </w:rPr>
      </w:pPr>
      <w:r>
        <w:rPr>
          <w:rFonts w:hint="eastAsia" w:asciiTheme="minorEastAsia" w:hAnsiTheme="minorEastAsia" w:eastAsiaTheme="minorEastAsia" w:cstheme="minorEastAsia"/>
        </w:rPr>
        <w:t>4.1项目建设范围</w:t>
      </w:r>
    </w:p>
    <w:p>
      <w:pPr>
        <w:ind w:firstLine="48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本项目将</w:t>
      </w:r>
      <w:r>
        <w:rPr>
          <w:rFonts w:hint="eastAsia" w:asciiTheme="minorEastAsia" w:hAnsiTheme="minorEastAsia" w:eastAsiaTheme="minorEastAsia" w:cstheme="minorEastAsia"/>
          <w:lang w:eastAsia="zh-CN"/>
        </w:rPr>
        <w:t>良庆供电公司</w:t>
      </w:r>
      <w:r>
        <w:rPr>
          <w:rFonts w:hint="eastAsia" w:asciiTheme="minorEastAsia" w:hAnsiTheme="minorEastAsia" w:eastAsiaTheme="minorEastAsia" w:cstheme="minorEastAsia"/>
        </w:rPr>
        <w:t>机房的视频监控系统升级为网络高清视频监控系统，主要更换网络高清摄像头</w:t>
      </w:r>
      <w:r>
        <w:rPr>
          <w:rFonts w:hint="eastAsia" w:asciiTheme="minorEastAsia" w:hAnsiTheme="minorEastAsia" w:eastAsiaTheme="minorEastAsia" w:cstheme="minorEastAsia"/>
          <w:lang w:val="en-US" w:eastAsia="zh-CN"/>
        </w:rPr>
        <w:t>4个</w:t>
      </w:r>
      <w:r>
        <w:rPr>
          <w:rFonts w:hint="eastAsia" w:asciiTheme="minorEastAsia" w:hAnsiTheme="minorEastAsia" w:eastAsiaTheme="minorEastAsia" w:cstheme="minorEastAsia"/>
          <w:lang w:eastAsia="zh-CN"/>
        </w:rPr>
        <w:t>采购：</w:t>
      </w:r>
    </w:p>
    <w:p>
      <w:pPr>
        <w:numPr>
          <w:ilvl w:val="0"/>
          <w:numId w:val="3"/>
        </w:numPr>
        <w:ind w:firstLine="48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本项目为良庆供电公司节点机房采购4个摄像头；</w:t>
      </w:r>
    </w:p>
    <w:p>
      <w:pPr>
        <w:rPr>
          <w:rFonts w:hint="eastAsia"/>
        </w:rPr>
      </w:pP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4.2本项目设备、材料采购范围</w:t>
      </w:r>
    </w:p>
    <w:tbl>
      <w:tblPr>
        <w:tblStyle w:val="12"/>
        <w:tblW w:w="8528" w:type="dxa"/>
        <w:tblInd w:w="0" w:type="dxa"/>
        <w:tblLayout w:type="fixed"/>
        <w:tblCellMar>
          <w:top w:w="15" w:type="dxa"/>
          <w:left w:w="108" w:type="dxa"/>
          <w:bottom w:w="15" w:type="dxa"/>
          <w:right w:w="108" w:type="dxa"/>
        </w:tblCellMar>
      </w:tblPr>
      <w:tblGrid>
        <w:gridCol w:w="696"/>
        <w:gridCol w:w="1128"/>
        <w:gridCol w:w="5525"/>
        <w:gridCol w:w="561"/>
        <w:gridCol w:w="618"/>
      </w:tblGrid>
      <w:tr>
        <w:tblPrEx>
          <w:tblCellMar>
            <w:top w:w="15" w:type="dxa"/>
            <w:left w:w="108" w:type="dxa"/>
            <w:bottom w:w="15" w:type="dxa"/>
            <w:right w:w="108" w:type="dxa"/>
          </w:tblCellMar>
        </w:tblPrEx>
        <w:trPr>
          <w:cantSplit/>
          <w:trHeight w:val="285"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序号</w:t>
            </w:r>
          </w:p>
        </w:tc>
        <w:tc>
          <w:tcPr>
            <w:tcW w:w="11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采购项</w:t>
            </w:r>
          </w:p>
        </w:tc>
        <w:tc>
          <w:tcPr>
            <w:tcW w:w="5525"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规格说明</w:t>
            </w:r>
          </w:p>
        </w:tc>
        <w:tc>
          <w:tcPr>
            <w:tcW w:w="56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数量</w:t>
            </w:r>
          </w:p>
        </w:tc>
        <w:tc>
          <w:tcPr>
            <w:tcW w:w="61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单位</w:t>
            </w:r>
          </w:p>
        </w:tc>
      </w:tr>
      <w:tr>
        <w:tblPrEx>
          <w:tblCellMar>
            <w:top w:w="15" w:type="dxa"/>
            <w:left w:w="108" w:type="dxa"/>
            <w:bottom w:w="15" w:type="dxa"/>
            <w:right w:w="108" w:type="dxa"/>
          </w:tblCellMar>
        </w:tblPrEx>
        <w:trPr>
          <w:cantSplit/>
          <w:trHeight w:val="96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hint="eastAsia" w:asciiTheme="minorEastAsia" w:hAnsiTheme="minorEastAsia" w:eastAsiaTheme="minorEastAsia" w:cstheme="minorEastAsia"/>
                <w:b/>
                <w:bCs/>
                <w:color w:val="000000"/>
                <w:kern w:val="0"/>
              </w:rPr>
            </w:pPr>
            <w:r>
              <w:rPr>
                <w:rFonts w:hint="eastAsia" w:asciiTheme="minorEastAsia" w:hAnsiTheme="minorEastAsia" w:eastAsiaTheme="minorEastAsia" w:cstheme="minorEastAsia"/>
                <w:b/>
                <w:bCs/>
                <w:color w:val="000000"/>
                <w:kern w:val="0"/>
              </w:rPr>
              <w:t>1</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40" w:lineRule="auto"/>
              <w:jc w:val="left"/>
              <w:rPr>
                <w:rFonts w:hint="eastAsia" w:asciiTheme="minorEastAsia" w:hAnsiTheme="minorEastAsia" w:eastAsiaTheme="minorEastAsia" w:cstheme="minorEastAsia"/>
                <w:color w:val="000000"/>
                <w:kern w:val="0"/>
              </w:rPr>
            </w:pPr>
            <w:r>
              <w:rPr>
                <w:rFonts w:hint="eastAsia" w:asciiTheme="minorEastAsia" w:hAnsiTheme="minorEastAsia" w:eastAsiaTheme="minorEastAsia" w:cstheme="minorEastAsia"/>
                <w:color w:val="000000"/>
                <w:lang w:val="en-US" w:eastAsia="zh-CN"/>
              </w:rPr>
              <w:t>网络高清摄像头</w:t>
            </w:r>
          </w:p>
        </w:tc>
        <w:tc>
          <w:tcPr>
            <w:tcW w:w="55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不低于</w:t>
            </w:r>
            <w:r>
              <w:rPr>
                <w:rFonts w:hint="eastAsia" w:asciiTheme="minorEastAsia" w:hAnsiTheme="minorEastAsia" w:eastAsiaTheme="minorEastAsia" w:cstheme="minorEastAsia"/>
                <w:color w:val="000000"/>
              </w:rPr>
              <w:t>1080P</w:t>
            </w:r>
            <w:r>
              <w:rPr>
                <w:rFonts w:hint="eastAsia" w:asciiTheme="minorEastAsia" w:hAnsiTheme="minorEastAsia" w:eastAsiaTheme="minorEastAsia" w:cstheme="minorEastAsia"/>
                <w:color w:val="000000"/>
                <w:lang w:val="en-US" w:eastAsia="zh-CN"/>
              </w:rPr>
              <w:t>网络高清摄像头</w:t>
            </w:r>
            <w:r>
              <w:rPr>
                <w:rFonts w:hint="eastAsia" w:asciiTheme="minorEastAsia" w:hAnsiTheme="minorEastAsia" w:eastAsiaTheme="minorEastAsia" w:cstheme="minorEastAsia"/>
                <w:color w:val="000000"/>
              </w:rPr>
              <w:br w:type="textWrapping"/>
            </w:r>
            <w:r>
              <w:rPr>
                <w:rFonts w:hint="eastAsia" w:asciiTheme="minorEastAsia" w:hAnsiTheme="minorEastAsia" w:eastAsiaTheme="minorEastAsia" w:cstheme="minorEastAsia"/>
                <w:color w:val="000000"/>
                <w:lang w:val="en-US" w:eastAsia="zh-CN"/>
              </w:rPr>
              <w:t xml:space="preserve">带红外夜视功能；1/2.7"CMOS；f=3.3~9mm； </w:t>
            </w:r>
          </w:p>
          <w:p>
            <w:pP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支持ROI，SVC，SMART H.264/H.265；灵活编码，适用不同带宽和存储环境；</w:t>
            </w:r>
          </w:p>
          <w:p>
            <w:pP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支持Micro SD/Micro SDHC /MicroSDXC卡(128GB或者256GB)断网本地存储及断网续传；支持音频输入/输出；</w:t>
            </w:r>
          </w:p>
          <w:p>
            <w:pP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内置麦克风，扬声器，支持双向语音功能；支持人脸识别、周界告警算法；</w:t>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val="en-US" w:eastAsia="zh-CN"/>
              </w:rPr>
              <w:t>人脸采集及识别，非白名单报警；电源供电支持DC12V，AC24V，POE（802.3af）；</w:t>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w:t>
            </w:r>
            <w:r>
              <w:rPr>
                <w:rFonts w:hint="eastAsia" w:asciiTheme="minorEastAsia" w:hAnsiTheme="minorEastAsia" w:eastAsiaTheme="minorEastAsia" w:cstheme="minorEastAsia"/>
                <w:color w:val="000000"/>
                <w:lang w:val="en-US" w:eastAsia="zh-CN"/>
              </w:rPr>
              <w:t>1/</w:t>
            </w:r>
            <w:r>
              <w:rPr>
                <w:rFonts w:hint="eastAsia" w:asciiTheme="minorEastAsia" w:hAnsiTheme="minorEastAsia" w:eastAsiaTheme="minorEastAsia" w:cstheme="minorEastAsia"/>
                <w:color w:val="000000"/>
              </w:rPr>
              <w:t>2.8英寸CMOS，支持H.265/H.264智能编码，具有≥20路取流路数能力，红外距离&gt;=50米，支持报警信号输入输出。</w:t>
            </w:r>
            <w:r>
              <w:rPr>
                <w:rFonts w:hint="eastAsia" w:asciiTheme="minorEastAsia" w:hAnsiTheme="minorEastAsia" w:eastAsiaTheme="minorEastAsia" w:cstheme="minorEastAsia"/>
                <w:color w:val="000000"/>
              </w:rPr>
              <w:br w:type="textWrapping"/>
            </w:r>
            <w:r>
              <w:rPr>
                <w:rFonts w:hint="eastAsia" w:asciiTheme="minorEastAsia" w:hAnsiTheme="minorEastAsia" w:eastAsiaTheme="minorEastAsia" w:cstheme="minorEastAsia"/>
                <w:color w:val="000000"/>
              </w:rPr>
              <w:t>2.8/3.6mm镜头可选，支持走廊模式，IP67防护等级，支持DC12V/POE供电，支持DC12V电源返送。</w:t>
            </w:r>
          </w:p>
        </w:tc>
        <w:tc>
          <w:tcPr>
            <w:tcW w:w="561" w:type="dxa"/>
            <w:tcBorders>
              <w:top w:val="single" w:color="000000" w:sz="4" w:space="0"/>
              <w:left w:val="single" w:color="000000" w:sz="4" w:space="0"/>
              <w:bottom w:val="single" w:color="000000" w:sz="4" w:space="0"/>
            </w:tcBorders>
            <w:shd w:val="clear" w:color="auto" w:fill="FFFFFF"/>
            <w:vAlign w:val="center"/>
          </w:tcPr>
          <w:p>
            <w:pPr>
              <w:jc w:val="center"/>
              <w:rPr>
                <w:rFonts w:hint="default"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4</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rPr>
              <w:t>个</w:t>
            </w:r>
          </w:p>
        </w:tc>
      </w:tr>
    </w:tbl>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 </w:t>
      </w:r>
    </w:p>
    <w:p>
      <w:pPr>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bCs/>
        </w:rPr>
        <w:t>备注：包装、运输</w:t>
      </w:r>
      <w:r>
        <w:rPr>
          <w:rFonts w:hint="eastAsia" w:asciiTheme="minorEastAsia" w:hAnsiTheme="minorEastAsia" w:eastAsiaTheme="minorEastAsia" w:cstheme="minorEastAsia"/>
          <w:bCs/>
          <w:lang w:eastAsia="zh-CN"/>
        </w:rPr>
        <w:t>（</w:t>
      </w:r>
      <w:r>
        <w:rPr>
          <w:rFonts w:hint="eastAsia" w:asciiTheme="minorEastAsia" w:hAnsiTheme="minorEastAsia" w:eastAsiaTheme="minorEastAsia" w:cstheme="minorEastAsia"/>
          <w:b/>
          <w:bCs w:val="0"/>
          <w:lang w:eastAsia="zh-CN"/>
        </w:rPr>
        <w:t>运输至仓库或指定位置</w:t>
      </w:r>
      <w:r>
        <w:rPr>
          <w:rFonts w:hint="eastAsia" w:asciiTheme="minorEastAsia" w:hAnsiTheme="minorEastAsia" w:eastAsiaTheme="minorEastAsia" w:cstheme="minorEastAsia"/>
          <w:bCs/>
          <w:lang w:eastAsia="zh-CN"/>
        </w:rPr>
        <w:t>）</w:t>
      </w:r>
      <w:r>
        <w:rPr>
          <w:rFonts w:hint="eastAsia" w:asciiTheme="minorEastAsia" w:hAnsiTheme="minorEastAsia" w:eastAsiaTheme="minorEastAsia" w:cstheme="minorEastAsia"/>
          <w:bCs/>
        </w:rPr>
        <w:t>及保险费用都应包含在设备报价中。上</w:t>
      </w:r>
      <w:r>
        <w:rPr>
          <w:rFonts w:hint="eastAsia" w:asciiTheme="minorEastAsia" w:hAnsiTheme="minorEastAsia" w:eastAsiaTheme="minorEastAsia" w:cstheme="minorEastAsia"/>
        </w:rPr>
        <w:t>表所列各种安装辅助材料规格及数量为预计，仅供投标方参考报价（报价含运输费用），实际材料需求（长度、数量、规格、接头等）最终</w:t>
      </w:r>
      <w:r>
        <w:rPr>
          <w:rFonts w:hint="eastAsia" w:asciiTheme="minorEastAsia" w:hAnsiTheme="minorEastAsia" w:eastAsiaTheme="minorEastAsia" w:cstheme="minorEastAsia"/>
          <w:lang w:eastAsia="zh-CN"/>
        </w:rPr>
        <w:t>必须符合设备安装</w:t>
      </w:r>
      <w:r>
        <w:rPr>
          <w:rFonts w:hint="eastAsia" w:asciiTheme="minorEastAsia" w:hAnsiTheme="minorEastAsia" w:eastAsiaTheme="minorEastAsia" w:cstheme="minorEastAsia"/>
        </w:rPr>
        <w:t>现场</w:t>
      </w:r>
      <w:r>
        <w:rPr>
          <w:rFonts w:hint="eastAsia" w:asciiTheme="minorEastAsia" w:hAnsiTheme="minorEastAsia" w:eastAsiaTheme="minorEastAsia" w:cstheme="minorEastAsia"/>
          <w:lang w:eastAsia="zh-CN"/>
        </w:rPr>
        <w:t>的</w:t>
      </w:r>
      <w:r>
        <w:rPr>
          <w:rFonts w:hint="eastAsia" w:asciiTheme="minorEastAsia" w:hAnsiTheme="minorEastAsia" w:eastAsiaTheme="minorEastAsia" w:cstheme="minorEastAsia"/>
        </w:rPr>
        <w:t>具体指标和实际要求，如实际要求超出招标规格及数量要求，招标方仅按投标方针对此项的报价付款，不再增加相关费用，投标方需承诺全部免费提供所超出部分。</w:t>
      </w:r>
    </w:p>
    <w:p>
      <w:pPr>
        <w:rPr>
          <w:rFonts w:hint="eastAsia" w:asciiTheme="minorEastAsia" w:hAnsiTheme="minorEastAsia" w:eastAsiaTheme="minorEastAsia" w:cstheme="minorEastAsia"/>
        </w:rPr>
      </w:pP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4" w:name="_Toc353115668"/>
      <w:r>
        <w:rPr>
          <w:rFonts w:hint="eastAsia" w:asciiTheme="minorEastAsia" w:hAnsiTheme="minorEastAsia" w:eastAsiaTheme="minorEastAsia" w:cstheme="minorEastAsia"/>
          <w:color w:val="000000" w:themeColor="text1"/>
          <w14:textFill>
            <w14:solidFill>
              <w14:schemeClr w14:val="tx1"/>
            </w14:solidFill>
          </w14:textFill>
        </w:rPr>
        <w:t>总体要求</w:t>
      </w:r>
      <w:bookmarkEnd w:id="4"/>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投标方必须响应并承诺下列要求。</w:t>
      </w:r>
      <w:bookmarkStart w:id="18" w:name="_GoBack"/>
      <w:bookmarkEnd w:id="18"/>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本规范书指标要求</w:t>
      </w:r>
      <w:r>
        <w:rPr>
          <w:rFonts w:hint="eastAsia" w:asciiTheme="minorEastAsia" w:hAnsiTheme="minorEastAsia" w:eastAsiaTheme="minorEastAsia" w:cstheme="minorEastAsia"/>
          <w:color w:val="000000" w:themeColor="text1"/>
          <w:lang w:eastAsia="zh-CN"/>
          <w14:textFill>
            <w14:solidFill>
              <w14:schemeClr w14:val="tx1"/>
            </w14:solidFill>
          </w14:textFill>
        </w:rPr>
        <w:t>技术条款，投标方均需要满足。</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投标方必须提供完整的施工安装方案，技术方案至少包含以下内容：</w:t>
      </w:r>
    </w:p>
    <w:p>
      <w:pPr>
        <w:pStyle w:val="19"/>
        <w:numPr>
          <w:ilvl w:val="3"/>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阐述投标方施工投入人员组织机构、设备及资源、进度计划、进度质量安全保障措施、技术服务等。</w:t>
      </w:r>
    </w:p>
    <w:p>
      <w:pPr>
        <w:pStyle w:val="19"/>
        <w:numPr>
          <w:ilvl w:val="3"/>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阐述必要的施工方式方法、工艺标准等。</w:t>
      </w:r>
    </w:p>
    <w:p>
      <w:pPr>
        <w:pStyle w:val="19"/>
        <w:numPr>
          <w:ilvl w:val="3"/>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项目实施合理化建议。</w:t>
      </w:r>
    </w:p>
    <w:p>
      <w:pPr>
        <w:pStyle w:val="3"/>
        <w:numPr>
          <w:ilvl w:val="0"/>
          <w:numId w:val="2"/>
        </w:numPr>
        <w:rPr>
          <w:rFonts w:hint="eastAsia" w:asciiTheme="minorEastAsia" w:hAnsiTheme="minorEastAsia" w:eastAsiaTheme="minorEastAsia" w:cstheme="minorEastAsia"/>
          <w:color w:val="000000" w:themeColor="text1"/>
          <w:szCs w:val="24"/>
          <w14:textFill>
            <w14:solidFill>
              <w14:schemeClr w14:val="tx1"/>
            </w14:solidFill>
          </w14:textFill>
        </w:rPr>
      </w:pPr>
      <w:bookmarkStart w:id="5" w:name="_Toc353115669"/>
      <w:r>
        <w:rPr>
          <w:rFonts w:hint="eastAsia" w:asciiTheme="minorEastAsia" w:hAnsiTheme="minorEastAsia" w:eastAsiaTheme="minorEastAsia" w:cstheme="minorEastAsia"/>
          <w:color w:val="000000" w:themeColor="text1"/>
          <w:szCs w:val="24"/>
          <w14:textFill>
            <w14:solidFill>
              <w14:schemeClr w14:val="tx1"/>
            </w14:solidFill>
          </w14:textFill>
        </w:rPr>
        <w:t>主要技术要求</w:t>
      </w:r>
      <w:bookmarkEnd w:id="5"/>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6.1设备材料采购及安装技术要求</w:t>
      </w:r>
    </w:p>
    <w:p>
      <w:pPr>
        <w:pStyle w:val="24"/>
        <w:ind w:left="420" w:firstLine="0" w:firstLineChars="0"/>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一、网络高清摄像头</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1、信噪比≥55dB，最低照度彩色≤0.001 lx，黑白≤0.0001 lx；</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14:textFill>
            <w14:solidFill>
              <w14:schemeClr w14:val="tx1"/>
            </w14:solidFill>
          </w14:textFill>
        </w:rPr>
        <w:t>、宽动态≥102dB，支持三码流技术，主码流≥1920x1080@30fps；</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14:textFill>
            <w14:solidFill>
              <w14:schemeClr w14:val="tx1"/>
            </w14:solidFill>
          </w14:textFill>
        </w:rPr>
        <w:t>、支持H.264、H.265视频编码格式，均满足High Profile编码能力；</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t>、具有≥20路取流路数能力，可连续实时不间断采集视频流满足实时视频预览要求；</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6、具备区域入侵检测、越界检测、进入区域、离开区域等功能，且具备开启/关闭智能后检索功能；</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7、支持帧率动态控制功能，当触发报警时，视频录像帧率应自动调整至设定值</w:t>
      </w:r>
      <w:r>
        <w:rPr>
          <w:rFonts w:hint="eastAsia" w:asciiTheme="minorEastAsia" w:hAnsiTheme="minorEastAsia" w:eastAsiaTheme="minorEastAsia" w:cstheme="minorEastAsia"/>
          <w:color w:val="000000" w:themeColor="text1"/>
          <w:lang w:eastAsia="zh-CN"/>
          <w14:textFill>
            <w14:solidFill>
              <w14:schemeClr w14:val="tx1"/>
            </w14:solidFill>
          </w14:textFill>
        </w:rPr>
        <w:t>；</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14:textFill>
            <w14:solidFill>
              <w14:schemeClr w14:val="tx1"/>
            </w14:solidFill>
          </w14:textFill>
        </w:rPr>
        <w:t>、支持通过客户端软件可以发起语音对讲，对讲声音无回声，具备≥1路音频输入/输出、≥1路报警输入/输出，1≥个内置MIC；</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14:textFill>
            <w14:solidFill>
              <w14:schemeClr w14:val="tx1"/>
            </w14:solidFill>
          </w14:textFill>
        </w:rPr>
        <w:t>、防尘防水等级≥IP67，红外监控距离≥50米，宽温设计：温度范围-40℃~60℃，宽压保护，容忍电压波动±25%；</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14:textFill>
            <w14:solidFill>
              <w14:schemeClr w14:val="tx1"/>
            </w14:solidFill>
          </w14:textFill>
        </w:rPr>
        <w:t>、应符合GB/T28181-2016《公共安全视频监控联网系统信息传输、交换、控制技术要求》国家标准。</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6.2</w:t>
      </w:r>
      <w:r>
        <w:rPr>
          <w:rFonts w:hint="eastAsia" w:asciiTheme="minorEastAsia" w:hAnsiTheme="minorEastAsia" w:eastAsiaTheme="minorEastAsia" w:cstheme="minorEastAsia"/>
          <w:color w:val="000000" w:themeColor="text1"/>
          <w:lang w:eastAsia="zh-CN"/>
          <w14:textFill>
            <w14:solidFill>
              <w14:schemeClr w14:val="tx1"/>
            </w14:solidFill>
          </w14:textFill>
        </w:rPr>
        <w:t>设备安装</w:t>
      </w:r>
      <w:r>
        <w:rPr>
          <w:rFonts w:hint="eastAsia" w:asciiTheme="minorEastAsia" w:hAnsiTheme="minorEastAsia" w:eastAsiaTheme="minorEastAsia" w:cstheme="minorEastAsia"/>
          <w:color w:val="000000" w:themeColor="text1"/>
          <w14:textFill>
            <w14:solidFill>
              <w14:schemeClr w14:val="tx1"/>
            </w14:solidFill>
          </w14:textFill>
        </w:rPr>
        <w:t>及调试</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根据本项目技术方案要求，升级改造后负责配置调试项目各设备、系统，以实现设计的功能、性能要求恢得正常工作状态。</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设备安装必须按甲方要求部署指定地点，设备安装</w:t>
      </w:r>
      <w:r>
        <w:rPr>
          <w:rFonts w:hint="eastAsia" w:asciiTheme="minorEastAsia" w:hAnsiTheme="minorEastAsia" w:eastAsiaTheme="minorEastAsia" w:cstheme="minorEastAsia"/>
          <w:color w:val="000000" w:themeColor="text1"/>
          <w14:textFill>
            <w14:solidFill>
              <w14:schemeClr w14:val="tx1"/>
            </w14:solidFill>
          </w14:textFill>
        </w:rPr>
        <w:t>调试方案需报建设单位审批。</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配置调试过程需做好相应的记录。</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新增设备、系统必须完成全部安全检查后，经甲方机房管理员、系统管理员认可后方能接入机房原有在运行网络、系统。</w:t>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设备</w:t>
      </w:r>
      <w:r>
        <w:rPr>
          <w:rFonts w:hint="eastAsia" w:asciiTheme="minorEastAsia" w:hAnsiTheme="minorEastAsia" w:eastAsiaTheme="minorEastAsia" w:cstheme="minorEastAsia"/>
          <w:color w:val="000000" w:themeColor="text1"/>
          <w14:textFill>
            <w14:solidFill>
              <w14:schemeClr w14:val="tx1"/>
            </w14:solidFill>
          </w14:textFill>
        </w:rPr>
        <w:t>测试及试运行后，提交对应的运行记录及试运行报告。</w:t>
      </w:r>
    </w:p>
    <w:p>
      <w:pPr>
        <w:rPr>
          <w:rFonts w:hint="eastAsia" w:asciiTheme="minorEastAsia" w:hAnsiTheme="minorEastAsia" w:eastAsiaTheme="minorEastAsia" w:cstheme="minorEastAsia"/>
          <w:color w:val="000000" w:themeColor="text1"/>
          <w14:textFill>
            <w14:solidFill>
              <w14:schemeClr w14:val="tx1"/>
            </w14:solidFill>
          </w14:textFill>
        </w:rPr>
      </w:pPr>
      <w:bookmarkStart w:id="6" w:name="_Toc300816580"/>
      <w:bookmarkStart w:id="7" w:name="_Toc299720409"/>
    </w:p>
    <w:bookmarkEnd w:id="6"/>
    <w:bookmarkEnd w:id="7"/>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8" w:name="_Toc353115670"/>
      <w:bookmarkStart w:id="9" w:name="_Toc351129175"/>
      <w:r>
        <w:rPr>
          <w:rFonts w:hint="eastAsia" w:asciiTheme="minorEastAsia" w:hAnsiTheme="minorEastAsia" w:eastAsiaTheme="minorEastAsia" w:cstheme="minorEastAsia"/>
          <w:color w:val="000000" w:themeColor="text1"/>
          <w14:textFill>
            <w14:solidFill>
              <w14:schemeClr w14:val="tx1"/>
            </w14:solidFill>
          </w14:textFill>
        </w:rPr>
        <w:t>其他要求</w:t>
      </w:r>
      <w:bookmarkEnd w:id="8"/>
      <w:bookmarkEnd w:id="9"/>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7.1合作项目及设计确认</w:t>
      </w:r>
    </w:p>
    <w:p>
      <w:pPr>
        <w:pStyle w:val="6"/>
        <w:numPr>
          <w:ilvl w:val="2"/>
          <w:numId w:val="2"/>
        </w:num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双方责任</w:t>
      </w:r>
    </w:p>
    <w:p>
      <w:p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在招标方的配合下，投标方全面负责合作配合工作，并作好下述工作：</w:t>
      </w:r>
    </w:p>
    <w:p>
      <w:pPr>
        <w:numPr>
          <w:ilvl w:val="0"/>
          <w:numId w:val="4"/>
        </w:numPr>
        <w:tabs>
          <w:tab w:val="left" w:pos="900"/>
          <w:tab w:val="clear" w:pos="420"/>
        </w:tabs>
        <w:ind w:left="480" w:left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制定</w:t>
      </w:r>
      <w:r>
        <w:rPr>
          <w:rFonts w:hint="eastAsia" w:asciiTheme="minorEastAsia" w:hAnsiTheme="minorEastAsia" w:eastAsiaTheme="minorEastAsia" w:cstheme="minorEastAsia"/>
          <w:color w:val="000000" w:themeColor="text1"/>
          <w:lang w:eastAsia="zh-CN"/>
          <w14:textFill>
            <w14:solidFill>
              <w14:schemeClr w14:val="tx1"/>
            </w14:solidFill>
          </w14:textFill>
        </w:rPr>
        <w:t>设备安装实施方案、</w:t>
      </w:r>
      <w:r>
        <w:rPr>
          <w:rFonts w:hint="eastAsia" w:asciiTheme="minorEastAsia" w:hAnsiTheme="minorEastAsia" w:eastAsiaTheme="minorEastAsia" w:cstheme="minorEastAsia"/>
          <w:color w:val="000000" w:themeColor="text1"/>
          <w14:textFill>
            <w14:solidFill>
              <w14:schemeClr w14:val="tx1"/>
            </w14:solidFill>
          </w14:textFill>
        </w:rPr>
        <w:t>计划并由招标方确认。</w:t>
      </w:r>
    </w:p>
    <w:p>
      <w:pPr>
        <w:numPr>
          <w:ilvl w:val="0"/>
          <w:numId w:val="4"/>
        </w:numPr>
        <w:tabs>
          <w:tab w:val="left" w:pos="900"/>
          <w:tab w:val="clear" w:pos="420"/>
        </w:tabs>
        <w:ind w:left="480" w:left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根据招标方需求，</w:t>
      </w:r>
      <w:r>
        <w:rPr>
          <w:rFonts w:hint="eastAsia" w:asciiTheme="minorEastAsia" w:hAnsiTheme="minorEastAsia" w:eastAsiaTheme="minorEastAsia" w:cstheme="minorEastAsia"/>
          <w:color w:val="000000" w:themeColor="text1"/>
          <w14:textFill>
            <w14:solidFill>
              <w14:schemeClr w14:val="tx1"/>
            </w14:solidFill>
          </w14:textFill>
        </w:rPr>
        <w:t>对招标方</w:t>
      </w:r>
      <w:r>
        <w:rPr>
          <w:rFonts w:hint="eastAsia" w:asciiTheme="minorEastAsia" w:hAnsiTheme="minorEastAsia" w:eastAsiaTheme="minorEastAsia" w:cstheme="minorEastAsia"/>
          <w:color w:val="000000" w:themeColor="text1"/>
          <w:lang w:eastAsia="zh-CN"/>
          <w14:textFill>
            <w14:solidFill>
              <w14:schemeClr w14:val="tx1"/>
            </w14:solidFill>
          </w14:textFill>
        </w:rPr>
        <w:t>技术</w:t>
      </w:r>
      <w:r>
        <w:rPr>
          <w:rFonts w:hint="eastAsia" w:asciiTheme="minorEastAsia" w:hAnsiTheme="minorEastAsia" w:eastAsiaTheme="minorEastAsia" w:cstheme="minorEastAsia"/>
          <w:color w:val="000000" w:themeColor="text1"/>
          <w14:textFill>
            <w14:solidFill>
              <w14:schemeClr w14:val="tx1"/>
            </w14:solidFill>
          </w14:textFill>
        </w:rPr>
        <w:t>人员进行</w:t>
      </w:r>
      <w:r>
        <w:rPr>
          <w:rFonts w:hint="eastAsia" w:asciiTheme="minorEastAsia" w:hAnsiTheme="minorEastAsia" w:eastAsiaTheme="minorEastAsia" w:cstheme="minorEastAsia"/>
          <w:color w:val="000000" w:themeColor="text1"/>
          <w:lang w:eastAsia="zh-CN"/>
          <w14:textFill>
            <w14:solidFill>
              <w14:schemeClr w14:val="tx1"/>
            </w14:solidFill>
          </w14:textFill>
        </w:rPr>
        <w:t>设备安装、使用的</w:t>
      </w:r>
      <w:r>
        <w:rPr>
          <w:rFonts w:hint="eastAsia" w:asciiTheme="minorEastAsia" w:hAnsiTheme="minorEastAsia" w:eastAsiaTheme="minorEastAsia" w:cstheme="minorEastAsia"/>
          <w:color w:val="000000" w:themeColor="text1"/>
          <w14:textFill>
            <w14:solidFill>
              <w14:schemeClr w14:val="tx1"/>
            </w14:solidFill>
          </w14:textFill>
        </w:rPr>
        <w:t>培训，并提供有关文件资料和技术数据。</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7.2</w:t>
      </w:r>
      <w:r>
        <w:rPr>
          <w:rFonts w:hint="eastAsia" w:asciiTheme="minorEastAsia" w:hAnsiTheme="minorEastAsia" w:eastAsiaTheme="minorEastAsia" w:cstheme="minorEastAsia"/>
          <w:color w:val="000000" w:themeColor="text1"/>
          <w:lang w:eastAsia="zh-CN"/>
          <w14:textFill>
            <w14:solidFill>
              <w14:schemeClr w14:val="tx1"/>
            </w14:solidFill>
          </w14:textFill>
        </w:rPr>
        <w:t>到货验收</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投标方应负责在项目验收时将</w:t>
      </w:r>
      <w:r>
        <w:rPr>
          <w:rFonts w:hint="eastAsia" w:asciiTheme="minorEastAsia" w:hAnsiTheme="minorEastAsia" w:eastAsiaTheme="minorEastAsia" w:cstheme="minorEastAsia"/>
          <w:color w:val="000000" w:themeColor="text1"/>
          <w:lang w:eastAsia="zh-CN"/>
          <w14:textFill>
            <w14:solidFill>
              <w14:schemeClr w14:val="tx1"/>
            </w14:solidFill>
          </w14:textFill>
        </w:rPr>
        <w:t>设备</w:t>
      </w:r>
      <w:r>
        <w:rPr>
          <w:rFonts w:hint="eastAsia" w:asciiTheme="minorEastAsia" w:hAnsiTheme="minorEastAsia" w:eastAsiaTheme="minorEastAsia" w:cstheme="minorEastAsia"/>
          <w:color w:val="000000" w:themeColor="text1"/>
          <w14:textFill>
            <w14:solidFill>
              <w14:schemeClr w14:val="tx1"/>
            </w14:solidFill>
          </w14:textFill>
        </w:rPr>
        <w:t>的</w:t>
      </w:r>
      <w:r>
        <w:rPr>
          <w:rFonts w:hint="eastAsia" w:asciiTheme="minorEastAsia" w:hAnsiTheme="minorEastAsia" w:eastAsiaTheme="minorEastAsia" w:cstheme="minorEastAsia"/>
          <w:color w:val="000000" w:themeColor="text1"/>
          <w:lang w:eastAsia="zh-CN"/>
          <w14:textFill>
            <w14:solidFill>
              <w14:schemeClr w14:val="tx1"/>
            </w14:solidFill>
          </w14:textFill>
        </w:rPr>
        <w:t>竣工图、功能测试报告、性能测试报告、技术报告、用户手册、管理员手册、运维手册、安装配置手册等</w:t>
      </w:r>
      <w:r>
        <w:rPr>
          <w:rFonts w:hint="eastAsia" w:asciiTheme="minorEastAsia" w:hAnsiTheme="minorEastAsia" w:eastAsiaTheme="minorEastAsia" w:cstheme="minorEastAsia"/>
          <w:color w:val="000000" w:themeColor="text1"/>
          <w14:textFill>
            <w14:solidFill>
              <w14:schemeClr w14:val="tx1"/>
            </w14:solidFill>
          </w14:textFill>
        </w:rPr>
        <w:t>全部有关技术文件、资料等文档汇集成册交付给招标方。</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7.3技术资料和文件</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投标方提供的文件和资料应能满足招标方进行维护和进一步完善的需要。</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提供的图纸应符合标准规格。</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投标方应向招标方提供项目的全部图纸、文件和说明手册等各四份，并提供电子版。</w:t>
      </w: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t>售后服务</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所有工作产品均须由投标方提供</w:t>
      </w:r>
      <w:r>
        <w:rPr>
          <w:rFonts w:hint="eastAsia" w:asciiTheme="minorEastAsia" w:hAnsiTheme="minorEastAsia" w:eastAsiaTheme="minorEastAsia" w:cstheme="minorEastAsia"/>
          <w:b w:val="0"/>
          <w:bCs/>
          <w:color w:val="000000" w:themeColor="text1"/>
          <w:lang w:eastAsia="zh-CN"/>
          <w14:textFill>
            <w14:solidFill>
              <w14:schemeClr w14:val="tx1"/>
            </w14:solidFill>
          </w14:textFill>
        </w:rPr>
        <w:t>叁</w:t>
      </w:r>
      <w:r>
        <w:rPr>
          <w:rFonts w:hint="eastAsia" w:asciiTheme="minorEastAsia" w:hAnsiTheme="minorEastAsia" w:eastAsiaTheme="minorEastAsia" w:cstheme="minorEastAsia"/>
          <w:b w:val="0"/>
          <w:bCs/>
          <w:color w:val="000000" w:themeColor="text1"/>
          <w14:textFill>
            <w14:solidFill>
              <w14:schemeClr w14:val="tx1"/>
            </w14:solidFill>
          </w14:textFill>
        </w:rPr>
        <w:t>年</w:t>
      </w:r>
      <w:r>
        <w:rPr>
          <w:rFonts w:hint="eastAsia" w:asciiTheme="minorEastAsia" w:hAnsiTheme="minorEastAsia" w:eastAsiaTheme="minorEastAsia" w:cstheme="minorEastAsia"/>
          <w:b w:val="0"/>
          <w:bCs/>
          <w:color w:val="000000" w:themeColor="text1"/>
          <w:lang w:eastAsia="zh-CN"/>
          <w14:textFill>
            <w14:solidFill>
              <w14:schemeClr w14:val="tx1"/>
            </w14:solidFill>
          </w14:textFill>
        </w:rPr>
        <w:t>及</w:t>
      </w:r>
      <w:r>
        <w:rPr>
          <w:rFonts w:hint="eastAsia" w:asciiTheme="minorEastAsia" w:hAnsiTheme="minorEastAsia" w:eastAsiaTheme="minorEastAsia" w:cstheme="minorEastAsia"/>
          <w:b w:val="0"/>
          <w:bCs/>
          <w:color w:val="000000" w:themeColor="text1"/>
          <w14:textFill>
            <w14:solidFill>
              <w14:schemeClr w14:val="tx1"/>
            </w14:solidFill>
          </w14:textFill>
        </w:rPr>
        <w:t>以上</w:t>
      </w:r>
      <w:r>
        <w:rPr>
          <w:rFonts w:hint="eastAsia" w:asciiTheme="minorEastAsia" w:hAnsiTheme="minorEastAsia" w:eastAsiaTheme="minorEastAsia" w:cstheme="minorEastAsia"/>
          <w:color w:val="000000" w:themeColor="text1"/>
          <w14:textFill>
            <w14:solidFill>
              <w14:schemeClr w14:val="tx1"/>
            </w14:solidFill>
          </w14:textFill>
        </w:rPr>
        <w:t>的免费维护、保修服务，自项目验收签字之日起计算。</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投标方必须提出保修期内的维护、保修内容和范围（产品、技术、模块、部件）。</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服务响应时间：1小时内进行响应，4小时内上门。</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如果故障在检修8小时后仍无法排除，投标方应在48小时内提供解决方案，经招标方批准后负责实施，直至故障修复。</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所有售后服务方式均为投标方上门，即由投标方或原厂商派员到用户使用现场。由此产生的一切费用均由投标方承担。</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对于不能明确是否是投标方工作产品出现故障时，投标方应尽力配合招标方和其他供应商进行检查，在必要时，能在上述响应时间内到达现场协助排除问题。</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投标方必须有专门的维护部门及规范的维护服务管理体系，须在招标方当地有专业维护人员，能按要求及时响应。</w:t>
      </w:r>
    </w:p>
    <w:p>
      <w:pPr>
        <w:pStyle w:val="6"/>
        <w:numPr>
          <w:ilvl w:val="0"/>
          <w:numId w:val="0"/>
        </w:numPr>
        <w:ind w:firstLine="48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投标方需要提出保修期后每年的收费维修、维护内容，费用和服务方式、范围（产品、技术、模块、部件），供招标方选择。</w:t>
      </w: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10" w:name="_Toc352233113"/>
      <w:r>
        <w:rPr>
          <w:rFonts w:hint="eastAsia" w:asciiTheme="minorEastAsia" w:hAnsiTheme="minorEastAsia" w:eastAsiaTheme="minorEastAsia" w:cstheme="minorEastAsia"/>
          <w:color w:val="000000" w:themeColor="text1"/>
          <w14:textFill>
            <w14:solidFill>
              <w14:schemeClr w14:val="tx1"/>
            </w14:solidFill>
          </w14:textFill>
        </w:rPr>
        <w:t>包装、运输、安装及质量保证</w:t>
      </w:r>
      <w:bookmarkEnd w:id="10"/>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8.1设备制造完成并通过试验后应及时包装，并将全套安装使用说明书，</w:t>
      </w:r>
      <w:r>
        <w:rPr>
          <w:rFonts w:hint="eastAsia" w:asciiTheme="minorEastAsia" w:hAnsiTheme="minorEastAsia" w:eastAsiaTheme="minorEastAsia" w:cstheme="minorEastAsia"/>
          <w:b w:val="0"/>
          <w:color w:val="000000" w:themeColor="text1"/>
          <w:lang w:eastAsia="zh-CN"/>
          <w14:textFill>
            <w14:solidFill>
              <w14:schemeClr w14:val="tx1"/>
            </w14:solidFill>
          </w14:textFill>
        </w:rPr>
        <w:t>设备序列号（电子版及在到货签收单上列明）、</w:t>
      </w:r>
      <w:r>
        <w:rPr>
          <w:rFonts w:hint="eastAsia" w:asciiTheme="minorEastAsia" w:hAnsiTheme="minorEastAsia" w:eastAsiaTheme="minorEastAsia" w:cstheme="minorEastAsia"/>
          <w:b w:val="0"/>
          <w:color w:val="000000" w:themeColor="text1"/>
          <w14:textFill>
            <w14:solidFill>
              <w14:schemeClr w14:val="tx1"/>
            </w14:solidFill>
          </w14:textFill>
        </w:rPr>
        <w:t>产品合格证明书、出厂试验记录、产品外形尺寸图、运输尺寸图、产品拆卸件一览表、装箱单、铭牌图或铭牌标志图及备件一览表等包装好，防止受潮。从投标方发货至招标方收到期间，设备和资料应完好无损</w:t>
      </w:r>
      <w:r>
        <w:rPr>
          <w:rFonts w:hint="eastAsia" w:asciiTheme="minorEastAsia" w:hAnsiTheme="minorEastAsia" w:eastAsiaTheme="minorEastAsia" w:cstheme="minorEastAsia"/>
          <w:b w:val="0"/>
          <w:color w:val="000000" w:themeColor="text1"/>
          <w:lang w:eastAsia="zh-CN"/>
          <w14:textFill>
            <w14:solidFill>
              <w14:schemeClr w14:val="tx1"/>
            </w14:solidFill>
          </w14:textFill>
        </w:rPr>
        <w:t>，</w:t>
      </w:r>
      <w:r>
        <w:rPr>
          <w:rFonts w:hint="eastAsia" w:asciiTheme="minorEastAsia" w:hAnsiTheme="minorEastAsia" w:eastAsiaTheme="minorEastAsia" w:cstheme="minorEastAsia"/>
          <w:b/>
          <w:bCs w:val="0"/>
          <w:color w:val="000000" w:themeColor="text1"/>
          <w:lang w:eastAsia="zh-CN"/>
          <w14:textFill>
            <w14:solidFill>
              <w14:schemeClr w14:val="tx1"/>
            </w14:solidFill>
          </w14:textFill>
        </w:rPr>
        <w:t>并在到货前将设备序列号、型号等信息提交至招标方联系人处</w:t>
      </w:r>
      <w:r>
        <w:rPr>
          <w:rFonts w:hint="eastAsia" w:asciiTheme="minorEastAsia" w:hAnsiTheme="minorEastAsia" w:eastAsiaTheme="minorEastAsia" w:cstheme="minorEastAsia"/>
          <w:b/>
          <w:bCs w:val="0"/>
          <w:color w:val="000000" w:themeColor="text1"/>
          <w14:textFill>
            <w14:solidFill>
              <w14:schemeClr w14:val="tx1"/>
            </w14:solidFill>
          </w14:textFill>
        </w:rPr>
        <w:t>。</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8.2在包装箱上应以不褪色的醒目标志标明：合同号、目的地、设备名称、箱号、毛重、外形尺寸。包装箱应连续编号，不能有重号。</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8.3包装箱上应有明显的包装储运图示标志(按GB/T 191-2008)。整体产品或分别运输的部件都要适合运输和装载的要求。各种包装应能确保各零部件在运输过程中不致遭到损坏、丢失、变形、受潮和腐蚀。</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8.4在设备启运后一周内，投标方应以最快捷的方式通知招标方以下内容：设备名称；件数、件号、重量；合同号；货运单号；达到港(站)；设备发出日期。</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8.5备品备件、专用工具等应随设备同时装运，但必须单独包装，并明显标记，以便与提供的其它设备相区别。</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8.6制造厂在安装和启动时应安排技术人员提供现场安装服务，提出技术建议，并有对运行人员提供相关培训的义务。制造厂应提供设备专用工具。设备在使用期内，制造厂应提供技术支持和所需的备品备件。</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8.7全部设备必须是全新的, 持久耐用的,应满足作为一个完整产品所能满足的全部要求。投标方应保证设备在规定的使用条件下运行、并按使用说明书进行安装和维护、预期寿命应不少于5年。</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8.8投标产品超出免费维保期的，投标方应及时为本套装置提供维修部件，并按最近的投标价提供。</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8.9订购的新型产品除应满足本招标技术文件外， 投标方还应提供产品的鉴定证书。</w:t>
      </w:r>
    </w:p>
    <w:p>
      <w:pPr>
        <w:pStyle w:val="4"/>
        <w:rPr>
          <w:rFonts w:hint="eastAsia" w:asciiTheme="minorEastAsia" w:hAnsiTheme="minorEastAsia" w:eastAsiaTheme="minorEastAsia" w:cstheme="minorEastAsia"/>
          <w:b w:val="0"/>
          <w:color w:val="000000" w:themeColor="text1"/>
          <w14:textFill>
            <w14:solidFill>
              <w14:schemeClr w14:val="tx1"/>
            </w14:solidFill>
          </w14:textFill>
        </w:rPr>
      </w:pPr>
      <w:r>
        <w:rPr>
          <w:rFonts w:hint="eastAsia" w:asciiTheme="minorEastAsia" w:hAnsiTheme="minorEastAsia" w:eastAsiaTheme="minorEastAsia" w:cstheme="minorEastAsia"/>
          <w:b w:val="0"/>
          <w:color w:val="000000" w:themeColor="text1"/>
          <w14:textFill>
            <w14:solidFill>
              <w14:schemeClr w14:val="tx1"/>
            </w14:solidFill>
          </w14:textFill>
        </w:rPr>
        <w:t>8.10投标方应保证制造过程中的所有工艺、材料等（包括投标方的外购件在内）均应符合本招标技术文件的规定。若招标方根据运行经验指定投标方提供某种外购零部件，投标方应积极配合。</w:t>
      </w:r>
    </w:p>
    <w:p>
      <w:pPr>
        <w:pStyle w:val="6"/>
        <w:numPr>
          <w:ilvl w:val="0"/>
          <w:numId w:val="0"/>
        </w:numPr>
        <w:rPr>
          <w:rFonts w:hint="eastAsia" w:asciiTheme="minorEastAsia" w:hAnsiTheme="minorEastAsia" w:eastAsiaTheme="minorEastAsia" w:cstheme="minorEastAsia"/>
          <w:color w:val="000000" w:themeColor="text1"/>
          <w14:textFill>
            <w14:solidFill>
              <w14:schemeClr w14:val="tx1"/>
            </w14:solidFill>
          </w14:textFill>
        </w:rPr>
      </w:pPr>
    </w:p>
    <w:p>
      <w:pPr>
        <w:pStyle w:val="3"/>
        <w:numPr>
          <w:ilvl w:val="0"/>
          <w:numId w:val="2"/>
        </w:numPr>
        <w:rPr>
          <w:rFonts w:hint="eastAsia" w:asciiTheme="minorEastAsia" w:hAnsiTheme="minorEastAsia" w:eastAsiaTheme="minorEastAsia" w:cstheme="minorEastAsia"/>
          <w:color w:val="000000" w:themeColor="text1"/>
          <w14:textFill>
            <w14:solidFill>
              <w14:schemeClr w14:val="tx1"/>
            </w14:solidFill>
          </w14:textFill>
        </w:rPr>
      </w:pPr>
      <w:bookmarkStart w:id="11" w:name="_Toc93490630"/>
      <w:bookmarkStart w:id="12" w:name="_Toc167003829"/>
      <w:bookmarkStart w:id="13" w:name="_Toc351129176"/>
      <w:bookmarkStart w:id="14" w:name="_Toc93490801"/>
      <w:bookmarkStart w:id="15" w:name="_Toc353115671"/>
      <w:bookmarkStart w:id="16" w:name="_Toc137397828"/>
      <w:bookmarkStart w:id="17" w:name="_Toc93490580"/>
      <w:r>
        <w:rPr>
          <w:rFonts w:hint="eastAsia" w:asciiTheme="minorEastAsia" w:hAnsiTheme="minorEastAsia" w:eastAsiaTheme="minorEastAsia" w:cstheme="minorEastAsia"/>
          <w:color w:val="000000" w:themeColor="text1"/>
          <w14:textFill>
            <w14:solidFill>
              <w14:schemeClr w14:val="tx1"/>
            </w14:solidFill>
          </w14:textFill>
        </w:rPr>
        <w:t>附件</w:t>
      </w:r>
      <w:bookmarkEnd w:id="11"/>
      <w:bookmarkEnd w:id="12"/>
      <w:bookmarkEnd w:id="13"/>
      <w:bookmarkEnd w:id="14"/>
      <w:bookmarkEnd w:id="15"/>
      <w:bookmarkEnd w:id="16"/>
      <w:bookmarkEnd w:id="17"/>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9.1差异表</w:t>
      </w:r>
    </w:p>
    <w:tbl>
      <w:tblPr>
        <w:tblStyle w:val="1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1605"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2694"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1605"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c>
          <w:tcPr>
            <w:tcW w:w="2694" w:type="dxa"/>
            <w:tcBorders>
              <w:top w:val="single" w:color="auto" w:sz="4" w:space="0"/>
              <w:left w:val="single" w:color="auto" w:sz="4" w:space="0"/>
              <w:bottom w:val="single" w:color="auto" w:sz="4" w:space="0"/>
              <w:right w:val="single" w:color="auto" w:sz="4" w:space="0"/>
            </w:tcBorders>
          </w:tcPr>
          <w:p>
            <w:pPr>
              <w:rPr>
                <w:rFonts w:hint="eastAsia" w:asciiTheme="minorEastAsia" w:hAnsiTheme="minorEastAsia" w:eastAsiaTheme="minorEastAsia" w:cstheme="minorEastAsia"/>
                <w:color w:val="000000" w:themeColor="text1"/>
                <w14:textFill>
                  <w14:solidFill>
                    <w14:schemeClr w14:val="tx1"/>
                  </w14:solidFill>
                </w14:textFill>
              </w:rPr>
            </w:pPr>
          </w:p>
        </w:tc>
      </w:tr>
    </w:tbl>
    <w:p>
      <w:pPr>
        <w:rPr>
          <w:rFonts w:hint="eastAsia" w:asciiTheme="minorEastAsia" w:hAnsiTheme="minorEastAsia" w:eastAsiaTheme="minorEastAsia" w:cstheme="minorEastAsia"/>
          <w:color w:val="000000" w:themeColor="text1"/>
          <w14:textFill>
            <w14:solidFill>
              <w14:schemeClr w14:val="tx1"/>
            </w14:solidFill>
          </w14:textFill>
        </w:rPr>
      </w:pPr>
    </w:p>
    <w:p>
      <w:pPr>
        <w:pStyle w:val="4"/>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9.2投标方需要说明的其它问题</w:t>
      </w:r>
    </w:p>
    <w:p>
      <w:pPr>
        <w:rPr>
          <w:rFonts w:hint="eastAsia" w:asciiTheme="minorEastAsia" w:hAnsiTheme="minorEastAsia" w:eastAsiaTheme="minorEastAsia" w:cstheme="minorEastAsia"/>
          <w:color w:val="000000" w:themeColor="text1"/>
          <w14:textFill>
            <w14:solidFill>
              <w14:schemeClr w14:val="tx1"/>
            </w14:solidFill>
          </w14:textFill>
        </w:rPr>
      </w:pPr>
    </w:p>
    <w:sectPr>
      <w:headerReference r:id="rId7" w:type="default"/>
      <w:footerReference r:id="rId8" w:type="default"/>
      <w:pgSz w:w="11906" w:h="16838"/>
      <w:pgMar w:top="1440" w:right="1797" w:bottom="1440" w:left="1797"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2010609000101010101"/>
    <w:charset w:val="86"/>
    <w:family w:val="roman"/>
    <w:pitch w:val="default"/>
    <w:sig w:usb0="00000000" w:usb1="000000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9</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0" distR="0">
          <wp:extent cx="1552575" cy="276225"/>
          <wp:effectExtent l="0" t="0" r="9525" b="952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52575" cy="276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6EB0D7"/>
    <w:multiLevelType w:val="singleLevel"/>
    <w:tmpl w:val="BB6EB0D7"/>
    <w:lvl w:ilvl="0" w:tentative="0">
      <w:start w:val="1"/>
      <w:numFmt w:val="decimal"/>
      <w:suff w:val="nothing"/>
      <w:lvlText w:val="%1、"/>
      <w:lvlJc w:val="left"/>
    </w:lvl>
  </w:abstractNum>
  <w:abstractNum w:abstractNumId="1">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isLgl/>
      <w:suff w:val="space"/>
      <w:lvlText w:val="%1.%2"/>
      <w:lvlJc w:val="left"/>
      <w:pPr>
        <w:ind w:left="142" w:firstLine="0"/>
      </w:pPr>
      <w:rPr>
        <w:rFonts w:hint="eastAsia"/>
      </w:rPr>
    </w:lvl>
    <w:lvl w:ilvl="2" w:tentative="0">
      <w:start w:val="1"/>
      <w:numFmt w:val="decimal"/>
      <w:pStyle w:val="6"/>
      <w:isLgl/>
      <w:suff w:val="space"/>
      <w:lvlText w:val="%1.%2.%3"/>
      <w:lvlJc w:val="left"/>
      <w:pPr>
        <w:ind w:left="0" w:firstLine="0"/>
      </w:pPr>
      <w:rPr>
        <w:rFonts w:hint="eastAsia"/>
        <w:b w:val="0"/>
        <w:i w:val="0"/>
        <w:color w:val="auto"/>
      </w:rPr>
    </w:lvl>
    <w:lvl w:ilvl="3" w:tentative="0">
      <w:start w:val="1"/>
      <w:numFmt w:val="decimal"/>
      <w:pStyle w:val="19"/>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9C4"/>
    <w:rsid w:val="000342AB"/>
    <w:rsid w:val="000675F8"/>
    <w:rsid w:val="00075007"/>
    <w:rsid w:val="000B70F0"/>
    <w:rsid w:val="000C0931"/>
    <w:rsid w:val="0011242E"/>
    <w:rsid w:val="00112A6E"/>
    <w:rsid w:val="00120241"/>
    <w:rsid w:val="00125AF9"/>
    <w:rsid w:val="00164A2E"/>
    <w:rsid w:val="00171698"/>
    <w:rsid w:val="001A7598"/>
    <w:rsid w:val="001B7300"/>
    <w:rsid w:val="001C2EA8"/>
    <w:rsid w:val="001C3C62"/>
    <w:rsid w:val="001D0BF8"/>
    <w:rsid w:val="001D2A19"/>
    <w:rsid w:val="001F3068"/>
    <w:rsid w:val="00200C4C"/>
    <w:rsid w:val="00214572"/>
    <w:rsid w:val="002366F1"/>
    <w:rsid w:val="002472CD"/>
    <w:rsid w:val="0025581B"/>
    <w:rsid w:val="0027544C"/>
    <w:rsid w:val="002805FF"/>
    <w:rsid w:val="0029290C"/>
    <w:rsid w:val="002971FC"/>
    <w:rsid w:val="002D6CB0"/>
    <w:rsid w:val="002E6FBD"/>
    <w:rsid w:val="00304530"/>
    <w:rsid w:val="00311182"/>
    <w:rsid w:val="003B1654"/>
    <w:rsid w:val="003D059B"/>
    <w:rsid w:val="004256BE"/>
    <w:rsid w:val="00501F6A"/>
    <w:rsid w:val="005333AE"/>
    <w:rsid w:val="005452EF"/>
    <w:rsid w:val="00563E8F"/>
    <w:rsid w:val="00565A7B"/>
    <w:rsid w:val="0057486A"/>
    <w:rsid w:val="00574BCC"/>
    <w:rsid w:val="00577174"/>
    <w:rsid w:val="005A7AF7"/>
    <w:rsid w:val="005B293E"/>
    <w:rsid w:val="005C5991"/>
    <w:rsid w:val="005E44D6"/>
    <w:rsid w:val="005E5DD5"/>
    <w:rsid w:val="00653826"/>
    <w:rsid w:val="006868AB"/>
    <w:rsid w:val="0068786E"/>
    <w:rsid w:val="006B62EA"/>
    <w:rsid w:val="006D1FC1"/>
    <w:rsid w:val="006F29C9"/>
    <w:rsid w:val="0071231D"/>
    <w:rsid w:val="0071270A"/>
    <w:rsid w:val="007311B2"/>
    <w:rsid w:val="007316DD"/>
    <w:rsid w:val="007669C4"/>
    <w:rsid w:val="007A1E14"/>
    <w:rsid w:val="007A5A2C"/>
    <w:rsid w:val="007C6C6D"/>
    <w:rsid w:val="007D28B3"/>
    <w:rsid w:val="007D3B89"/>
    <w:rsid w:val="007E1B9D"/>
    <w:rsid w:val="00830A0E"/>
    <w:rsid w:val="008320CF"/>
    <w:rsid w:val="00863925"/>
    <w:rsid w:val="00864D99"/>
    <w:rsid w:val="0089234A"/>
    <w:rsid w:val="008963A1"/>
    <w:rsid w:val="00896CD0"/>
    <w:rsid w:val="008B54F1"/>
    <w:rsid w:val="008C68D9"/>
    <w:rsid w:val="00917094"/>
    <w:rsid w:val="009569BB"/>
    <w:rsid w:val="009927E8"/>
    <w:rsid w:val="009A7CAF"/>
    <w:rsid w:val="00A0202B"/>
    <w:rsid w:val="00A03490"/>
    <w:rsid w:val="00A3638A"/>
    <w:rsid w:val="00AC645F"/>
    <w:rsid w:val="00AE78F7"/>
    <w:rsid w:val="00B0546E"/>
    <w:rsid w:val="00B25B2B"/>
    <w:rsid w:val="00B76930"/>
    <w:rsid w:val="00BC53BE"/>
    <w:rsid w:val="00BD6727"/>
    <w:rsid w:val="00BF667C"/>
    <w:rsid w:val="00C077C0"/>
    <w:rsid w:val="00C14F33"/>
    <w:rsid w:val="00CB65C7"/>
    <w:rsid w:val="00CC3FC8"/>
    <w:rsid w:val="00CC5B9F"/>
    <w:rsid w:val="00CD5E56"/>
    <w:rsid w:val="00D30939"/>
    <w:rsid w:val="00D54425"/>
    <w:rsid w:val="00D715C2"/>
    <w:rsid w:val="00D83EAF"/>
    <w:rsid w:val="00D958AA"/>
    <w:rsid w:val="00DE73C8"/>
    <w:rsid w:val="00E22933"/>
    <w:rsid w:val="00E6669A"/>
    <w:rsid w:val="00E67D0C"/>
    <w:rsid w:val="00E734A6"/>
    <w:rsid w:val="00EF127D"/>
    <w:rsid w:val="00F10D81"/>
    <w:rsid w:val="00F233C9"/>
    <w:rsid w:val="00F526AE"/>
    <w:rsid w:val="00F66B49"/>
    <w:rsid w:val="00FB4236"/>
    <w:rsid w:val="02E03FB7"/>
    <w:rsid w:val="037A08D8"/>
    <w:rsid w:val="04110F11"/>
    <w:rsid w:val="08FD1B2B"/>
    <w:rsid w:val="099700EE"/>
    <w:rsid w:val="0AD41FED"/>
    <w:rsid w:val="0B6D17DB"/>
    <w:rsid w:val="0CC55A09"/>
    <w:rsid w:val="0D141B84"/>
    <w:rsid w:val="0E5B7E67"/>
    <w:rsid w:val="0F4C2412"/>
    <w:rsid w:val="10A1269D"/>
    <w:rsid w:val="112B4EE7"/>
    <w:rsid w:val="114F5211"/>
    <w:rsid w:val="116B53EA"/>
    <w:rsid w:val="11DA70FC"/>
    <w:rsid w:val="12052B1F"/>
    <w:rsid w:val="12DE1681"/>
    <w:rsid w:val="143C0F8C"/>
    <w:rsid w:val="15533BF8"/>
    <w:rsid w:val="160C6FFA"/>
    <w:rsid w:val="164B4AF2"/>
    <w:rsid w:val="167763A7"/>
    <w:rsid w:val="18332730"/>
    <w:rsid w:val="1A7E0A3E"/>
    <w:rsid w:val="1EE12855"/>
    <w:rsid w:val="220B3025"/>
    <w:rsid w:val="23A102BF"/>
    <w:rsid w:val="255A6B28"/>
    <w:rsid w:val="26311CD0"/>
    <w:rsid w:val="27467F68"/>
    <w:rsid w:val="2A143368"/>
    <w:rsid w:val="2B811CB3"/>
    <w:rsid w:val="2E90375F"/>
    <w:rsid w:val="2EE7008C"/>
    <w:rsid w:val="2F422590"/>
    <w:rsid w:val="33BE75C7"/>
    <w:rsid w:val="3AD0360B"/>
    <w:rsid w:val="3B0906F0"/>
    <w:rsid w:val="3DC67074"/>
    <w:rsid w:val="41996722"/>
    <w:rsid w:val="41DA273A"/>
    <w:rsid w:val="42F90BDE"/>
    <w:rsid w:val="45E87BF6"/>
    <w:rsid w:val="45FB6986"/>
    <w:rsid w:val="46F74336"/>
    <w:rsid w:val="474805F1"/>
    <w:rsid w:val="477738A5"/>
    <w:rsid w:val="484C65EB"/>
    <w:rsid w:val="48BA37B9"/>
    <w:rsid w:val="48EE7ABB"/>
    <w:rsid w:val="49BF546F"/>
    <w:rsid w:val="4B796602"/>
    <w:rsid w:val="4C593D31"/>
    <w:rsid w:val="4C7A5339"/>
    <w:rsid w:val="4CA3609B"/>
    <w:rsid w:val="4DC2205C"/>
    <w:rsid w:val="50004F5B"/>
    <w:rsid w:val="51F733F8"/>
    <w:rsid w:val="539A1EBF"/>
    <w:rsid w:val="54A567F0"/>
    <w:rsid w:val="54A64237"/>
    <w:rsid w:val="57EC73CC"/>
    <w:rsid w:val="58B8468E"/>
    <w:rsid w:val="59103A0A"/>
    <w:rsid w:val="5912116F"/>
    <w:rsid w:val="59E904CC"/>
    <w:rsid w:val="5B0073F6"/>
    <w:rsid w:val="5D567F3B"/>
    <w:rsid w:val="5D7E74D2"/>
    <w:rsid w:val="5DF44ABA"/>
    <w:rsid w:val="5E6363BE"/>
    <w:rsid w:val="5E7D1AF4"/>
    <w:rsid w:val="5FBB2EF8"/>
    <w:rsid w:val="618C164D"/>
    <w:rsid w:val="61EB6ED9"/>
    <w:rsid w:val="65F97827"/>
    <w:rsid w:val="66840A70"/>
    <w:rsid w:val="68BA5430"/>
    <w:rsid w:val="6B9841C9"/>
    <w:rsid w:val="6CED1CB3"/>
    <w:rsid w:val="6DD0044D"/>
    <w:rsid w:val="6E7B1B0F"/>
    <w:rsid w:val="6F863338"/>
    <w:rsid w:val="6FD66DB9"/>
    <w:rsid w:val="7AB9575A"/>
    <w:rsid w:val="7BD6383B"/>
    <w:rsid w:val="7C6C5335"/>
    <w:rsid w:val="7E204DA2"/>
    <w:rsid w:val="7FB225FC"/>
    <w:rsid w:val="7FD03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16"/>
    <w:qFormat/>
    <w:uiPriority w:val="0"/>
    <w:pPr>
      <w:keepNext/>
      <w:keepLines/>
      <w:numPr>
        <w:ilvl w:val="0"/>
        <w:numId w:val="1"/>
      </w:numPr>
      <w:outlineLvl w:val="0"/>
    </w:pPr>
    <w:rPr>
      <w:b/>
      <w:bCs/>
      <w:kern w:val="44"/>
      <w:szCs w:val="44"/>
    </w:rPr>
  </w:style>
  <w:style w:type="paragraph" w:styleId="4">
    <w:name w:val="heading 2"/>
    <w:basedOn w:val="1"/>
    <w:next w:val="1"/>
    <w:link w:val="17"/>
    <w:qFormat/>
    <w:uiPriority w:val="0"/>
    <w:pPr>
      <w:keepNext/>
      <w:keepLines/>
      <w:outlineLvl w:val="1"/>
    </w:pPr>
    <w:rPr>
      <w:rFonts w:hAnsi="Arial"/>
      <w:b/>
      <w:bCs/>
      <w:szCs w:val="32"/>
    </w:rPr>
  </w:style>
  <w:style w:type="paragraph" w:styleId="5">
    <w:name w:val="heading 3"/>
    <w:basedOn w:val="6"/>
    <w:next w:val="1"/>
    <w:link w:val="18"/>
    <w:qFormat/>
    <w:uiPriority w:val="9"/>
    <w:pPr>
      <w:outlineLvl w:val="2"/>
    </w:pPr>
    <w:rPr>
      <w:b/>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Indent 2"/>
    <w:basedOn w:val="1"/>
    <w:unhideWhenUsed/>
    <w:qFormat/>
    <w:uiPriority w:val="0"/>
    <w:pPr>
      <w:spacing w:after="120" w:line="480" w:lineRule="auto"/>
      <w:ind w:left="420" w:leftChars="200"/>
    </w:pPr>
  </w:style>
  <w:style w:type="paragraph" w:customStyle="1" w:styleId="6">
    <w:name w:val="样式1"/>
    <w:basedOn w:val="1"/>
    <w:qFormat/>
    <w:uiPriority w:val="0"/>
    <w:pPr>
      <w:numPr>
        <w:ilvl w:val="2"/>
        <w:numId w:val="1"/>
      </w:numPr>
    </w:pPr>
  </w:style>
  <w:style w:type="paragraph" w:styleId="7">
    <w:name w:val="Balloon Text"/>
    <w:basedOn w:val="1"/>
    <w:link w:val="21"/>
    <w:unhideWhenUsed/>
    <w:qFormat/>
    <w:uiPriority w:val="99"/>
    <w:pPr>
      <w:spacing w:line="240" w:lineRule="auto"/>
    </w:pPr>
    <w:rPr>
      <w:sz w:val="18"/>
      <w:szCs w:val="18"/>
    </w:rPr>
  </w:style>
  <w:style w:type="paragraph" w:styleId="8">
    <w:name w:val="footer"/>
    <w:basedOn w:val="1"/>
    <w:link w:val="23"/>
    <w:unhideWhenUsed/>
    <w:qFormat/>
    <w:uiPriority w:val="99"/>
    <w:pPr>
      <w:tabs>
        <w:tab w:val="center" w:pos="4153"/>
        <w:tab w:val="right" w:pos="8306"/>
      </w:tabs>
      <w:snapToGrid w:val="0"/>
      <w:spacing w:line="240" w:lineRule="auto"/>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0">
    <w:name w:val="toc 1"/>
    <w:basedOn w:val="1"/>
    <w:next w:val="1"/>
    <w:qFormat/>
    <w:uiPriority w:val="39"/>
    <w:pPr>
      <w:tabs>
        <w:tab w:val="right" w:leader="dot" w:pos="8296"/>
      </w:tabs>
    </w:pPr>
  </w:style>
  <w:style w:type="paragraph" w:styleId="11">
    <w:name w:val="Normal (Web)"/>
    <w:basedOn w:val="1"/>
    <w:unhideWhenUsed/>
    <w:qFormat/>
    <w:uiPriority w:val="99"/>
    <w:pPr>
      <w:widowControl/>
      <w:spacing w:beforeAutospacing="1" w:afterAutospacing="1"/>
      <w:jc w:val="left"/>
    </w:pPr>
    <w:rPr>
      <w:rFonts w:hint="eastAsia" w:hAnsi="宋体"/>
      <w:color w:val="000000"/>
      <w:kern w:val="0"/>
    </w:rPr>
  </w:style>
  <w:style w:type="table" w:styleId="13">
    <w:name w:val="Table Grid"/>
    <w:basedOn w:val="1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unhideWhenUsed/>
    <w:qFormat/>
    <w:uiPriority w:val="99"/>
    <w:rPr>
      <w:color w:val="0000FF"/>
      <w:u w:val="single"/>
    </w:rPr>
  </w:style>
  <w:style w:type="character" w:customStyle="1" w:styleId="16">
    <w:name w:val="标题 1 字符"/>
    <w:basedOn w:val="14"/>
    <w:link w:val="3"/>
    <w:qFormat/>
    <w:uiPriority w:val="0"/>
    <w:rPr>
      <w:rFonts w:ascii="宋体"/>
      <w:b/>
      <w:bCs/>
      <w:kern w:val="44"/>
      <w:sz w:val="24"/>
      <w:szCs w:val="44"/>
    </w:rPr>
  </w:style>
  <w:style w:type="character" w:customStyle="1" w:styleId="17">
    <w:name w:val="标题 2 字符"/>
    <w:basedOn w:val="14"/>
    <w:link w:val="4"/>
    <w:qFormat/>
    <w:uiPriority w:val="0"/>
    <w:rPr>
      <w:rFonts w:ascii="宋体" w:hAnsi="Arial"/>
      <w:b/>
      <w:bCs/>
      <w:kern w:val="2"/>
      <w:sz w:val="24"/>
      <w:szCs w:val="32"/>
    </w:rPr>
  </w:style>
  <w:style w:type="character" w:customStyle="1" w:styleId="18">
    <w:name w:val="标题 3 字符"/>
    <w:basedOn w:val="14"/>
    <w:link w:val="5"/>
    <w:qFormat/>
    <w:uiPriority w:val="9"/>
    <w:rPr>
      <w:rFonts w:ascii="宋体" w:hAnsi="Times New Roman" w:eastAsia="宋体" w:cs="Times New Roman"/>
      <w:b/>
      <w:sz w:val="24"/>
      <w:szCs w:val="24"/>
    </w:rPr>
  </w:style>
  <w:style w:type="paragraph" w:customStyle="1" w:styleId="19">
    <w:name w:val="样式2"/>
    <w:basedOn w:val="1"/>
    <w:link w:val="20"/>
    <w:qFormat/>
    <w:uiPriority w:val="0"/>
    <w:pPr>
      <w:numPr>
        <w:ilvl w:val="3"/>
        <w:numId w:val="1"/>
      </w:numPr>
    </w:pPr>
  </w:style>
  <w:style w:type="character" w:customStyle="1" w:styleId="20">
    <w:name w:val="样式2 Char"/>
    <w:link w:val="19"/>
    <w:qFormat/>
    <w:uiPriority w:val="0"/>
    <w:rPr>
      <w:rFonts w:ascii="宋体" w:hAnsi="Times New Roman" w:eastAsia="宋体" w:cs="Times New Roman"/>
      <w:sz w:val="24"/>
      <w:szCs w:val="24"/>
    </w:rPr>
  </w:style>
  <w:style w:type="character" w:customStyle="1" w:styleId="21">
    <w:name w:val="批注框文本 字符"/>
    <w:basedOn w:val="14"/>
    <w:link w:val="7"/>
    <w:semiHidden/>
    <w:qFormat/>
    <w:uiPriority w:val="99"/>
    <w:rPr>
      <w:rFonts w:ascii="宋体" w:hAnsi="Times New Roman" w:eastAsia="宋体" w:cs="Times New Roman"/>
      <w:sz w:val="18"/>
      <w:szCs w:val="18"/>
    </w:rPr>
  </w:style>
  <w:style w:type="character" w:customStyle="1" w:styleId="22">
    <w:name w:val="页眉 字符"/>
    <w:basedOn w:val="14"/>
    <w:link w:val="9"/>
    <w:qFormat/>
    <w:uiPriority w:val="99"/>
    <w:rPr>
      <w:rFonts w:ascii="宋体" w:hAnsi="Times New Roman" w:eastAsia="宋体" w:cs="Times New Roman"/>
      <w:sz w:val="18"/>
      <w:szCs w:val="18"/>
    </w:rPr>
  </w:style>
  <w:style w:type="character" w:customStyle="1" w:styleId="23">
    <w:name w:val="页脚 字符"/>
    <w:basedOn w:val="14"/>
    <w:link w:val="8"/>
    <w:qFormat/>
    <w:uiPriority w:val="99"/>
    <w:rPr>
      <w:rFonts w:ascii="宋体" w:hAnsi="Times New Roman" w:eastAsia="宋体" w:cs="Times New Roman"/>
      <w:sz w:val="18"/>
      <w:szCs w:val="18"/>
    </w:rPr>
  </w:style>
  <w:style w:type="paragraph" w:customStyle="1" w:styleId="24">
    <w:name w:val="List Paragraph"/>
    <w:basedOn w:val="1"/>
    <w:link w:val="26"/>
    <w:unhideWhenUsed/>
    <w:qFormat/>
    <w:uiPriority w:val="0"/>
    <w:pPr>
      <w:ind w:firstLine="420" w:firstLineChars="200"/>
    </w:pPr>
  </w:style>
  <w:style w:type="paragraph" w:customStyle="1" w:styleId="25">
    <w:name w:val="样式 标题 2"/>
    <w:basedOn w:val="4"/>
    <w:qFormat/>
    <w:uiPriority w:val="0"/>
    <w:pPr>
      <w:ind w:left="567"/>
    </w:pPr>
    <w:rPr>
      <w:b w:val="0"/>
      <w:bCs w:val="0"/>
    </w:rPr>
  </w:style>
  <w:style w:type="character" w:customStyle="1" w:styleId="26">
    <w:name w:val="列出段落 字符"/>
    <w:link w:val="24"/>
    <w:qFormat/>
    <w:uiPriority w:val="34"/>
    <w:rPr>
      <w:rFonts w:ascii="宋体"/>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11</Pages>
  <Words>5595</Words>
  <Characters>6168</Characters>
  <Lines>62</Lines>
  <Paragraphs>17</Paragraphs>
  <TotalTime>24</TotalTime>
  <ScaleCrop>false</ScaleCrop>
  <LinksUpToDate>false</LinksUpToDate>
  <CharactersWithSpaces>6202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2019-03-01T09:58:00Z</dcterms:created>
  <dc:creator>钱敬国</dc:creator>
  <cp:lastModifiedBy>韦湘</cp:lastModifiedBy>
  <dcterms:modified xsi:type="dcterms:W3CDTF">2025-07-21T07:08:14Z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GSEDS_HWMT_d46a6755">
    <vt:lpwstr>f24564f5_mFV0yz84ISk2OspPmXv5rSuxEMQ=_8QYrr2VhfDc0N9xJ+m6u8FzeFU0jfUTT1lIsbQFQOYOYl4tZNafaE7yCg+2sKLYaXOEklFxjE+6ZrAAOJWW2_4b77671e</vt:lpwstr>
  </property>
  <property fmtid="{D5CDD505-2E9C-101B-9397-08002B2CF9AE}" pid="4" name="ICV">
    <vt:lpwstr>BD2419889C3F479D8B10961704D4E9CA</vt:lpwstr>
  </property>
</Properties>
</file>