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center"/>
        <w:rPr>
          <w:rFonts w:hint="eastAsia"/>
        </w:rPr>
      </w:pPr>
      <w:r>
        <w:rPr>
          <w:rFonts w:hint="eastAsia"/>
        </w:rPr>
        <w:t>云南电力试验研究院（集团）有限公司检验检测事业部电容电感测试仪校准装置修理及送检服务专项采购（零星采购）</w:t>
      </w:r>
    </w:p>
    <w:p>
      <w:pPr>
        <w:pStyle w:val="5"/>
        <w:jc w:val="center"/>
      </w:pPr>
      <w:r>
        <w:rPr>
          <w:rFonts w:hint="eastAsia"/>
        </w:rPr>
        <w:t>技术规范书</w:t>
      </w:r>
    </w:p>
    <w:p>
      <w:pPr>
        <w:spacing w:line="360" w:lineRule="auto"/>
        <w:rPr>
          <w:rFonts w:ascii="仿宋" w:hAnsi="仿宋" w:eastAsia="仿宋" w:cs="仿宋"/>
          <w:b/>
          <w:bCs/>
          <w:szCs w:val="21"/>
        </w:rPr>
      </w:pPr>
      <w:bookmarkStart w:id="0" w:name="_Toc441159752"/>
      <w:bookmarkEnd w:id="0"/>
      <w:r>
        <w:rPr>
          <w:rFonts w:hint="eastAsia" w:ascii="仿宋" w:hAnsi="仿宋" w:eastAsia="仿宋" w:cs="仿宋"/>
          <w:b/>
          <w:bCs/>
          <w:szCs w:val="21"/>
        </w:rPr>
        <w:t>一.项目概要</w:t>
      </w:r>
    </w:p>
    <w:p>
      <w:pPr>
        <w:pStyle w:val="11"/>
        <w:adjustRightInd w:val="0"/>
        <w:snapToGrid w:val="0"/>
        <w:spacing w:after="0" w:line="360" w:lineRule="auto"/>
        <w:ind w:firstLine="420" w:firstLineChars="200"/>
        <w:rPr>
          <w:rFonts w:ascii="仿宋" w:hAnsi="仿宋" w:eastAsia="仿宋" w:cs="仿宋"/>
          <w:szCs w:val="21"/>
        </w:rPr>
      </w:pPr>
      <w:r>
        <w:rPr>
          <w:rFonts w:hint="eastAsia" w:ascii="仿宋" w:hAnsi="仿宋" w:eastAsia="仿宋" w:cs="仿宋"/>
          <w:szCs w:val="21"/>
        </w:rPr>
        <w:t>申请修理的电容电感测试仪校准装置主要用于实验室电容电感测试仪的校准，因设备异常，现需要对标准装置的主功率输出模块进行修理，更换，调试，并进行设备送检。</w:t>
      </w:r>
    </w:p>
    <w:p>
      <w:pPr>
        <w:numPr>
          <w:ilvl w:val="0"/>
          <w:numId w:val="1"/>
        </w:numPr>
        <w:spacing w:line="360" w:lineRule="auto"/>
        <w:rPr>
          <w:rFonts w:ascii="仿宋" w:hAnsi="仿宋" w:eastAsia="仿宋" w:cs="仿宋"/>
          <w:b/>
          <w:bCs/>
          <w:szCs w:val="21"/>
        </w:rPr>
      </w:pPr>
      <w:r>
        <w:rPr>
          <w:rFonts w:hint="eastAsia" w:ascii="仿宋" w:hAnsi="仿宋" w:eastAsia="仿宋" w:cs="仿宋"/>
          <w:b/>
          <w:bCs/>
          <w:szCs w:val="21"/>
        </w:rPr>
        <w:t>项目范围</w:t>
      </w:r>
    </w:p>
    <w:p>
      <w:pPr>
        <w:pStyle w:val="4"/>
        <w:spacing w:line="360" w:lineRule="auto"/>
        <w:ind w:firstLine="420"/>
        <w:jc w:val="both"/>
        <w:rPr>
          <w:rFonts w:ascii="仿宋" w:hAnsi="仿宋" w:eastAsia="仿宋" w:cs="仿宋"/>
          <w:sz w:val="22"/>
          <w:szCs w:val="22"/>
        </w:rPr>
      </w:pPr>
      <w:bookmarkStart w:id="1" w:name="_GoBack"/>
      <w:r>
        <w:rPr>
          <w:rFonts w:hint="eastAsia" w:ascii="仿宋" w:hAnsi="仿宋" w:eastAsia="仿宋" w:cs="仿宋"/>
          <w:sz w:val="22"/>
          <w:szCs w:val="22"/>
        </w:rPr>
        <w:t>本次维修的内容为武汉市华英电力科技有限公司生产的电容电感测试仪校准装置，因设备内部功率输出模块老化故障，导致主功率模块输出电流稳定性不好，在进行年度标准器具溯源时发现，电容电感测试仪校准装置的电流输出在较低和较高幅值时波动较大，导致校准装置未能通过年度的计量溯源标定，并且因为波动性较大无法进行修正，经过与专业技术人员沟通分析，判断故障原因是主功率输出模块问题，需要对其进行维修和部件更换，并进行设备送检。</w:t>
      </w:r>
    </w:p>
    <w:bookmarkEnd w:id="1"/>
    <w:p>
      <w:pPr>
        <w:spacing w:line="360" w:lineRule="auto"/>
        <w:rPr>
          <w:rFonts w:ascii="仿宋" w:hAnsi="仿宋" w:eastAsia="仿宋" w:cs="仿宋"/>
          <w:b/>
          <w:bCs/>
          <w:szCs w:val="21"/>
        </w:rPr>
      </w:pPr>
      <w:r>
        <w:rPr>
          <w:rFonts w:hint="eastAsia" w:ascii="仿宋" w:hAnsi="仿宋" w:eastAsia="仿宋" w:cs="仿宋"/>
          <w:b/>
          <w:bCs/>
          <w:szCs w:val="21"/>
        </w:rPr>
        <w:t>三.项目技术要求</w:t>
      </w:r>
    </w:p>
    <w:p>
      <w:pPr>
        <w:spacing w:line="360" w:lineRule="auto"/>
        <w:ind w:left="316" w:hanging="316" w:hangingChars="150"/>
        <w:rPr>
          <w:rFonts w:ascii="仿宋" w:hAnsi="仿宋" w:eastAsia="仿宋" w:cs="仿宋"/>
          <w:b/>
          <w:bCs/>
          <w:szCs w:val="21"/>
        </w:rPr>
      </w:pPr>
      <w:r>
        <w:rPr>
          <w:rFonts w:hint="eastAsia" w:ascii="仿宋" w:hAnsi="仿宋" w:eastAsia="仿宋" w:cs="仿宋"/>
          <w:b/>
          <w:bCs/>
          <w:szCs w:val="21"/>
        </w:rPr>
        <w:t>3.1电容电感测试仪校准装置维修后达到的效果</w:t>
      </w:r>
    </w:p>
    <w:p>
      <w:pPr>
        <w:pStyle w:val="2"/>
        <w:spacing w:line="360" w:lineRule="auto"/>
        <w:ind w:left="0" w:leftChars="0"/>
        <w:rPr>
          <w:rFonts w:ascii="仿宋" w:hAnsi="仿宋" w:eastAsia="仿宋" w:cs="仿宋"/>
          <w:szCs w:val="21"/>
        </w:rPr>
      </w:pPr>
      <w:r>
        <w:rPr>
          <w:rFonts w:hint="eastAsia" w:ascii="仿宋" w:hAnsi="仿宋" w:eastAsia="仿宋" w:cs="仿宋"/>
          <w:szCs w:val="21"/>
        </w:rPr>
        <w:t>更换电容电感测试仪主功率输出模块，调整新功率输出模块和测试电压的同步控制，对更换主功率模块后的电容电感测试仪校准装置进行计量标定调整，确保维修后主功率输出模块与被检测仪器的电压信号能够保持时间和相位同步，装置输出电流能够在0.1～20A范围内保持稳定，电流波动值小于0.1%。维修后的仪器经过重新调整与校准后，电容模式下电容值在1uF-2000uF范围内误差不超过0.2%，电感值在1mh-5H范围内误差不超过0.2%。</w:t>
      </w:r>
    </w:p>
    <w:p>
      <w:pPr>
        <w:pStyle w:val="2"/>
        <w:spacing w:line="360" w:lineRule="auto"/>
        <w:ind w:left="0" w:leftChars="0" w:firstLine="0" w:firstLineChars="0"/>
        <w:rPr>
          <w:rFonts w:ascii="仿宋" w:hAnsi="仿宋" w:eastAsia="仿宋" w:cs="仿宋"/>
          <w:b/>
          <w:bCs/>
          <w:szCs w:val="21"/>
        </w:rPr>
      </w:pPr>
      <w:r>
        <w:rPr>
          <w:rFonts w:hint="eastAsia" w:ascii="仿宋" w:hAnsi="仿宋" w:eastAsia="仿宋" w:cs="仿宋"/>
          <w:b/>
          <w:bCs/>
          <w:szCs w:val="21"/>
        </w:rPr>
        <w:t>3.2项目进度要求</w:t>
      </w:r>
    </w:p>
    <w:tbl>
      <w:tblPr>
        <w:tblStyle w:val="1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pPr>
              <w:pStyle w:val="15"/>
              <w:adjustRightInd/>
              <w:snapToGrid/>
              <w:spacing w:line="360" w:lineRule="auto"/>
              <w:ind w:firstLine="0" w:firstLineChars="0"/>
              <w:jc w:val="center"/>
              <w:rPr>
                <w:rFonts w:ascii="仿宋" w:hAnsi="仿宋" w:eastAsia="仿宋" w:cs="仿宋"/>
                <w:b/>
                <w:szCs w:val="21"/>
              </w:rPr>
            </w:pPr>
            <w:r>
              <w:rPr>
                <w:rFonts w:hint="eastAsia" w:ascii="仿宋" w:hAnsi="仿宋" w:eastAsia="仿宋" w:cs="仿宋"/>
                <w:b/>
                <w:szCs w:val="21"/>
              </w:rPr>
              <w:t>时间</w:t>
            </w:r>
          </w:p>
        </w:tc>
        <w:tc>
          <w:tcPr>
            <w:tcW w:w="4411" w:type="dxa"/>
            <w:shd w:val="clear" w:color="auto" w:fill="D9D9D9"/>
            <w:vAlign w:val="center"/>
          </w:tcPr>
          <w:p>
            <w:pPr>
              <w:pStyle w:val="15"/>
              <w:adjustRightInd/>
              <w:snapToGrid/>
              <w:spacing w:line="360" w:lineRule="auto"/>
              <w:ind w:firstLine="0" w:firstLineChars="0"/>
              <w:jc w:val="center"/>
              <w:rPr>
                <w:rFonts w:ascii="仿宋" w:hAnsi="仿宋" w:eastAsia="仿宋" w:cs="仿宋"/>
                <w:b/>
                <w:szCs w:val="21"/>
              </w:rPr>
            </w:pPr>
            <w:r>
              <w:rPr>
                <w:rFonts w:hint="eastAsia" w:ascii="仿宋" w:hAnsi="仿宋" w:eastAsia="仿宋" w:cs="仿宋"/>
                <w:b/>
                <w:szCs w:val="21"/>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pPr>
              <w:pStyle w:val="15"/>
              <w:adjustRightInd/>
              <w:snapToGrid/>
              <w:spacing w:line="360" w:lineRule="auto"/>
              <w:ind w:firstLine="0" w:firstLineChars="0"/>
              <w:jc w:val="center"/>
              <w:rPr>
                <w:rFonts w:ascii="仿宋" w:hAnsi="仿宋" w:eastAsia="仿宋" w:cs="仿宋"/>
                <w:szCs w:val="21"/>
              </w:rPr>
            </w:pPr>
            <w:r>
              <w:rPr>
                <w:rFonts w:hint="eastAsia" w:ascii="仿宋" w:hAnsi="仿宋" w:eastAsia="仿宋" w:cs="仿宋"/>
                <w:kern w:val="0"/>
                <w:szCs w:val="21"/>
              </w:rPr>
              <w:t>自中标通知书发出之日起</w:t>
            </w:r>
            <w:r>
              <w:rPr>
                <w:rFonts w:hint="eastAsia" w:ascii="仿宋" w:hAnsi="仿宋" w:eastAsia="仿宋" w:cs="仿宋"/>
                <w:szCs w:val="21"/>
              </w:rPr>
              <w:t>30天内</w:t>
            </w:r>
          </w:p>
        </w:tc>
        <w:tc>
          <w:tcPr>
            <w:tcW w:w="4411" w:type="dxa"/>
            <w:vAlign w:val="center"/>
          </w:tcPr>
          <w:p>
            <w:pPr>
              <w:pStyle w:val="15"/>
              <w:adjustRightInd/>
              <w:snapToGrid/>
              <w:spacing w:line="360" w:lineRule="auto"/>
              <w:ind w:firstLine="0" w:firstLineChars="0"/>
              <w:jc w:val="center"/>
              <w:rPr>
                <w:rFonts w:ascii="仿宋" w:hAnsi="仿宋" w:eastAsia="仿宋" w:cs="仿宋"/>
                <w:szCs w:val="21"/>
              </w:rPr>
            </w:pPr>
            <w:r>
              <w:rPr>
                <w:rFonts w:hint="eastAsia" w:ascii="仿宋" w:hAnsi="仿宋" w:eastAsia="仿宋" w:cs="仿宋"/>
                <w:szCs w:val="21"/>
              </w:rPr>
              <w:t>修理、送检、验收、付款</w:t>
            </w:r>
          </w:p>
        </w:tc>
      </w:tr>
    </w:tbl>
    <w:p>
      <w:pPr>
        <w:spacing w:line="360" w:lineRule="auto"/>
        <w:rPr>
          <w:rFonts w:ascii="仿宋" w:hAnsi="仿宋" w:eastAsia="仿宋" w:cs="仿宋"/>
          <w:b/>
          <w:bCs/>
          <w:szCs w:val="21"/>
        </w:rPr>
      </w:pPr>
      <w:r>
        <w:rPr>
          <w:rFonts w:hint="eastAsia" w:ascii="仿宋" w:hAnsi="仿宋" w:eastAsia="仿宋" w:cs="仿宋"/>
          <w:b/>
          <w:bCs/>
          <w:szCs w:val="21"/>
        </w:rPr>
        <w:t>四.设备要求</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rPr>
        <w:t>4.1 包装方式和要求：</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4.1.1 所有部件经妥善包装或装箱后, 在运输过程中尚应采取其它防护措施, 以免散失损坏或被盗。</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4.1.2在包装箱外应标明需方的订货号、发货号。</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4.1.3各种包装应能确保各零部件在运输过程中不致遭到损坏、丢失、变形、受潮和腐蚀。</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4.1.4包装箱上应有明显的包装储运图示标志(按 GB/T 191-2008)。</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4.1.5整体产品或分别运输的部件都要适合运输和装载的要求。</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4.1.6随产品提供的技术资料应完整无缺。</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4.2 运输：</w:t>
      </w:r>
    </w:p>
    <w:p>
      <w:pPr>
        <w:widowControl/>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必须采取符合要求的合理形式对配件运输和贮存，并且由委托方专人全程跟踪。</w:t>
      </w:r>
    </w:p>
    <w:p>
      <w:pPr>
        <w:widowControl/>
        <w:adjustRightInd w:val="0"/>
        <w:snapToGrid w:val="0"/>
        <w:spacing w:line="360" w:lineRule="auto"/>
        <w:ind w:firstLine="420" w:firstLineChars="200"/>
        <w:rPr>
          <w:rFonts w:ascii="仿宋" w:hAnsi="仿宋" w:eastAsia="仿宋" w:cs="仿宋"/>
          <w:kern w:val="0"/>
          <w:szCs w:val="21"/>
        </w:rPr>
      </w:pPr>
      <w:r>
        <w:rPr>
          <w:rFonts w:hint="eastAsia" w:ascii="仿宋" w:hAnsi="仿宋" w:eastAsia="仿宋" w:cs="仿宋"/>
          <w:kern w:val="0"/>
          <w:szCs w:val="21"/>
        </w:rPr>
        <w:t>现场交接的最终验收完成之后，供方代表将修理完整的设备移交需方。</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rPr>
        <w:t>4.2 标的物交付时间：</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4.2.1修理期限为：自中标通知书发出之日起30天内。</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4.2.2修理方式：需方将设备寄给供方进行维修。</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4.2.3如中标人逾期修理，取消中标人中标资格，并依法追究其法律责任。</w:t>
      </w:r>
    </w:p>
    <w:p>
      <w:pPr>
        <w:spacing w:line="360" w:lineRule="auto"/>
        <w:rPr>
          <w:rFonts w:ascii="仿宋" w:hAnsi="仿宋" w:eastAsia="仿宋" w:cs="仿宋"/>
          <w:b/>
          <w:bCs/>
          <w:kern w:val="0"/>
          <w:szCs w:val="21"/>
        </w:rPr>
      </w:pPr>
      <w:r>
        <w:rPr>
          <w:rFonts w:hint="eastAsia" w:ascii="仿宋" w:hAnsi="仿宋" w:eastAsia="仿宋" w:cs="仿宋"/>
          <w:b/>
          <w:bCs/>
          <w:kern w:val="0"/>
          <w:szCs w:val="21"/>
        </w:rPr>
        <w:t>4.4 验收地点：</w:t>
      </w: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云南省昆明市经开区云大西路105号云电科技园</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4.5 安装和调试：</w:t>
      </w:r>
    </w:p>
    <w:p>
      <w:pPr>
        <w:widowControl/>
        <w:spacing w:line="360" w:lineRule="auto"/>
        <w:jc w:val="left"/>
        <w:rPr>
          <w:rFonts w:ascii="仿宋" w:hAnsi="仿宋" w:eastAsia="仿宋" w:cs="仿宋"/>
          <w:szCs w:val="21"/>
        </w:rPr>
      </w:pPr>
      <w:r>
        <w:rPr>
          <w:rFonts w:hint="eastAsia" w:ascii="仿宋" w:hAnsi="仿宋" w:eastAsia="仿宋" w:cs="仿宋"/>
          <w:kern w:val="0"/>
          <w:szCs w:val="21"/>
        </w:rPr>
        <w:t>4.5.1供方负责按国家相关标准或要求及本技术规范书的约定进行安装和调试的工作，以使装置设备具备正常安全预定的使用功能及性能，并满足技术规范书附件要求。并负责对需方人员进行技术指导及培训，直到需方人员能正常、正确、安全操作该设备为止，以保证达到预定的性能。供方承担安装期间所有的安装调试费用，接受并服从需方的管理与监督。</w:t>
      </w:r>
      <w:r>
        <w:rPr>
          <w:rFonts w:hint="eastAsia" w:ascii="仿宋" w:hAnsi="仿宋" w:eastAsia="仿宋" w:cs="仿宋"/>
          <w:kern w:val="0"/>
          <w:szCs w:val="21"/>
        </w:rPr>
        <w:br w:type="textWrapping"/>
      </w:r>
      <w:r>
        <w:rPr>
          <w:rFonts w:hint="eastAsia" w:ascii="仿宋" w:hAnsi="仿宋" w:eastAsia="仿宋" w:cs="仿宋"/>
          <w:kern w:val="0"/>
          <w:szCs w:val="21"/>
        </w:rPr>
        <w:t>4.5.2供方应在初步验收合格后3日内安装调试培训完毕，在供方安装调试过程中，供方应严格按照操作规程进行操作，并承担安装调试过程中发生的一切责任及费用。安装调试期间本项目的半成品、材料、设备及工具等，由供方自行保管，如有遗失或损坏，由供方自行承担责任。</w:t>
      </w:r>
      <w:r>
        <w:rPr>
          <w:rFonts w:hint="eastAsia" w:ascii="仿宋" w:hAnsi="仿宋" w:eastAsia="仿宋" w:cs="仿宋"/>
          <w:kern w:val="0"/>
          <w:szCs w:val="21"/>
        </w:rPr>
        <w:br w:type="textWrapping"/>
      </w:r>
      <w:r>
        <w:rPr>
          <w:rFonts w:hint="eastAsia" w:ascii="仿宋" w:hAnsi="仿宋" w:eastAsia="仿宋" w:cs="仿宋"/>
          <w:kern w:val="0"/>
          <w:szCs w:val="21"/>
        </w:rPr>
        <w:t>4.5.3安装调试完毕正常运行3日内，需方应及时组织人员对维修后的装置进行测试或试运行。若仍存在缺陷，供方应在3日内及时整改，使装置达到技术规范书约定的性能。整改发生的费用应由供方承担。</w:t>
      </w:r>
      <w:r>
        <w:rPr>
          <w:rFonts w:hint="eastAsia" w:ascii="仿宋" w:hAnsi="仿宋" w:eastAsia="仿宋" w:cs="仿宋"/>
          <w:kern w:val="0"/>
          <w:szCs w:val="21"/>
        </w:rPr>
        <w:br w:type="textWrapping"/>
      </w:r>
      <w:r>
        <w:rPr>
          <w:rFonts w:hint="eastAsia" w:ascii="仿宋" w:hAnsi="仿宋" w:eastAsia="仿宋" w:cs="仿宋"/>
          <w:kern w:val="0"/>
          <w:szCs w:val="21"/>
        </w:rPr>
        <w:t>4.5.4当安装调试培训完毕，并通过需方的正式验收后，双方签字确认，正式交付给需方，视为正式验收合格，在此之前的毁损、灭失等风险由供方承担。</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rPr>
        <w:t>4.6 质保期（质量保证承诺）</w:t>
      </w:r>
      <w:r>
        <w:rPr>
          <w:rFonts w:hint="eastAsia" w:ascii="仿宋" w:hAnsi="仿宋" w:eastAsia="仿宋" w:cs="仿宋"/>
          <w:kern w:val="0"/>
          <w:szCs w:val="21"/>
        </w:rPr>
        <w:t xml:space="preserve">： </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ab/>
      </w:r>
      <w:r>
        <w:rPr>
          <w:rFonts w:hint="eastAsia" w:ascii="仿宋" w:hAnsi="仿宋" w:eastAsia="仿宋" w:cs="仿宋"/>
          <w:kern w:val="0"/>
          <w:szCs w:val="21"/>
        </w:rPr>
        <w:t>项目（设备）验收合格后</w:t>
      </w:r>
      <w:r>
        <w:rPr>
          <w:rFonts w:hint="eastAsia" w:ascii="仿宋" w:hAnsi="仿宋" w:eastAsia="仿宋" w:cs="仿宋"/>
          <w:kern w:val="0"/>
          <w:szCs w:val="21"/>
          <w:u w:val="single"/>
        </w:rPr>
        <w:t>12</w:t>
      </w:r>
      <w:r>
        <w:rPr>
          <w:rFonts w:hint="eastAsia" w:ascii="仿宋" w:hAnsi="仿宋" w:eastAsia="仿宋" w:cs="仿宋"/>
          <w:kern w:val="0"/>
          <w:szCs w:val="21"/>
        </w:rPr>
        <w:t xml:space="preserve">个月 </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4.7 售后服务承诺：</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4.7.1供方对所供设备配件实行质量“三包”（包修、包换、包退），在使用中、运行中出现质量问题，在接到通知后的</w:t>
      </w:r>
      <w:r>
        <w:rPr>
          <w:rFonts w:hint="eastAsia" w:ascii="仿宋" w:hAnsi="仿宋" w:eastAsia="仿宋" w:cs="仿宋"/>
          <w:kern w:val="0"/>
          <w:szCs w:val="21"/>
          <w:u w:val="single"/>
        </w:rPr>
        <w:t xml:space="preserve"> 24 </w:t>
      </w:r>
      <w:r>
        <w:rPr>
          <w:rFonts w:hint="eastAsia" w:ascii="仿宋" w:hAnsi="仿宋" w:eastAsia="仿宋" w:cs="仿宋"/>
          <w:kern w:val="0"/>
          <w:szCs w:val="21"/>
        </w:rPr>
        <w:t>小时内答复，在</w:t>
      </w:r>
      <w:r>
        <w:rPr>
          <w:rFonts w:hint="eastAsia" w:ascii="仿宋" w:hAnsi="仿宋" w:eastAsia="仿宋" w:cs="仿宋"/>
          <w:kern w:val="0"/>
          <w:szCs w:val="21"/>
          <w:u w:val="single"/>
        </w:rPr>
        <w:t xml:space="preserve"> 48 </w:t>
      </w:r>
      <w:r>
        <w:rPr>
          <w:rFonts w:hint="eastAsia" w:ascii="仿宋" w:hAnsi="仿宋" w:eastAsia="仿宋" w:cs="仿宋"/>
          <w:kern w:val="0"/>
          <w:szCs w:val="21"/>
        </w:rPr>
        <w:t>小时内派员到达现场,处理问题。</w:t>
      </w:r>
    </w:p>
    <w:p>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4.7.2供方应及时提供与本技术规范书设备有关的安装、调试、验收、性能验收试验、运行等相应的技术指导、技术配合、技术培训等全过程的服务。</w:t>
      </w:r>
    </w:p>
    <w:p>
      <w:pPr>
        <w:spacing w:line="360" w:lineRule="auto"/>
        <w:rPr>
          <w:rFonts w:ascii="仿宋" w:hAnsi="仿宋" w:eastAsia="仿宋" w:cs="仿宋"/>
          <w:b/>
          <w:bCs/>
          <w:szCs w:val="21"/>
        </w:rPr>
      </w:pPr>
      <w:r>
        <w:rPr>
          <w:rFonts w:hint="eastAsia" w:ascii="仿宋" w:hAnsi="仿宋" w:eastAsia="仿宋" w:cs="仿宋"/>
          <w:b/>
          <w:bCs/>
          <w:szCs w:val="21"/>
        </w:rPr>
        <w:t>4.8交付成果、验收</w:t>
      </w:r>
    </w:p>
    <w:p>
      <w:pPr>
        <w:widowControl/>
        <w:adjustRightInd w:val="0"/>
        <w:snapToGrid w:val="0"/>
        <w:spacing w:line="360" w:lineRule="auto"/>
        <w:ind w:firstLine="420" w:firstLineChars="200"/>
        <w:jc w:val="left"/>
      </w:pPr>
      <w:r>
        <w:rPr>
          <w:rFonts w:hint="eastAsia" w:ascii="仿宋" w:hAnsi="仿宋" w:eastAsia="仿宋" w:cs="仿宋"/>
          <w:szCs w:val="21"/>
        </w:rPr>
        <w:t>供方按需方要求完成项目即达到验收条件，</w:t>
      </w:r>
      <w:r>
        <w:rPr>
          <w:rFonts w:hint="eastAsia" w:ascii="仿宋" w:hAnsi="仿宋" w:eastAsia="仿宋" w:cs="仿宋"/>
          <w:kern w:val="0"/>
          <w:szCs w:val="21"/>
        </w:rPr>
        <w:t>项目验收为设备修理完成。</w:t>
      </w:r>
    </w:p>
    <w:p>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rPr>
        <w:t>4.9采购清册及权重</w:t>
      </w: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kern w:val="0"/>
          <w:szCs w:val="21"/>
        </w:rPr>
        <w:t>物资采购清册</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813"/>
        <w:gridCol w:w="1719"/>
        <w:gridCol w:w="773"/>
        <w:gridCol w:w="635"/>
        <w:gridCol w:w="105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4" w:hRule="exact"/>
          <w:jc w:val="center"/>
        </w:trPr>
        <w:tc>
          <w:tcPr>
            <w:tcW w:w="63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序号</w:t>
            </w:r>
          </w:p>
        </w:tc>
        <w:tc>
          <w:tcPr>
            <w:tcW w:w="181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名称</w:t>
            </w:r>
          </w:p>
        </w:tc>
        <w:tc>
          <w:tcPr>
            <w:tcW w:w="1719"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规格</w:t>
            </w:r>
          </w:p>
        </w:tc>
        <w:tc>
          <w:tcPr>
            <w:tcW w:w="77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数量</w:t>
            </w:r>
          </w:p>
        </w:tc>
        <w:tc>
          <w:tcPr>
            <w:tcW w:w="635"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单位</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最高限价（万元）</w:t>
            </w:r>
          </w:p>
        </w:tc>
        <w:tc>
          <w:tcPr>
            <w:tcW w:w="190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1</w:t>
            </w:r>
          </w:p>
        </w:tc>
        <w:tc>
          <w:tcPr>
            <w:tcW w:w="1813"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检测部电容电感测试仪校准装置修理</w:t>
            </w:r>
          </w:p>
        </w:tc>
        <w:tc>
          <w:tcPr>
            <w:tcW w:w="1719"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更换主功率输出模块，完成更换后电压控制和主功率输出模块的控制调整。对校准装置进行调试和校准确保维修后的装置误差符合要求</w:t>
            </w:r>
          </w:p>
        </w:tc>
        <w:tc>
          <w:tcPr>
            <w:tcW w:w="77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1</w:t>
            </w:r>
          </w:p>
        </w:tc>
        <w:tc>
          <w:tcPr>
            <w:tcW w:w="635"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项</w:t>
            </w:r>
          </w:p>
        </w:tc>
        <w:tc>
          <w:tcPr>
            <w:tcW w:w="1050" w:type="dxa"/>
            <w:vAlign w:val="center"/>
          </w:tcPr>
          <w:p>
            <w:pPr>
              <w:autoSpaceDE w:val="0"/>
              <w:autoSpaceDN w:val="0"/>
              <w:adjustRightInd w:val="0"/>
              <w:spacing w:line="360" w:lineRule="auto"/>
              <w:jc w:val="center"/>
              <w:textAlignment w:val="baseline"/>
              <w:rPr>
                <w:rFonts w:hint="default" w:ascii="仿宋" w:hAnsi="仿宋" w:eastAsia="仿宋" w:cs="仿宋"/>
                <w:kern w:val="0"/>
                <w:szCs w:val="21"/>
                <w:lang w:val="en-US" w:eastAsia="zh-CN"/>
              </w:rPr>
            </w:pPr>
            <w:r>
              <w:rPr>
                <w:rFonts w:hint="eastAsia" w:ascii="仿宋" w:hAnsi="仿宋" w:eastAsia="仿宋" w:cs="仿宋"/>
                <w:szCs w:val="21"/>
                <w:lang w:val="en-US" w:eastAsia="zh-CN"/>
              </w:rPr>
              <w:t>1.68</w:t>
            </w:r>
          </w:p>
        </w:tc>
        <w:tc>
          <w:tcPr>
            <w:tcW w:w="1900" w:type="dxa"/>
            <w:vAlign w:val="center"/>
          </w:tcPr>
          <w:p>
            <w:pPr>
              <w:autoSpaceDE w:val="0"/>
              <w:autoSpaceDN w:val="0"/>
              <w:adjustRightInd w:val="0"/>
              <w:spacing w:line="360" w:lineRule="auto"/>
              <w:jc w:val="center"/>
              <w:textAlignment w:val="baseline"/>
            </w:pPr>
            <w:r>
              <w:rPr>
                <w:rFonts w:hint="eastAsia" w:ascii="仿宋" w:hAnsi="仿宋" w:eastAsia="仿宋" w:cs="仿宋"/>
                <w:szCs w:val="21"/>
              </w:rPr>
              <w:t>包含维修需要配件购置费用、工时费、税金。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2</w:t>
            </w:r>
          </w:p>
        </w:tc>
        <w:tc>
          <w:tcPr>
            <w:tcW w:w="1813"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检测部电容电感测试仪校准装置送检</w:t>
            </w:r>
          </w:p>
        </w:tc>
        <w:tc>
          <w:tcPr>
            <w:tcW w:w="1719"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需送至国家高电压计量站进行检定校准，报价包含送检费用及来回交通费</w:t>
            </w:r>
          </w:p>
        </w:tc>
        <w:tc>
          <w:tcPr>
            <w:tcW w:w="773"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1</w:t>
            </w:r>
          </w:p>
        </w:tc>
        <w:tc>
          <w:tcPr>
            <w:tcW w:w="635" w:type="dxa"/>
            <w:vAlign w:val="center"/>
          </w:tcPr>
          <w:p>
            <w:pPr>
              <w:autoSpaceDE w:val="0"/>
              <w:autoSpaceDN w:val="0"/>
              <w:adjustRightInd w:val="0"/>
              <w:spacing w:line="360" w:lineRule="auto"/>
              <w:jc w:val="center"/>
              <w:textAlignment w:val="baseline"/>
              <w:rPr>
                <w:rFonts w:ascii="仿宋" w:hAnsi="仿宋" w:eastAsia="仿宋" w:cs="仿宋"/>
                <w:kern w:val="0"/>
                <w:szCs w:val="21"/>
              </w:rPr>
            </w:pPr>
            <w:r>
              <w:rPr>
                <w:rFonts w:hint="eastAsia" w:ascii="仿宋" w:hAnsi="仿宋" w:eastAsia="仿宋" w:cs="仿宋"/>
                <w:kern w:val="0"/>
                <w:szCs w:val="21"/>
              </w:rPr>
              <w:t>项</w:t>
            </w:r>
          </w:p>
        </w:tc>
        <w:tc>
          <w:tcPr>
            <w:tcW w:w="1050" w:type="dxa"/>
            <w:vAlign w:val="center"/>
          </w:tcPr>
          <w:p>
            <w:pPr>
              <w:autoSpaceDE w:val="0"/>
              <w:autoSpaceDN w:val="0"/>
              <w:adjustRightInd w:val="0"/>
              <w:spacing w:line="360" w:lineRule="auto"/>
              <w:jc w:val="center"/>
              <w:textAlignment w:val="baseline"/>
              <w:rPr>
                <w:rFonts w:hint="default" w:ascii="仿宋" w:hAnsi="仿宋" w:eastAsia="仿宋" w:cs="仿宋"/>
                <w:szCs w:val="21"/>
                <w:lang w:val="en-US" w:eastAsia="zh-CN"/>
              </w:rPr>
            </w:pPr>
            <w:r>
              <w:rPr>
                <w:rFonts w:hint="eastAsia" w:ascii="仿宋" w:hAnsi="仿宋" w:eastAsia="仿宋" w:cs="仿宋"/>
                <w:szCs w:val="21"/>
                <w:lang w:val="en-US" w:eastAsia="zh-CN"/>
              </w:rPr>
              <w:t>1.00</w:t>
            </w:r>
          </w:p>
        </w:tc>
        <w:tc>
          <w:tcPr>
            <w:tcW w:w="1900" w:type="dxa"/>
            <w:vAlign w:val="center"/>
          </w:tcPr>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依据国家检定规程或校准规范出具检定校准证书，项目需包含电容检定校准点：</w:t>
            </w:r>
            <w:r>
              <w:rPr>
                <w:rFonts w:ascii="仿宋" w:hAnsi="仿宋" w:eastAsia="仿宋" w:cs="仿宋"/>
                <w:szCs w:val="21"/>
              </w:rPr>
              <w:t>1uF-2000uF</w:t>
            </w:r>
            <w:r>
              <w:rPr>
                <w:rFonts w:hint="eastAsia" w:ascii="仿宋" w:hAnsi="仿宋" w:eastAsia="仿宋" w:cs="仿宋"/>
                <w:szCs w:val="21"/>
              </w:rPr>
              <w:t>误差不超过0.2%</w:t>
            </w:r>
          </w:p>
          <w:p>
            <w:pPr>
              <w:autoSpaceDE w:val="0"/>
              <w:autoSpaceDN w:val="0"/>
              <w:adjustRightInd w:val="0"/>
              <w:spacing w:line="360" w:lineRule="auto"/>
              <w:jc w:val="center"/>
              <w:textAlignment w:val="baseline"/>
              <w:rPr>
                <w:rFonts w:ascii="仿宋" w:hAnsi="仿宋" w:eastAsia="仿宋" w:cs="仿宋"/>
                <w:szCs w:val="21"/>
              </w:rPr>
            </w:pPr>
            <w:r>
              <w:rPr>
                <w:rFonts w:hint="eastAsia" w:ascii="仿宋" w:hAnsi="仿宋" w:eastAsia="仿宋" w:cs="仿宋"/>
                <w:szCs w:val="21"/>
              </w:rPr>
              <w:t>电感检定校准点：</w:t>
            </w:r>
            <w:r>
              <w:rPr>
                <w:rFonts w:ascii="仿宋" w:hAnsi="仿宋" w:eastAsia="仿宋" w:cs="仿宋"/>
                <w:szCs w:val="21"/>
              </w:rPr>
              <w:t>1mh-5H</w:t>
            </w:r>
            <w:r>
              <w:rPr>
                <w:rFonts w:hint="eastAsia" w:ascii="仿宋" w:hAnsi="仿宋" w:eastAsia="仿宋" w:cs="仿宋"/>
                <w:szCs w:val="21"/>
              </w:rPr>
              <w:t>误差不超过0.2%</w:t>
            </w:r>
          </w:p>
        </w:tc>
      </w:tr>
    </w:tbl>
    <w:p>
      <w:pPr>
        <w:spacing w:line="360" w:lineRule="auto"/>
        <w:rPr>
          <w:rFonts w:ascii="仿宋" w:hAnsi="仿宋" w:eastAsia="仿宋" w:cs="仿宋"/>
          <w:b/>
          <w:bCs/>
          <w:szCs w:val="21"/>
        </w:rPr>
      </w:pPr>
      <w:r>
        <w:rPr>
          <w:rFonts w:hint="eastAsia" w:ascii="仿宋" w:hAnsi="仿宋" w:eastAsia="仿宋" w:cs="仿宋"/>
          <w:b/>
          <w:bCs/>
          <w:szCs w:val="21"/>
        </w:rPr>
        <w:t>注：具体维修项目以工程师排查结果为准，并依据供应商投标报价表格进行结算。发票以国家税率为准。</w:t>
      </w:r>
    </w:p>
    <w:p>
      <w:pPr>
        <w:spacing w:line="360" w:lineRule="auto"/>
        <w:rPr>
          <w:rFonts w:ascii="仿宋" w:hAnsi="仿宋" w:eastAsia="仿宋" w:cs="仿宋"/>
          <w:b/>
          <w:bCs/>
          <w:szCs w:val="21"/>
        </w:rPr>
      </w:pPr>
      <w:r>
        <w:rPr>
          <w:rFonts w:hint="eastAsia" w:ascii="仿宋" w:hAnsi="仿宋" w:eastAsia="仿宋" w:cs="仿宋"/>
          <w:b/>
          <w:bCs/>
          <w:szCs w:val="21"/>
        </w:rPr>
        <w:t>五、管理人员为本项目的负责人。</w:t>
      </w:r>
    </w:p>
    <w:p>
      <w:pPr>
        <w:spacing w:line="360" w:lineRule="auto"/>
        <w:rPr>
          <w:rFonts w:ascii="仿宋" w:hAnsi="仿宋" w:eastAsia="仿宋" w:cs="仿宋"/>
          <w:b/>
          <w:bCs/>
          <w:szCs w:val="21"/>
        </w:rPr>
      </w:pPr>
      <w:r>
        <w:rPr>
          <w:rFonts w:hint="eastAsia" w:ascii="仿宋" w:hAnsi="仿宋" w:eastAsia="仿宋" w:cs="仿宋"/>
          <w:b/>
          <w:bCs/>
          <w:szCs w:val="21"/>
        </w:rPr>
        <w:t>六、报价方面</w:t>
      </w: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报价方式：固定总价报价（包含税）；</w:t>
      </w: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报价明细：</w:t>
      </w:r>
    </w:p>
    <w:tbl>
      <w:tblPr>
        <w:tblStyle w:val="12"/>
        <w:tblpPr w:leftFromText="180" w:rightFromText="180" w:vertAnchor="text" w:horzAnchor="page" w:tblpX="1825" w:tblpY="45"/>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853"/>
        <w:gridCol w:w="3343"/>
        <w:gridCol w:w="2089"/>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875" w:hRule="exact"/>
        </w:trPr>
        <w:tc>
          <w:tcPr>
            <w:tcW w:w="509"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序号</w:t>
            </w:r>
          </w:p>
        </w:tc>
        <w:tc>
          <w:tcPr>
            <w:tcW w:w="1995"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名称</w:t>
            </w:r>
          </w:p>
        </w:tc>
        <w:tc>
          <w:tcPr>
            <w:tcW w:w="1247"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总价报价（万元/项）</w:t>
            </w:r>
          </w:p>
        </w:tc>
        <w:tc>
          <w:tcPr>
            <w:tcW w:w="1247" w:type="pct"/>
            <w:vAlign w:val="center"/>
          </w:tcPr>
          <w:p>
            <w:pPr>
              <w:widowControl/>
              <w:adjustRightInd w:val="0"/>
              <w:snapToGrid w:val="0"/>
              <w:spacing w:line="360" w:lineRule="auto"/>
              <w:jc w:val="left"/>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283" w:hRule="atLeast"/>
        </w:trPr>
        <w:tc>
          <w:tcPr>
            <w:tcW w:w="85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kern w:val="0"/>
                <w:szCs w:val="21"/>
              </w:rPr>
              <w:t>1</w:t>
            </w:r>
          </w:p>
        </w:tc>
        <w:tc>
          <w:tcPr>
            <w:tcW w:w="334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szCs w:val="21"/>
              </w:rPr>
              <w:t>检测部电容电感测试仪校准装置修理</w:t>
            </w:r>
          </w:p>
        </w:tc>
        <w:tc>
          <w:tcPr>
            <w:tcW w:w="1247" w:type="pct"/>
            <w:vAlign w:val="center"/>
          </w:tcPr>
          <w:p>
            <w:pPr>
              <w:widowControl/>
              <w:adjustRightInd w:val="0"/>
              <w:snapToGrid w:val="0"/>
              <w:spacing w:line="360" w:lineRule="auto"/>
              <w:jc w:val="center"/>
              <w:rPr>
                <w:rFonts w:ascii="仿宋" w:hAnsi="仿宋" w:eastAsia="仿宋" w:cs="仿宋"/>
                <w:szCs w:val="21"/>
              </w:rPr>
            </w:pPr>
          </w:p>
        </w:tc>
        <w:tc>
          <w:tcPr>
            <w:tcW w:w="1247" w:type="pct"/>
            <w:vAlign w:val="center"/>
          </w:tcPr>
          <w:p>
            <w:pPr>
              <w:widowControl/>
              <w:adjustRightInd w:val="0"/>
              <w:snapToGrid w:val="0"/>
              <w:spacing w:line="360" w:lineRule="auto"/>
              <w:jc w:val="left"/>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283" w:hRule="atLeast"/>
        </w:trPr>
        <w:tc>
          <w:tcPr>
            <w:tcW w:w="85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kern w:val="0"/>
                <w:szCs w:val="21"/>
              </w:rPr>
              <w:t>2</w:t>
            </w:r>
          </w:p>
        </w:tc>
        <w:tc>
          <w:tcPr>
            <w:tcW w:w="3343" w:type="dxa"/>
            <w:vAlign w:val="center"/>
          </w:tcPr>
          <w:p>
            <w:pPr>
              <w:autoSpaceDE w:val="0"/>
              <w:autoSpaceDN w:val="0"/>
              <w:adjustRightInd w:val="0"/>
              <w:spacing w:line="360" w:lineRule="auto"/>
              <w:jc w:val="left"/>
              <w:textAlignment w:val="baseline"/>
              <w:rPr>
                <w:rFonts w:ascii="仿宋" w:hAnsi="仿宋" w:eastAsia="仿宋" w:cs="仿宋"/>
                <w:szCs w:val="21"/>
              </w:rPr>
            </w:pPr>
            <w:r>
              <w:rPr>
                <w:rFonts w:hint="eastAsia" w:ascii="仿宋" w:hAnsi="仿宋" w:eastAsia="仿宋" w:cs="仿宋"/>
                <w:szCs w:val="21"/>
              </w:rPr>
              <w:t>检测部电容电感测试仪校准装置送检</w:t>
            </w:r>
          </w:p>
        </w:tc>
        <w:tc>
          <w:tcPr>
            <w:tcW w:w="1247" w:type="pct"/>
            <w:vAlign w:val="center"/>
          </w:tcPr>
          <w:p>
            <w:pPr>
              <w:widowControl/>
              <w:adjustRightInd w:val="0"/>
              <w:snapToGrid w:val="0"/>
              <w:spacing w:line="360" w:lineRule="auto"/>
              <w:jc w:val="center"/>
              <w:rPr>
                <w:rFonts w:ascii="仿宋" w:hAnsi="仿宋" w:eastAsia="仿宋" w:cs="仿宋"/>
                <w:szCs w:val="21"/>
              </w:rPr>
            </w:pPr>
          </w:p>
        </w:tc>
        <w:tc>
          <w:tcPr>
            <w:tcW w:w="1247" w:type="pct"/>
            <w:vAlign w:val="center"/>
          </w:tcPr>
          <w:p>
            <w:pPr>
              <w:widowControl/>
              <w:adjustRightInd w:val="0"/>
              <w:snapToGrid w:val="0"/>
              <w:spacing w:line="360" w:lineRule="auto"/>
              <w:jc w:val="left"/>
              <w:rPr>
                <w:rFonts w:ascii="仿宋" w:hAnsi="仿宋" w:eastAsia="仿宋" w:cs="仿宋"/>
                <w:szCs w:val="21"/>
              </w:rPr>
            </w:pPr>
          </w:p>
        </w:tc>
      </w:tr>
    </w:tbl>
    <w:p>
      <w:pPr>
        <w:widowControl/>
        <w:adjustRightInd w:val="0"/>
        <w:snapToGrid w:val="0"/>
        <w:spacing w:line="360" w:lineRule="auto"/>
        <w:ind w:firstLine="420" w:firstLineChars="200"/>
        <w:jc w:val="left"/>
        <w:rPr>
          <w:rFonts w:ascii="仿宋" w:hAnsi="仿宋" w:eastAsia="仿宋" w:cs="仿宋"/>
          <w:szCs w:val="21"/>
        </w:rPr>
      </w:pPr>
    </w:p>
    <w:p>
      <w:pPr>
        <w:widowControl/>
        <w:adjustRightInd w:val="0"/>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注：具体税率以税法规定的为主。</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4</w:t>
                          </w:r>
                          <w:r>
                            <w:rPr>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4</w:t>
                    </w:r>
                    <w:r>
                      <w:rPr>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85F0AE"/>
    <w:multiLevelType w:val="singleLevel"/>
    <w:tmpl w:val="B185F0AE"/>
    <w:lvl w:ilvl="0" w:tentative="0">
      <w:start w:val="2"/>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4YTA3NTg2YjE0NmQ2Yjk1YmYyMTU4YjI3NmJlYzUifQ=="/>
  </w:docVars>
  <w:rsids>
    <w:rsidRoot w:val="002D620E"/>
    <w:rsid w:val="000F0DBA"/>
    <w:rsid w:val="00294E2B"/>
    <w:rsid w:val="002D620E"/>
    <w:rsid w:val="003557CB"/>
    <w:rsid w:val="00A854FA"/>
    <w:rsid w:val="00C90FCA"/>
    <w:rsid w:val="065135D3"/>
    <w:rsid w:val="0BD93953"/>
    <w:rsid w:val="15567B46"/>
    <w:rsid w:val="15F16959"/>
    <w:rsid w:val="16A1430F"/>
    <w:rsid w:val="1C1A5FF3"/>
    <w:rsid w:val="21E9653D"/>
    <w:rsid w:val="22975120"/>
    <w:rsid w:val="22C5086D"/>
    <w:rsid w:val="22EF73D9"/>
    <w:rsid w:val="24A34284"/>
    <w:rsid w:val="26C31B63"/>
    <w:rsid w:val="2C796836"/>
    <w:rsid w:val="2EEB2B34"/>
    <w:rsid w:val="2FC51CEF"/>
    <w:rsid w:val="32923E3E"/>
    <w:rsid w:val="3387692D"/>
    <w:rsid w:val="34AC04DE"/>
    <w:rsid w:val="351A22AD"/>
    <w:rsid w:val="385B3288"/>
    <w:rsid w:val="3AB6680E"/>
    <w:rsid w:val="3AD12D15"/>
    <w:rsid w:val="406F1B62"/>
    <w:rsid w:val="40775150"/>
    <w:rsid w:val="41991C09"/>
    <w:rsid w:val="42414F02"/>
    <w:rsid w:val="432C339B"/>
    <w:rsid w:val="47ED3017"/>
    <w:rsid w:val="48C536F1"/>
    <w:rsid w:val="511247E3"/>
    <w:rsid w:val="531E77E4"/>
    <w:rsid w:val="59C171A4"/>
    <w:rsid w:val="59F37CEE"/>
    <w:rsid w:val="5DE36C40"/>
    <w:rsid w:val="5F5C0114"/>
    <w:rsid w:val="642052D3"/>
    <w:rsid w:val="6553558F"/>
    <w:rsid w:val="6B880FF7"/>
    <w:rsid w:val="706F32CA"/>
    <w:rsid w:val="72F32876"/>
    <w:rsid w:val="73D50D30"/>
    <w:rsid w:val="73E71498"/>
    <w:rsid w:val="77902903"/>
    <w:rsid w:val="79682200"/>
    <w:rsid w:val="7CB81123"/>
    <w:rsid w:val="7CE91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qFormat/>
    <w:uiPriority w:val="0"/>
    <w:pPr>
      <w:keepNext/>
      <w:keepLines/>
      <w:spacing w:line="360" w:lineRule="auto"/>
      <w:outlineLvl w:val="0"/>
    </w:pPr>
    <w:rPr>
      <w:rFonts w:ascii="Times New Roman" w:hAnsi="Times New Roman"/>
      <w:b/>
      <w:kern w:val="44"/>
      <w:sz w:val="32"/>
    </w:rPr>
  </w:style>
  <w:style w:type="paragraph" w:styleId="6">
    <w:name w:val="heading 2"/>
    <w:basedOn w:val="1"/>
    <w:next w:val="1"/>
    <w:link w:val="14"/>
    <w:semiHidden/>
    <w:unhideWhenUsed/>
    <w:qFormat/>
    <w:uiPriority w:val="0"/>
    <w:pPr>
      <w:keepNext/>
      <w:keepLines/>
      <w:spacing w:line="360" w:lineRule="auto"/>
      <w:outlineLvl w:val="1"/>
    </w:pPr>
    <w:rPr>
      <w:rFonts w:ascii="Arial" w:hAnsi="Arial"/>
      <w:b/>
      <w:bCs/>
      <w:sz w:val="28"/>
      <w:szCs w:val="32"/>
    </w:rPr>
  </w:style>
  <w:style w:type="paragraph" w:styleId="7">
    <w:name w:val="heading 3"/>
    <w:basedOn w:val="1"/>
    <w:next w:val="1"/>
    <w:semiHidden/>
    <w:unhideWhenUsed/>
    <w:qFormat/>
    <w:uiPriority w:val="0"/>
    <w:pPr>
      <w:keepNext/>
      <w:keepLines/>
      <w:spacing w:line="360" w:lineRule="auto"/>
      <w:outlineLvl w:val="2"/>
    </w:pPr>
    <w:rPr>
      <w:b/>
      <w:sz w:val="28"/>
    </w:rPr>
  </w:style>
  <w:style w:type="paragraph" w:styleId="8">
    <w:name w:val="heading 4"/>
    <w:basedOn w:val="1"/>
    <w:next w:val="1"/>
    <w:semiHidden/>
    <w:unhideWhenUsed/>
    <w:qFormat/>
    <w:uiPriority w:val="0"/>
    <w:pPr>
      <w:keepNext/>
      <w:keepLines/>
      <w:spacing w:line="360" w:lineRule="auto"/>
      <w:outlineLvl w:val="3"/>
    </w:pPr>
    <w:rPr>
      <w:rFonts w:ascii="Arial" w:hAnsi="Arial" w:eastAsia="黑体"/>
      <w:sz w:val="24"/>
    </w:rPr>
  </w:style>
  <w:style w:type="paragraph" w:styleId="9">
    <w:name w:val="heading 5"/>
    <w:basedOn w:val="1"/>
    <w:next w:val="1"/>
    <w:semiHidden/>
    <w:unhideWhenUsed/>
    <w:qFormat/>
    <w:uiPriority w:val="0"/>
    <w:pPr>
      <w:keepNext/>
      <w:keepLines/>
      <w:spacing w:line="360" w:lineRule="auto"/>
      <w:outlineLvl w:val="4"/>
    </w:pPr>
    <w:rPr>
      <w:b/>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4"/>
    <w:qFormat/>
    <w:uiPriority w:val="0"/>
    <w:pPr>
      <w:ind w:left="200" w:leftChars="200" w:firstLine="420" w:firstLineChars="200"/>
    </w:pPr>
  </w:style>
  <w:style w:type="paragraph" w:styleId="3">
    <w:name w:val="Body Text Indent"/>
    <w:basedOn w:val="1"/>
    <w:next w:val="1"/>
    <w:qFormat/>
    <w:uiPriority w:val="0"/>
    <w:pPr>
      <w:spacing w:after="120"/>
      <w:ind w:left="420"/>
    </w:pPr>
  </w:style>
  <w:style w:type="paragraph" w:customStyle="1" w:styleId="4">
    <w:name w:val="正文内容"/>
    <w:basedOn w:val="1"/>
    <w:qFormat/>
    <w:uiPriority w:val="0"/>
    <w:pPr>
      <w:ind w:firstLine="200" w:firstLineChars="200"/>
      <w:jc w:val="left"/>
    </w:pPr>
    <w:rPr>
      <w:rFonts w:ascii="Times New Roman" w:hAnsi="Times New Roman" w:eastAsia="仿宋_GB2312"/>
      <w:sz w:val="24"/>
    </w:r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Body Text 2"/>
    <w:basedOn w:val="1"/>
    <w:qFormat/>
    <w:uiPriority w:val="0"/>
    <w:pPr>
      <w:spacing w:after="120" w:line="480" w:lineRule="auto"/>
    </w:pPr>
  </w:style>
  <w:style w:type="character" w:customStyle="1" w:styleId="14">
    <w:name w:val="标题 2 字符"/>
    <w:link w:val="6"/>
    <w:qFormat/>
    <w:uiPriority w:val="0"/>
    <w:rPr>
      <w:rFonts w:ascii="Arial" w:hAnsi="Arial" w:eastAsia="宋体" w:cs="Times New Roman"/>
      <w:b/>
      <w:bCs/>
      <w:sz w:val="28"/>
      <w:szCs w:val="32"/>
    </w:rPr>
  </w:style>
  <w:style w:type="paragraph" w:customStyle="1" w:styleId="15">
    <w:name w:val="GEDI正文样式"/>
    <w:basedOn w:val="1"/>
    <w:qFormat/>
    <w:uiPriority w:val="0"/>
    <w:pPr>
      <w:adjustRightInd w:val="0"/>
      <w:snapToGrid w:val="0"/>
      <w:spacing w:line="480" w:lineRule="atLeast"/>
      <w:ind w:firstLine="480" w:firstLineChars="200"/>
    </w:pPr>
    <w:rPr>
      <w:szCs w:val="24"/>
    </w:rPr>
  </w:style>
  <w:style w:type="character" w:customStyle="1" w:styleId="16">
    <w:name w:val="menutitle13"/>
    <w:basedOn w:val="13"/>
    <w:qFormat/>
    <w:uiPriority w:val="0"/>
    <w:rPr>
      <w:b/>
      <w:color w:val="333333"/>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337</Words>
  <Characters>1924</Characters>
  <Lines>16</Lines>
  <Paragraphs>4</Paragraphs>
  <TotalTime>0</TotalTime>
  <ScaleCrop>false</ScaleCrop>
  <LinksUpToDate>false</LinksUpToDate>
  <CharactersWithSpaces>2257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2025-08-11T01:56:00Z</dcterms:created>
  <dc:creator>12544</dc:creator>
  <cp:lastModifiedBy>王作松</cp:lastModifiedBy>
  <dcterms:modified xsi:type="dcterms:W3CDTF">2025-08-19T07:46:11Z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F274EF3C48EA4B828047284FB7E6D842</vt:lpwstr>
  </property>
  <property fmtid="{D5CDD505-2E9C-101B-9397-08002B2CF9AE}" pid="4" name="KSOTemplateDocerSaveRecord">
    <vt:lpwstr>eyJoZGlkIjoiMWNhYWM0OTYwN2UyNzgyNTc5ZDQzOWRmMzY5Njk4YjMiLCJ1c2VySWQiOiI1MDAzNzU1NjYifQ==</vt:lpwstr>
  </property>
</Properties>
</file>