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sz w:val="28"/>
          <w:szCs w:val="28"/>
          <w:lang w:val="en-US" w:eastAsia="zh-CN"/>
        </w:rPr>
      </w:pPr>
      <w:r>
        <w:rPr>
          <w:rFonts w:hint="eastAsia"/>
          <w:b/>
          <w:bCs/>
          <w:sz w:val="28"/>
          <w:szCs w:val="28"/>
          <w:lang w:val="en-US" w:eastAsia="zh-CN"/>
        </w:rPr>
        <w:t>一、评审标准</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sz w:val="28"/>
          <w:szCs w:val="28"/>
          <w:lang w:val="en-US" w:eastAsia="zh-CN"/>
        </w:rPr>
      </w:pPr>
      <w:r>
        <w:rPr>
          <w:rFonts w:hint="eastAsia"/>
          <w:sz w:val="28"/>
          <w:szCs w:val="28"/>
          <w:lang w:val="en-US" w:eastAsia="zh-CN"/>
        </w:rPr>
        <w:t>1. 本项目采用综合评分法。</w:t>
      </w:r>
    </w:p>
    <w:tbl>
      <w:tblPr>
        <w:tblStyle w:val="5"/>
        <w:tblW w:w="504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05"/>
        <w:gridCol w:w="1469"/>
        <w:gridCol w:w="1580"/>
        <w:gridCol w:w="2398"/>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1" w:hRule="atLeast"/>
        </w:trPr>
        <w:tc>
          <w:tcPr>
            <w:tcW w:w="480" w:type="pct"/>
            <w:vMerge w:val="restart"/>
            <w:shd w:val="clear" w:color="auto" w:fill="FFFFFF"/>
            <w:vAlign w:val="center"/>
          </w:tcPr>
          <w:p>
            <w:pPr>
              <w:jc w:val="center"/>
              <w:rPr>
                <w:rFonts w:ascii="宋体" w:cs="宋体"/>
                <w:b/>
                <w:color w:val="000000" w:themeColor="text1"/>
                <w:sz w:val="21"/>
                <w:szCs w:val="21"/>
                <w:highlight w:val="none"/>
                <w14:textFill>
                  <w14:solidFill>
                    <w14:schemeClr w14:val="tx1"/>
                  </w14:solidFill>
                </w14:textFill>
              </w:rPr>
            </w:pPr>
            <w:r>
              <w:rPr>
                <w:rFonts w:hint="eastAsia" w:ascii="宋体" w:cs="宋体"/>
                <w:b/>
                <w:color w:val="000000" w:themeColor="text1"/>
                <w:sz w:val="21"/>
                <w:szCs w:val="21"/>
                <w:highlight w:val="none"/>
                <w14:textFill>
                  <w14:solidFill>
                    <w14:schemeClr w14:val="tx1"/>
                  </w14:solidFill>
                </w14:textFill>
              </w:rPr>
              <w:t>序号</w:t>
            </w:r>
          </w:p>
        </w:tc>
        <w:tc>
          <w:tcPr>
            <w:tcW w:w="1818" w:type="pct"/>
            <w:gridSpan w:val="2"/>
            <w:shd w:val="clear" w:color="auto" w:fill="FFFFFF"/>
            <w:vAlign w:val="center"/>
          </w:tcPr>
          <w:p>
            <w:pPr>
              <w:jc w:val="center"/>
              <w:rPr>
                <w:rFonts w:hint="eastAsia" w:ascii="宋体" w:cs="宋体"/>
                <w:b/>
                <w:color w:val="000000" w:themeColor="text1"/>
                <w:sz w:val="21"/>
                <w:szCs w:val="21"/>
                <w:highlight w:val="none"/>
                <w14:textFill>
                  <w14:solidFill>
                    <w14:schemeClr w14:val="tx1"/>
                  </w14:solidFill>
                </w14:textFill>
              </w:rPr>
            </w:pPr>
            <w:r>
              <w:rPr>
                <w:rFonts w:hint="eastAsia" w:ascii="宋体" w:cs="宋体"/>
                <w:b/>
                <w:color w:val="000000" w:themeColor="text1"/>
                <w:sz w:val="21"/>
                <w:szCs w:val="21"/>
                <w:highlight w:val="none"/>
                <w14:textFill>
                  <w14:solidFill>
                    <w14:schemeClr w14:val="tx1"/>
                  </w14:solidFill>
                </w14:textFill>
              </w:rPr>
              <w:t>分值</w:t>
            </w:r>
            <w:r>
              <w:rPr>
                <w:rFonts w:hint="eastAsia" w:ascii="宋体" w:cs="宋体"/>
                <w:b/>
                <w:color w:val="000000" w:themeColor="text1"/>
                <w:sz w:val="21"/>
                <w:szCs w:val="21"/>
                <w:highlight w:val="none"/>
                <w:lang w:eastAsia="zh-CN"/>
                <w14:textFill>
                  <w14:solidFill>
                    <w14:schemeClr w14:val="tx1"/>
                  </w14:solidFill>
                </w14:textFill>
              </w:rPr>
              <w:t>分配</w:t>
            </w:r>
          </w:p>
        </w:tc>
        <w:tc>
          <w:tcPr>
            <w:tcW w:w="1430" w:type="pct"/>
            <w:vMerge w:val="restart"/>
            <w:shd w:val="clear" w:color="auto" w:fill="FFFFFF"/>
            <w:vAlign w:val="center"/>
          </w:tcPr>
          <w:p>
            <w:pPr>
              <w:jc w:val="center"/>
              <w:rPr>
                <w:rFonts w:hint="eastAsia" w:ascii="宋体" w:cs="宋体"/>
                <w:b/>
                <w:color w:val="000000" w:themeColor="text1"/>
                <w:sz w:val="21"/>
                <w:szCs w:val="21"/>
                <w:highlight w:val="none"/>
                <w14:textFill>
                  <w14:solidFill>
                    <w14:schemeClr w14:val="tx1"/>
                  </w14:solidFill>
                </w14:textFill>
              </w:rPr>
            </w:pPr>
            <w:r>
              <w:rPr>
                <w:rFonts w:hint="eastAsia" w:ascii="宋体" w:cs="宋体"/>
                <w:b/>
                <w:color w:val="000000" w:themeColor="text1"/>
                <w:sz w:val="21"/>
                <w:szCs w:val="21"/>
                <w:highlight w:val="none"/>
                <w14:textFill>
                  <w14:solidFill>
                    <w14:schemeClr w14:val="tx1"/>
                  </w14:solidFill>
                </w14:textFill>
              </w:rPr>
              <w:t>技术、商务分</w:t>
            </w:r>
          </w:p>
          <w:p>
            <w:pPr>
              <w:jc w:val="center"/>
              <w:rPr>
                <w:rFonts w:ascii="宋体" w:cs="宋体"/>
                <w:b/>
                <w:color w:val="000000" w:themeColor="text1"/>
                <w:sz w:val="21"/>
                <w:szCs w:val="21"/>
                <w:highlight w:val="none"/>
                <w14:textFill>
                  <w14:solidFill>
                    <w14:schemeClr w14:val="tx1"/>
                  </w14:solidFill>
                </w14:textFill>
              </w:rPr>
            </w:pPr>
            <w:r>
              <w:rPr>
                <w:rFonts w:hint="eastAsia" w:ascii="宋体" w:cs="宋体"/>
                <w:b/>
                <w:color w:val="000000" w:themeColor="text1"/>
                <w:sz w:val="21"/>
                <w:szCs w:val="21"/>
                <w:highlight w:val="none"/>
                <w14:textFill>
                  <w14:solidFill>
                    <w14:schemeClr w14:val="tx1"/>
                  </w14:solidFill>
                </w14:textFill>
              </w:rPr>
              <w:t>计算方法</w:t>
            </w:r>
          </w:p>
        </w:tc>
        <w:tc>
          <w:tcPr>
            <w:tcW w:w="1270" w:type="pct"/>
            <w:vMerge w:val="restart"/>
            <w:shd w:val="clear" w:color="auto" w:fill="FFFFFF"/>
            <w:vAlign w:val="center"/>
          </w:tcPr>
          <w:p>
            <w:pPr>
              <w:jc w:val="center"/>
              <w:rPr>
                <w:rFonts w:hint="eastAsia" w:ascii="宋体" w:cs="宋体"/>
                <w:b/>
                <w:color w:val="000000" w:themeColor="text1"/>
                <w:sz w:val="21"/>
                <w:szCs w:val="21"/>
                <w:highlight w:val="none"/>
                <w14:textFill>
                  <w14:solidFill>
                    <w14:schemeClr w14:val="tx1"/>
                  </w14:solidFill>
                </w14:textFill>
              </w:rPr>
            </w:pPr>
            <w:r>
              <w:rPr>
                <w:rFonts w:hint="eastAsia" w:ascii="宋体" w:cs="宋体"/>
                <w:b/>
                <w:color w:val="000000" w:themeColor="text1"/>
                <w:sz w:val="21"/>
                <w:szCs w:val="21"/>
                <w:highlight w:val="none"/>
                <w14:textFill>
                  <w14:solidFill>
                    <w14:schemeClr w14:val="tx1"/>
                  </w14:solidFill>
                </w14:textFill>
              </w:rPr>
              <w:t>价格分</w:t>
            </w:r>
          </w:p>
          <w:p>
            <w:pPr>
              <w:jc w:val="center"/>
              <w:rPr>
                <w:rFonts w:ascii="宋体" w:cs="宋体"/>
                <w:b/>
                <w:color w:val="000000" w:themeColor="text1"/>
                <w:sz w:val="21"/>
                <w:szCs w:val="21"/>
                <w:highlight w:val="none"/>
                <w14:textFill>
                  <w14:solidFill>
                    <w14:schemeClr w14:val="tx1"/>
                  </w14:solidFill>
                </w14:textFill>
              </w:rPr>
            </w:pPr>
            <w:r>
              <w:rPr>
                <w:rFonts w:hint="eastAsia" w:ascii="宋体" w:cs="宋体"/>
                <w:b/>
                <w:color w:val="000000" w:themeColor="text1"/>
                <w:sz w:val="21"/>
                <w:szCs w:val="21"/>
                <w:highlight w:val="none"/>
                <w14:textFill>
                  <w14:solidFill>
                    <w14:schemeClr w14:val="tx1"/>
                  </w14:solidFill>
                </w14:textFill>
              </w:rPr>
              <w:t>计算方法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7" w:hRule="atLeast"/>
        </w:trPr>
        <w:tc>
          <w:tcPr>
            <w:tcW w:w="480" w:type="pct"/>
            <w:vMerge w:val="continue"/>
            <w:vAlign w:val="center"/>
          </w:tcPr>
          <w:p>
            <w:pPr>
              <w:widowControl/>
              <w:jc w:val="left"/>
              <w:rPr>
                <w:rFonts w:ascii="宋体" w:cs="宋体"/>
                <w:color w:val="000000" w:themeColor="text1"/>
                <w:sz w:val="21"/>
                <w:szCs w:val="21"/>
                <w:highlight w:val="none"/>
                <w14:textFill>
                  <w14:solidFill>
                    <w14:schemeClr w14:val="tx1"/>
                  </w14:solidFill>
                </w14:textFill>
              </w:rPr>
            </w:pPr>
          </w:p>
        </w:tc>
        <w:tc>
          <w:tcPr>
            <w:tcW w:w="876" w:type="pct"/>
            <w:shd w:val="clear" w:color="auto" w:fill="FFFFFF"/>
            <w:vAlign w:val="center"/>
          </w:tcPr>
          <w:p>
            <w:pPr>
              <w:jc w:val="center"/>
              <w:rPr>
                <w:rFonts w:ascii="Dialog" w:hAnsi="Dialog" w:cs="Dialog"/>
                <w:b/>
                <w:color w:val="000000" w:themeColor="text1"/>
                <w:sz w:val="21"/>
                <w:szCs w:val="21"/>
                <w:highlight w:val="none"/>
                <w14:textFill>
                  <w14:solidFill>
                    <w14:schemeClr w14:val="tx1"/>
                  </w14:solidFill>
                </w14:textFill>
              </w:rPr>
            </w:pPr>
            <w:r>
              <w:rPr>
                <w:rFonts w:hint="eastAsia" w:ascii="Dialog" w:hAnsi="Dialog" w:cs="Dialog"/>
                <w:b/>
                <w:color w:val="000000" w:themeColor="text1"/>
                <w:sz w:val="21"/>
                <w:szCs w:val="21"/>
                <w:highlight w:val="none"/>
                <w14:textFill>
                  <w14:solidFill>
                    <w14:schemeClr w14:val="tx1"/>
                  </w14:solidFill>
                </w14:textFill>
              </w:rPr>
              <w:t>技术商务分</w:t>
            </w:r>
          </w:p>
        </w:tc>
        <w:tc>
          <w:tcPr>
            <w:tcW w:w="942" w:type="pct"/>
            <w:vAlign w:val="center"/>
          </w:tcPr>
          <w:p>
            <w:pPr>
              <w:jc w:val="center"/>
              <w:rPr>
                <w:rFonts w:hint="default" w:ascii="Dialog" w:hAnsi="Dialog" w:eastAsia="宋体" w:cs="Dialog"/>
                <w:b/>
                <w:strike/>
                <w:dstrike w:val="0"/>
                <w:color w:val="FF0000"/>
                <w:kern w:val="2"/>
                <w:sz w:val="21"/>
                <w:szCs w:val="21"/>
                <w:highlight w:val="none"/>
                <w:lang w:val="en-US" w:eastAsia="zh-CN" w:bidi="ar-SA"/>
              </w:rPr>
            </w:pPr>
            <w:r>
              <w:rPr>
                <w:rFonts w:hint="eastAsia" w:ascii="Dialog" w:hAnsi="Dialog" w:cs="Dialog"/>
                <w:b/>
                <w:color w:val="000000" w:themeColor="text1"/>
                <w:sz w:val="21"/>
                <w:szCs w:val="21"/>
                <w:highlight w:val="none"/>
                <w14:textFill>
                  <w14:solidFill>
                    <w14:schemeClr w14:val="tx1"/>
                  </w14:solidFill>
                </w14:textFill>
              </w:rPr>
              <w:t>价格分</w:t>
            </w:r>
          </w:p>
        </w:tc>
        <w:tc>
          <w:tcPr>
            <w:tcW w:w="1430" w:type="pct"/>
            <w:vMerge w:val="continue"/>
            <w:vAlign w:val="center"/>
          </w:tcPr>
          <w:p>
            <w:pPr>
              <w:widowControl/>
              <w:jc w:val="left"/>
              <w:rPr>
                <w:rFonts w:ascii="宋体" w:cs="宋体"/>
                <w:color w:val="000000" w:themeColor="text1"/>
                <w:sz w:val="21"/>
                <w:szCs w:val="21"/>
                <w:highlight w:val="none"/>
                <w14:textFill>
                  <w14:solidFill>
                    <w14:schemeClr w14:val="tx1"/>
                  </w14:solidFill>
                </w14:textFill>
              </w:rPr>
            </w:pPr>
          </w:p>
        </w:tc>
        <w:tc>
          <w:tcPr>
            <w:tcW w:w="1270" w:type="pct"/>
            <w:vMerge w:val="continue"/>
            <w:vAlign w:val="center"/>
          </w:tcPr>
          <w:p>
            <w:pPr>
              <w:widowControl/>
              <w:jc w:val="left"/>
              <w:rPr>
                <w:rFonts w:ascii="宋体" w:cs="宋体"/>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48" w:hRule="atLeast"/>
        </w:trPr>
        <w:tc>
          <w:tcPr>
            <w:tcW w:w="480" w:type="pct"/>
            <w:shd w:val="clear" w:color="auto" w:fill="FFFFFF"/>
            <w:vAlign w:val="center"/>
          </w:tcPr>
          <w:p>
            <w:pPr>
              <w:jc w:val="center"/>
              <w:rPr>
                <w:rFonts w:ascii="Dialog" w:hAnsi="Dialog" w:cs="Dialog"/>
                <w:color w:val="000000" w:themeColor="text1"/>
                <w:sz w:val="21"/>
                <w:szCs w:val="21"/>
                <w:highlight w:val="none"/>
                <w14:textFill>
                  <w14:solidFill>
                    <w14:schemeClr w14:val="tx1"/>
                  </w14:solidFill>
                </w14:textFill>
              </w:rPr>
            </w:pPr>
            <w:r>
              <w:rPr>
                <w:rFonts w:ascii="Dialog" w:hAnsi="Dialog" w:cs="Dialog"/>
                <w:color w:val="000000" w:themeColor="text1"/>
                <w:sz w:val="21"/>
                <w:szCs w:val="21"/>
                <w:highlight w:val="none"/>
                <w14:textFill>
                  <w14:solidFill>
                    <w14:schemeClr w14:val="tx1"/>
                  </w14:solidFill>
                </w14:textFill>
              </w:rPr>
              <w:t>1</w:t>
            </w:r>
          </w:p>
        </w:tc>
        <w:tc>
          <w:tcPr>
            <w:tcW w:w="876" w:type="pct"/>
            <w:shd w:val="clear" w:color="auto" w:fill="FFFFFF"/>
            <w:vAlign w:val="center"/>
          </w:tcPr>
          <w:p>
            <w:pPr>
              <w:jc w:val="center"/>
              <w:rPr>
                <w:rFonts w:hint="default" w:ascii="Dialog" w:hAnsi="Dialog" w:cs="Dialog"/>
                <w:color w:val="000000" w:themeColor="text1"/>
                <w:sz w:val="21"/>
                <w:szCs w:val="21"/>
                <w:highlight w:val="none"/>
                <w:lang w:val="en-US"/>
                <w14:textFill>
                  <w14:solidFill>
                    <w14:schemeClr w14:val="tx1"/>
                  </w14:solidFill>
                </w14:textFill>
              </w:rPr>
            </w:pPr>
            <w:r>
              <w:rPr>
                <w:rFonts w:hint="eastAsia" w:ascii="Dialog" w:hAnsi="Dialog" w:cs="Dialog"/>
                <w:color w:val="000000" w:themeColor="text1"/>
                <w:sz w:val="21"/>
                <w:szCs w:val="21"/>
                <w:highlight w:val="none"/>
                <w:lang w:val="en-US" w:eastAsia="zh-CN"/>
                <w14:textFill>
                  <w14:solidFill>
                    <w14:schemeClr w14:val="tx1"/>
                  </w14:solidFill>
                </w14:textFill>
              </w:rPr>
              <w:t>70</w:t>
            </w:r>
          </w:p>
        </w:tc>
        <w:tc>
          <w:tcPr>
            <w:tcW w:w="942" w:type="pct"/>
            <w:shd w:val="clear" w:color="auto" w:fill="FFFFFF"/>
            <w:vAlign w:val="center"/>
          </w:tcPr>
          <w:p>
            <w:pPr>
              <w:jc w:val="center"/>
              <w:rPr>
                <w:rFonts w:hint="eastAsia" w:ascii="Dialog" w:hAnsi="Dialog" w:eastAsia="宋体" w:cs="Dialog"/>
                <w:strike/>
                <w:dstrike w:val="0"/>
                <w:color w:val="FF0000"/>
                <w:kern w:val="2"/>
                <w:sz w:val="21"/>
                <w:szCs w:val="21"/>
                <w:highlight w:val="none"/>
                <w:lang w:val="en-US" w:eastAsia="zh-CN" w:bidi="ar-SA"/>
              </w:rPr>
            </w:pPr>
            <w:r>
              <w:rPr>
                <w:rFonts w:hint="eastAsia" w:ascii="Dialog" w:hAnsi="Dialog" w:cs="Dialog"/>
                <w:color w:val="000000" w:themeColor="text1"/>
                <w:sz w:val="21"/>
                <w:szCs w:val="21"/>
                <w:highlight w:val="none"/>
                <w:lang w:val="en-US" w:eastAsia="zh-CN"/>
                <w14:textFill>
                  <w14:solidFill>
                    <w14:schemeClr w14:val="tx1"/>
                  </w14:solidFill>
                </w14:textFill>
              </w:rPr>
              <w:t>30</w:t>
            </w:r>
          </w:p>
        </w:tc>
        <w:tc>
          <w:tcPr>
            <w:tcW w:w="1430" w:type="pct"/>
            <w:shd w:val="clear" w:color="auto" w:fill="FFFFFF"/>
            <w:vAlign w:val="center"/>
          </w:tcPr>
          <w:p>
            <w:pPr>
              <w:jc w:val="left"/>
              <w:rPr>
                <w:rFonts w:ascii="Dialog" w:hAnsi="Dialog" w:cs="Dialog"/>
                <w:color w:val="000000" w:themeColor="text1"/>
                <w:sz w:val="21"/>
                <w:szCs w:val="21"/>
                <w:highlight w:val="none"/>
                <w14:textFill>
                  <w14:solidFill>
                    <w14:schemeClr w14:val="tx1"/>
                  </w14:solidFill>
                </w14:textFill>
              </w:rPr>
            </w:pPr>
            <w:r>
              <w:rPr>
                <w:rFonts w:hint="eastAsia" w:ascii="Dialog" w:hAnsi="Dialog" w:cs="Dialog"/>
                <w:color w:val="000000" w:themeColor="text1"/>
                <w:sz w:val="21"/>
                <w:szCs w:val="21"/>
                <w:highlight w:val="none"/>
                <w14:textFill>
                  <w14:solidFill>
                    <w14:schemeClr w14:val="tx1"/>
                  </w14:solidFill>
                </w14:textFill>
              </w:rPr>
              <w:t>计算技术商务总分时，按照专家评分的平均分作为该供应商的技术商务的得分。</w:t>
            </w:r>
          </w:p>
        </w:tc>
        <w:tc>
          <w:tcPr>
            <w:tcW w:w="1270" w:type="pct"/>
            <w:shd w:val="clear" w:color="auto" w:fill="FFFFFF"/>
            <w:vAlign w:val="center"/>
          </w:tcPr>
          <w:p>
            <w:pPr>
              <w:ind w:left="113"/>
              <w:jc w:val="left"/>
              <w:rPr>
                <w:rFonts w:hint="eastAsia" w:ascii="Dialog" w:hAnsi="Dialog" w:eastAsia="宋体" w:cs="Dialog"/>
                <w:color w:val="000000" w:themeColor="text1"/>
                <w:sz w:val="21"/>
                <w:szCs w:val="21"/>
                <w:highlight w:val="none"/>
                <w:lang w:eastAsia="zh-CN"/>
                <w14:textFill>
                  <w14:solidFill>
                    <w14:schemeClr w14:val="tx1"/>
                  </w14:solidFill>
                </w14:textFill>
              </w:rPr>
            </w:pPr>
            <w:r>
              <w:rPr>
                <w:rFonts w:hint="eastAsia" w:ascii="Dialog" w:hAnsi="Dialog" w:cs="Dialog"/>
                <w:color w:val="000000" w:themeColor="text1"/>
                <w:sz w:val="21"/>
                <w:szCs w:val="21"/>
                <w:highlight w:val="none"/>
                <w14:textFill>
                  <w14:solidFill>
                    <w14:schemeClr w14:val="tx1"/>
                  </w14:solidFill>
                </w14:textFill>
              </w:rPr>
              <w:t>合理均价基准差径靶心法</w:t>
            </w:r>
            <w:r>
              <w:rPr>
                <w:rFonts w:hint="eastAsia" w:ascii="Dialog" w:hAnsi="Dialog" w:cs="Dialog"/>
                <w:color w:val="000000" w:themeColor="text1"/>
                <w:sz w:val="21"/>
                <w:szCs w:val="21"/>
                <w:highlight w:val="none"/>
                <w:lang w:eastAsia="zh-CN"/>
                <w14:textFill>
                  <w14:solidFill>
                    <w14:schemeClr w14:val="tx1"/>
                  </w14:solidFill>
                </w14:textFill>
              </w:rPr>
              <w:t>。</w:t>
            </w:r>
          </w:p>
        </w:tc>
      </w:tr>
    </w:tbl>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sz w:val="28"/>
          <w:szCs w:val="28"/>
          <w:lang w:val="en-US" w:eastAsia="zh-CN"/>
        </w:rPr>
      </w:pPr>
      <w:r>
        <w:rPr>
          <w:rFonts w:hint="eastAsia"/>
          <w:sz w:val="28"/>
          <w:szCs w:val="28"/>
          <w:lang w:val="en-US" w:eastAsia="zh-CN"/>
        </w:rPr>
        <w:t>2. 技术商务、价格评审要素。</w:t>
      </w:r>
    </w:p>
    <w:tbl>
      <w:tblPr>
        <w:tblStyle w:val="5"/>
        <w:tblW w:w="5065" w:type="pct"/>
        <w:jc w:val="center"/>
        <w:tblLayout w:type="autofit"/>
        <w:tblCellMar>
          <w:top w:w="0" w:type="dxa"/>
          <w:left w:w="0" w:type="dxa"/>
          <w:bottom w:w="0" w:type="dxa"/>
          <w:right w:w="0" w:type="dxa"/>
        </w:tblCellMar>
      </w:tblPr>
      <w:tblGrid>
        <w:gridCol w:w="656"/>
        <w:gridCol w:w="1462"/>
        <w:gridCol w:w="5127"/>
        <w:gridCol w:w="1185"/>
      </w:tblGrid>
      <w:tr>
        <w:tblPrEx>
          <w:tblCellMar>
            <w:top w:w="0" w:type="dxa"/>
            <w:left w:w="0" w:type="dxa"/>
            <w:bottom w:w="0" w:type="dxa"/>
            <w:right w:w="0" w:type="dxa"/>
          </w:tblCellMar>
        </w:tblPrEx>
        <w:trPr>
          <w:trHeight w:val="527" w:hRule="atLeast"/>
          <w:jc w:val="center"/>
        </w:trPr>
        <w:tc>
          <w:tcPr>
            <w:tcW w:w="389" w:type="pct"/>
            <w:tcBorders>
              <w:top w:val="single" w:color="000000" w:sz="6" w:space="0"/>
              <w:left w:val="single" w:color="000000" w:sz="6" w:space="0"/>
              <w:bottom w:val="single" w:color="000000" w:sz="6" w:space="0"/>
              <w:right w:val="single" w:color="000000" w:sz="6" w:space="0"/>
            </w:tcBorders>
            <w:shd w:val="clear" w:color="auto" w:fill="FFFFFF"/>
            <w:vAlign w:val="center"/>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序号</w:t>
            </w:r>
          </w:p>
        </w:tc>
        <w:tc>
          <w:tcPr>
            <w:tcW w:w="867" w:type="pct"/>
            <w:tcBorders>
              <w:top w:val="single" w:color="000000" w:sz="6" w:space="0"/>
              <w:left w:val="single" w:color="000000" w:sz="6" w:space="0"/>
              <w:bottom w:val="single" w:color="000000" w:sz="6" w:space="0"/>
              <w:right w:val="single" w:color="000000" w:sz="6" w:space="0"/>
            </w:tcBorders>
            <w:shd w:val="clear" w:color="auto" w:fill="FFFFFF"/>
            <w:vAlign w:val="center"/>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评审项</w:t>
            </w:r>
          </w:p>
        </w:tc>
        <w:tc>
          <w:tcPr>
            <w:tcW w:w="3041" w:type="pct"/>
            <w:tcBorders>
              <w:top w:val="single" w:color="000000" w:sz="6" w:space="0"/>
              <w:left w:val="single" w:color="000000" w:sz="6" w:space="0"/>
              <w:bottom w:val="single" w:color="000000" w:sz="6" w:space="0"/>
              <w:right w:val="single" w:color="000000" w:sz="6" w:space="0"/>
            </w:tcBorders>
            <w:shd w:val="clear" w:color="auto" w:fill="FFFFFF"/>
            <w:vAlign w:val="center"/>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评审分项要素</w:t>
            </w:r>
          </w:p>
        </w:tc>
        <w:tc>
          <w:tcPr>
            <w:tcW w:w="701" w:type="pct"/>
            <w:tcBorders>
              <w:top w:val="single" w:color="000000" w:sz="6" w:space="0"/>
              <w:left w:val="single" w:color="000000" w:sz="6" w:space="0"/>
              <w:bottom w:val="single" w:color="000000" w:sz="6" w:space="0"/>
              <w:right w:val="single" w:color="000000" w:sz="6" w:space="0"/>
            </w:tcBorders>
            <w:shd w:val="clear" w:color="auto" w:fill="FFFFFF"/>
            <w:vAlign w:val="center"/>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分值</w:t>
            </w:r>
          </w:p>
        </w:tc>
      </w:tr>
      <w:tr>
        <w:tblPrEx>
          <w:tblCellMar>
            <w:top w:w="0" w:type="dxa"/>
            <w:left w:w="0" w:type="dxa"/>
            <w:bottom w:w="0" w:type="dxa"/>
            <w:right w:w="0" w:type="dxa"/>
          </w:tblCellMar>
        </w:tblPrEx>
        <w:trPr>
          <w:trHeight w:val="527" w:hRule="atLeast"/>
          <w:jc w:val="center"/>
        </w:trPr>
        <w:tc>
          <w:tcPr>
            <w:tcW w:w="5000" w:type="pct"/>
            <w:gridSpan w:val="4"/>
            <w:tcBorders>
              <w:top w:val="single" w:color="000000" w:sz="6" w:space="0"/>
              <w:left w:val="single" w:color="000000" w:sz="6" w:space="0"/>
              <w:bottom w:val="single" w:color="000000" w:sz="6" w:space="0"/>
              <w:right w:val="single" w:color="000000" w:sz="6" w:space="0"/>
            </w:tcBorders>
            <w:shd w:val="clear" w:color="auto" w:fill="FFFFFF"/>
            <w:vAlign w:val="center"/>
          </w:tcPr>
          <w:p>
            <w:pPr>
              <w:jc w:val="lef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（一）技术</w:t>
            </w:r>
            <w:r>
              <w:rPr>
                <w:rFonts w:hint="eastAsia" w:asciiTheme="minorEastAsia" w:hAnsiTheme="minorEastAsia" w:cstheme="minorEastAsia"/>
                <w:b/>
                <w:bCs/>
                <w:color w:val="auto"/>
                <w:sz w:val="21"/>
                <w:szCs w:val="21"/>
                <w:highlight w:val="none"/>
                <w:lang w:val="en-US" w:eastAsia="zh-CN"/>
              </w:rPr>
              <w:t>商务</w:t>
            </w:r>
            <w:r>
              <w:rPr>
                <w:rFonts w:hint="eastAsia" w:asciiTheme="minorEastAsia" w:hAnsiTheme="minorEastAsia" w:eastAsiaTheme="minorEastAsia" w:cstheme="minorEastAsia"/>
                <w:b/>
                <w:bCs/>
                <w:color w:val="auto"/>
                <w:sz w:val="21"/>
                <w:szCs w:val="21"/>
                <w:highlight w:val="none"/>
              </w:rPr>
              <w:t>评审（</w:t>
            </w:r>
            <w:r>
              <w:rPr>
                <w:rFonts w:hint="eastAsia" w:asciiTheme="minorEastAsia" w:hAnsiTheme="minorEastAsia" w:cstheme="minorEastAsia"/>
                <w:b/>
                <w:bCs/>
                <w:color w:val="auto"/>
                <w:sz w:val="21"/>
                <w:szCs w:val="21"/>
                <w:highlight w:val="none"/>
                <w:lang w:val="en-US" w:eastAsia="zh-CN"/>
              </w:rPr>
              <w:t>7</w:t>
            </w:r>
            <w:r>
              <w:rPr>
                <w:rFonts w:hint="eastAsia" w:asciiTheme="minorEastAsia" w:hAnsiTheme="minorEastAsia" w:eastAsiaTheme="minorEastAsia" w:cstheme="minorEastAsia"/>
                <w:b/>
                <w:bCs/>
                <w:color w:val="auto"/>
                <w:sz w:val="21"/>
                <w:szCs w:val="21"/>
                <w:highlight w:val="none"/>
                <w:lang w:val="en-US" w:eastAsia="zh-CN"/>
              </w:rPr>
              <w:t>0</w:t>
            </w:r>
            <w:r>
              <w:rPr>
                <w:rFonts w:hint="eastAsia" w:asciiTheme="minorEastAsia" w:hAnsiTheme="minorEastAsia" w:eastAsiaTheme="minorEastAsia" w:cstheme="minorEastAsia"/>
                <w:b/>
                <w:bCs/>
                <w:color w:val="auto"/>
                <w:sz w:val="21"/>
                <w:szCs w:val="21"/>
                <w:highlight w:val="none"/>
              </w:rPr>
              <w:t>）分</w:t>
            </w:r>
          </w:p>
        </w:tc>
      </w:tr>
      <w:tr>
        <w:tblPrEx>
          <w:tblCellMar>
            <w:top w:w="0" w:type="dxa"/>
            <w:left w:w="0" w:type="dxa"/>
            <w:bottom w:w="0" w:type="dxa"/>
            <w:right w:w="0" w:type="dxa"/>
          </w:tblCellMar>
        </w:tblPrEx>
        <w:trPr>
          <w:trHeight w:val="3058" w:hRule="atLeast"/>
          <w:jc w:val="center"/>
        </w:trPr>
        <w:tc>
          <w:tcPr>
            <w:tcW w:w="389" w:type="pct"/>
            <w:tcBorders>
              <w:top w:val="single" w:color="000000" w:sz="6" w:space="0"/>
              <w:left w:val="single" w:color="000000" w:sz="6" w:space="0"/>
              <w:bottom w:val="single" w:color="auto" w:sz="4"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867" w:type="pct"/>
            <w:tcBorders>
              <w:top w:val="single" w:color="000000" w:sz="6" w:space="0"/>
              <w:left w:val="single" w:color="000000" w:sz="6" w:space="0"/>
              <w:bottom w:val="single" w:color="auto" w:sz="4"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技术水平</w:t>
            </w:r>
          </w:p>
          <w:p>
            <w:pPr>
              <w:keepNext w:val="0"/>
              <w:keepLines w:val="0"/>
              <w:pageBreakBefore w:val="0"/>
              <w:widowControl w:val="0"/>
              <w:kinsoku/>
              <w:wordWrap/>
              <w:overflowPunct/>
              <w:topLinePunct w:val="0"/>
              <w:autoSpaceDE/>
              <w:autoSpaceDN/>
              <w:bidi w:val="0"/>
              <w:adjustRightInd/>
              <w:snapToGrid w:val="0"/>
              <w:ind w:firstLine="420" w:firstLineChars="200"/>
              <w:jc w:val="center"/>
              <w:textAlignment w:val="auto"/>
              <w:rPr>
                <w:rFonts w:hint="eastAsia" w:asciiTheme="minorEastAsia" w:hAnsiTheme="minorEastAsia" w:eastAsiaTheme="minorEastAsia" w:cstheme="minorEastAsia"/>
                <w:color w:val="auto"/>
                <w:sz w:val="21"/>
                <w:szCs w:val="21"/>
                <w:highlight w:val="none"/>
                <w:lang w:val="en-US" w:eastAsia="zh-CN"/>
              </w:rPr>
            </w:pPr>
          </w:p>
        </w:tc>
        <w:tc>
          <w:tcPr>
            <w:tcW w:w="3041" w:type="pct"/>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val="0"/>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针对性地论述</w:t>
            </w:r>
            <w:r>
              <w:rPr>
                <w:rFonts w:hint="eastAsia" w:asciiTheme="minorEastAsia" w:hAnsiTheme="minorEastAsia" w:cstheme="minorEastAsia"/>
                <w:color w:val="auto"/>
                <w:sz w:val="21"/>
                <w:szCs w:val="21"/>
                <w:highlight w:val="none"/>
                <w:lang w:val="en-US" w:eastAsia="zh-CN"/>
              </w:rPr>
              <w:t>电力定值整定计算</w:t>
            </w:r>
            <w:r>
              <w:rPr>
                <w:rFonts w:hint="eastAsia" w:asciiTheme="minorEastAsia" w:hAnsiTheme="minorEastAsia" w:eastAsiaTheme="minorEastAsia" w:cstheme="minorEastAsia"/>
                <w:color w:val="auto"/>
                <w:sz w:val="21"/>
                <w:szCs w:val="21"/>
                <w:highlight w:val="none"/>
              </w:rPr>
              <w:t>的</w:t>
            </w:r>
            <w:r>
              <w:rPr>
                <w:rFonts w:hint="eastAsia" w:asciiTheme="minorEastAsia" w:hAnsiTheme="minorEastAsia" w:eastAsiaTheme="minorEastAsia" w:cstheme="minorEastAsia"/>
                <w:color w:val="auto"/>
                <w:sz w:val="21"/>
                <w:szCs w:val="21"/>
                <w:highlight w:val="none"/>
                <w:lang w:val="en-US" w:eastAsia="zh-CN"/>
              </w:rPr>
              <w:t>工作</w:t>
            </w:r>
            <w:r>
              <w:rPr>
                <w:rFonts w:hint="eastAsia" w:asciiTheme="minorEastAsia" w:hAnsiTheme="minorEastAsia" w:eastAsiaTheme="minorEastAsia" w:cstheme="minorEastAsia"/>
                <w:color w:val="auto"/>
                <w:sz w:val="21"/>
                <w:szCs w:val="21"/>
                <w:highlight w:val="none"/>
              </w:rPr>
              <w:t>流程、要点、特点，可能出现的技术问题和解决方法。</w:t>
            </w:r>
          </w:p>
          <w:p>
            <w:pPr>
              <w:keepNext w:val="0"/>
              <w:keepLines w:val="0"/>
              <w:pageBreakBefore w:val="0"/>
              <w:widowControl w:val="0"/>
              <w:kinsoku/>
              <w:wordWrap/>
              <w:overflowPunct/>
              <w:topLinePunct w:val="0"/>
              <w:autoSpaceDE/>
              <w:autoSpaceDN/>
              <w:bidi w:val="0"/>
              <w:adjustRightInd/>
              <w:snapToGrid w:val="0"/>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A（</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cstheme="minorEastAsia"/>
                <w:color w:val="auto"/>
                <w:sz w:val="21"/>
                <w:szCs w:val="21"/>
                <w:highlight w:val="none"/>
                <w:lang w:val="en-US" w:eastAsia="zh-CN"/>
              </w:rPr>
              <w:t>20</w:t>
            </w:r>
            <w:r>
              <w:rPr>
                <w:rFonts w:hint="eastAsia" w:asciiTheme="minorEastAsia" w:hAnsiTheme="minorEastAsia" w:eastAsiaTheme="minorEastAsia" w:cstheme="minorEastAsia"/>
                <w:color w:val="auto"/>
                <w:sz w:val="21"/>
                <w:szCs w:val="21"/>
                <w:highlight w:val="none"/>
              </w:rPr>
              <w:t>分）：熟悉</w:t>
            </w:r>
            <w:r>
              <w:rPr>
                <w:rFonts w:hint="eastAsia" w:asciiTheme="minorEastAsia" w:hAnsiTheme="minorEastAsia" w:eastAsiaTheme="minorEastAsia" w:cstheme="minorEastAsia"/>
                <w:color w:val="auto"/>
                <w:sz w:val="21"/>
                <w:szCs w:val="21"/>
                <w:highlight w:val="none"/>
                <w:lang w:val="en-US" w:eastAsia="zh-CN"/>
              </w:rPr>
              <w:t>工作</w:t>
            </w:r>
            <w:r>
              <w:rPr>
                <w:rFonts w:hint="eastAsia" w:asciiTheme="minorEastAsia" w:hAnsiTheme="minorEastAsia" w:eastAsiaTheme="minorEastAsia" w:cstheme="minorEastAsia"/>
                <w:color w:val="auto"/>
                <w:sz w:val="21"/>
                <w:szCs w:val="21"/>
                <w:highlight w:val="none"/>
              </w:rPr>
              <w:t>流程、特点和要求，</w:t>
            </w:r>
            <w:r>
              <w:rPr>
                <w:rFonts w:hint="eastAsia" w:asciiTheme="minorEastAsia" w:hAnsiTheme="minorEastAsia" w:eastAsiaTheme="minorEastAsia" w:cstheme="minorEastAsia"/>
                <w:color w:val="auto"/>
                <w:sz w:val="21"/>
                <w:szCs w:val="21"/>
                <w:highlight w:val="none"/>
                <w:lang w:val="en-US" w:eastAsia="zh-CN"/>
              </w:rPr>
              <w:t>分析</w:t>
            </w:r>
            <w:r>
              <w:rPr>
                <w:rFonts w:hint="eastAsia" w:asciiTheme="minorEastAsia" w:hAnsiTheme="minorEastAsia" w:eastAsiaTheme="minorEastAsia" w:cstheme="minorEastAsia"/>
                <w:color w:val="auto"/>
                <w:sz w:val="21"/>
                <w:szCs w:val="21"/>
                <w:highlight w:val="none"/>
              </w:rPr>
              <w:t>问题和解决办法全面、细致、有针对性。</w:t>
            </w:r>
          </w:p>
          <w:p>
            <w:pPr>
              <w:keepNext w:val="0"/>
              <w:keepLines w:val="0"/>
              <w:pageBreakBefore w:val="0"/>
              <w:widowControl w:val="0"/>
              <w:kinsoku/>
              <w:wordWrap/>
              <w:overflowPunct/>
              <w:topLinePunct w:val="0"/>
              <w:autoSpaceDE/>
              <w:autoSpaceDN/>
              <w:bidi w:val="0"/>
              <w:adjustRightInd/>
              <w:snapToGrid w:val="0"/>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B（</w:t>
            </w:r>
            <w:r>
              <w:rPr>
                <w:rFonts w:hint="eastAsia" w:asciiTheme="minorEastAsia" w:hAnsiTheme="minorEastAsia" w:eastAsia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rPr>
              <w:t>分）：知道</w:t>
            </w:r>
            <w:r>
              <w:rPr>
                <w:rFonts w:hint="eastAsia" w:asciiTheme="minorEastAsia" w:hAnsiTheme="minorEastAsia" w:eastAsiaTheme="minorEastAsia" w:cstheme="minorEastAsia"/>
                <w:color w:val="auto"/>
                <w:sz w:val="21"/>
                <w:szCs w:val="21"/>
                <w:highlight w:val="none"/>
                <w:lang w:val="en-US" w:eastAsia="zh-CN"/>
              </w:rPr>
              <w:t>工作</w:t>
            </w:r>
            <w:r>
              <w:rPr>
                <w:rFonts w:hint="eastAsia" w:asciiTheme="minorEastAsia" w:hAnsiTheme="minorEastAsia" w:eastAsiaTheme="minorEastAsia" w:cstheme="minorEastAsia"/>
                <w:color w:val="auto"/>
                <w:sz w:val="21"/>
                <w:szCs w:val="21"/>
                <w:highlight w:val="none"/>
              </w:rPr>
              <w:t>流程、特点和要求，能够针对性地提出大部分问题和解决办法。</w:t>
            </w:r>
          </w:p>
          <w:p>
            <w:pPr>
              <w:keepNext w:val="0"/>
              <w:keepLines w:val="0"/>
              <w:pageBreakBefore w:val="0"/>
              <w:widowControl w:val="0"/>
              <w:kinsoku/>
              <w:wordWrap/>
              <w:overflowPunct/>
              <w:topLinePunct w:val="0"/>
              <w:autoSpaceDE/>
              <w:autoSpaceDN/>
              <w:bidi w:val="0"/>
              <w:adjustRightInd/>
              <w:snapToGrid w:val="0"/>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C（0-</w:t>
            </w: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rPr>
              <w:t>分）：不熟悉</w:t>
            </w:r>
            <w:r>
              <w:rPr>
                <w:rFonts w:hint="eastAsia" w:asciiTheme="minorEastAsia" w:hAnsiTheme="minorEastAsia" w:eastAsiaTheme="minorEastAsia" w:cstheme="minorEastAsia"/>
                <w:color w:val="auto"/>
                <w:sz w:val="21"/>
                <w:szCs w:val="21"/>
                <w:highlight w:val="none"/>
                <w:lang w:val="en-US" w:eastAsia="zh-CN"/>
              </w:rPr>
              <w:t>工作</w:t>
            </w:r>
            <w:r>
              <w:rPr>
                <w:rFonts w:hint="eastAsia" w:asciiTheme="minorEastAsia" w:hAnsiTheme="minorEastAsia" w:eastAsiaTheme="minorEastAsia" w:cstheme="minorEastAsia"/>
                <w:color w:val="auto"/>
                <w:sz w:val="21"/>
                <w:szCs w:val="21"/>
                <w:highlight w:val="none"/>
              </w:rPr>
              <w:t>流程、特点和要求，不能够针对性地提出问题和解决办法。</w:t>
            </w:r>
          </w:p>
        </w:tc>
        <w:tc>
          <w:tcPr>
            <w:tcW w:w="701" w:type="pct"/>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0-</w:t>
            </w:r>
            <w:r>
              <w:rPr>
                <w:rFonts w:hint="eastAsia" w:asciiTheme="minorEastAsia" w:hAnsiTheme="minorEastAsia" w:cstheme="minorEastAsia"/>
                <w:color w:val="auto"/>
                <w:sz w:val="21"/>
                <w:szCs w:val="21"/>
                <w:highlight w:val="none"/>
                <w:lang w:val="en-US" w:eastAsia="zh-CN"/>
              </w:rPr>
              <w:t>20</w:t>
            </w:r>
            <w:r>
              <w:rPr>
                <w:rFonts w:hint="eastAsia" w:asciiTheme="minorEastAsia" w:hAnsiTheme="minorEastAsia" w:eastAsiaTheme="minorEastAsia" w:cstheme="minorEastAsia"/>
                <w:color w:val="auto"/>
                <w:sz w:val="21"/>
                <w:szCs w:val="21"/>
                <w:highlight w:val="none"/>
                <w:lang w:val="en-US" w:eastAsia="zh-CN"/>
              </w:rPr>
              <w:t>分</w:t>
            </w:r>
          </w:p>
        </w:tc>
      </w:tr>
      <w:tr>
        <w:tblPrEx>
          <w:tblCellMar>
            <w:top w:w="0" w:type="dxa"/>
            <w:left w:w="0" w:type="dxa"/>
            <w:bottom w:w="0" w:type="dxa"/>
            <w:right w:w="0" w:type="dxa"/>
          </w:tblCellMar>
        </w:tblPrEx>
        <w:trPr>
          <w:trHeight w:val="1542" w:hRule="atLeast"/>
          <w:jc w:val="center"/>
        </w:trPr>
        <w:tc>
          <w:tcPr>
            <w:tcW w:w="389" w:type="pct"/>
            <w:tcBorders>
              <w:top w:val="single" w:color="auto" w:sz="4" w:space="0"/>
              <w:left w:val="single" w:color="000000" w:sz="6" w:space="0"/>
              <w:bottom w:val="single" w:color="auto" w:sz="4"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2</w:t>
            </w:r>
          </w:p>
        </w:tc>
        <w:tc>
          <w:tcPr>
            <w:tcW w:w="867" w:type="pct"/>
            <w:tcBorders>
              <w:top w:val="single" w:color="auto" w:sz="4" w:space="0"/>
              <w:left w:val="single" w:color="000000" w:sz="6" w:space="0"/>
              <w:bottom w:val="single" w:color="auto" w:sz="4"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服务承诺</w:t>
            </w:r>
          </w:p>
          <w:p>
            <w:pPr>
              <w:pStyle w:val="2"/>
              <w:ind w:firstLine="420" w:firstLineChars="200"/>
              <w:jc w:val="center"/>
              <w:rPr>
                <w:rFonts w:hint="eastAsia" w:asciiTheme="minorEastAsia" w:hAnsiTheme="minorEastAsia" w:eastAsiaTheme="minorEastAsia" w:cstheme="minorEastAsia"/>
                <w:sz w:val="21"/>
                <w:szCs w:val="21"/>
                <w:highlight w:val="none"/>
                <w:lang w:val="en-US" w:eastAsia="zh-CN"/>
              </w:rPr>
            </w:pPr>
          </w:p>
        </w:tc>
        <w:tc>
          <w:tcPr>
            <w:tcW w:w="3041" w:type="pct"/>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服务承诺：主要体现在响应速度、团队素质等方面，</w:t>
            </w:r>
            <w:r>
              <w:rPr>
                <w:rFonts w:hint="eastAsia" w:asciiTheme="minorEastAsia" w:hAnsiTheme="minorEastAsia" w:eastAsiaTheme="minorEastAsia" w:cstheme="minorEastAsia"/>
                <w:color w:val="auto"/>
                <w:sz w:val="21"/>
                <w:szCs w:val="21"/>
                <w:highlight w:val="none"/>
              </w:rPr>
              <w:t>评分分三类：</w:t>
            </w:r>
          </w:p>
          <w:p>
            <w:pPr>
              <w:keepNext w:val="0"/>
              <w:keepLines w:val="0"/>
              <w:pageBreakBefore w:val="0"/>
              <w:widowControl w:val="0"/>
              <w:numPr>
                <w:ilvl w:val="0"/>
                <w:numId w:val="0"/>
              </w:numPr>
              <w:kinsoku/>
              <w:wordWrap/>
              <w:overflowPunct/>
              <w:topLinePunct w:val="0"/>
              <w:autoSpaceDE/>
              <w:autoSpaceDN/>
              <w:bidi w:val="0"/>
              <w:adjustRightInd/>
              <w:snapToGrid w:val="0"/>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1、优（</w:t>
            </w:r>
            <w:r>
              <w:rPr>
                <w:rFonts w:hint="eastAsia" w:asciiTheme="minorEastAsia" w:hAnsi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分）：服务承诺明显优于项目要求。</w:t>
            </w:r>
          </w:p>
          <w:p>
            <w:pPr>
              <w:keepNext w:val="0"/>
              <w:keepLines w:val="0"/>
              <w:pageBreakBefore w:val="0"/>
              <w:widowControl w:val="0"/>
              <w:numPr>
                <w:ilvl w:val="0"/>
                <w:numId w:val="0"/>
              </w:numPr>
              <w:kinsoku/>
              <w:wordWrap/>
              <w:overflowPunct/>
              <w:topLinePunct w:val="0"/>
              <w:autoSpaceDE/>
              <w:autoSpaceDN/>
              <w:bidi w:val="0"/>
              <w:adjustRightInd/>
              <w:snapToGrid w:val="0"/>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2、良（</w:t>
            </w:r>
            <w:r>
              <w:rPr>
                <w:rFonts w:hint="eastAsia" w:asciiTheme="minorEastAsia" w:hAnsi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分）：服务承诺</w:t>
            </w:r>
            <w:r>
              <w:rPr>
                <w:rFonts w:hint="eastAsia" w:asciiTheme="minorEastAsia" w:hAnsiTheme="minorEastAsia" w:eastAsiaTheme="minorEastAsia" w:cstheme="minorEastAsia"/>
                <w:color w:val="auto"/>
                <w:sz w:val="21"/>
                <w:szCs w:val="21"/>
                <w:highlight w:val="none"/>
                <w:lang w:val="en-US" w:eastAsia="zh-CN"/>
              </w:rPr>
              <w:t>基本</w:t>
            </w:r>
            <w:r>
              <w:rPr>
                <w:rFonts w:hint="eastAsia" w:asciiTheme="minorEastAsia" w:hAnsiTheme="minorEastAsia" w:eastAsiaTheme="minorEastAsia" w:cstheme="minorEastAsia"/>
                <w:color w:val="auto"/>
                <w:sz w:val="21"/>
                <w:szCs w:val="21"/>
                <w:highlight w:val="none"/>
              </w:rPr>
              <w:t>满足项目要求。</w:t>
            </w:r>
          </w:p>
          <w:p>
            <w:pPr>
              <w:keepNext w:val="0"/>
              <w:keepLines w:val="0"/>
              <w:pageBreakBefore w:val="0"/>
              <w:widowControl w:val="0"/>
              <w:numPr>
                <w:ilvl w:val="0"/>
                <w:numId w:val="0"/>
              </w:numPr>
              <w:kinsoku/>
              <w:wordWrap/>
              <w:overflowPunct/>
              <w:topLinePunct w:val="0"/>
              <w:autoSpaceDE/>
              <w:autoSpaceDN/>
              <w:bidi w:val="0"/>
              <w:adjustRightInd/>
              <w:snapToGrid w:val="0"/>
              <w:ind w:left="0" w:leftChars="0" w:firstLine="420" w:firstLineChars="200"/>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3、</w:t>
            </w:r>
            <w:r>
              <w:rPr>
                <w:rFonts w:hint="eastAsia" w:asciiTheme="minorEastAsia" w:hAnsiTheme="minorEastAsia" w:eastAsiaTheme="minorEastAsia" w:cstheme="minorEastAsia"/>
                <w:color w:val="auto"/>
                <w:sz w:val="21"/>
                <w:szCs w:val="21"/>
                <w:highlight w:val="none"/>
                <w:lang w:val="en-US" w:eastAsia="zh-CN"/>
              </w:rPr>
              <w:t>差</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分）：服务承诺</w:t>
            </w:r>
            <w:r>
              <w:rPr>
                <w:rFonts w:hint="eastAsia" w:asciiTheme="minorEastAsia" w:hAnsiTheme="minorEastAsia" w:eastAsiaTheme="minorEastAsia" w:cstheme="minorEastAsia"/>
                <w:color w:val="auto"/>
                <w:sz w:val="21"/>
                <w:szCs w:val="21"/>
                <w:highlight w:val="none"/>
                <w:lang w:val="en-US" w:eastAsia="zh-CN"/>
              </w:rPr>
              <w:t>不</w:t>
            </w:r>
            <w:r>
              <w:rPr>
                <w:rFonts w:hint="eastAsia" w:asciiTheme="minorEastAsia" w:hAnsiTheme="minorEastAsia" w:eastAsiaTheme="minorEastAsia" w:cstheme="minorEastAsia"/>
                <w:color w:val="auto"/>
                <w:sz w:val="21"/>
                <w:szCs w:val="21"/>
                <w:highlight w:val="none"/>
              </w:rPr>
              <w:t>满足项目要求。</w:t>
            </w:r>
          </w:p>
        </w:tc>
        <w:tc>
          <w:tcPr>
            <w:tcW w:w="701" w:type="pct"/>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0-</w:t>
            </w:r>
            <w:r>
              <w:rPr>
                <w:rFonts w:hint="eastAsia" w:asciiTheme="minorEastAsia" w:hAnsi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lang w:val="en-US" w:eastAsia="zh-CN"/>
              </w:rPr>
              <w:t>分</w:t>
            </w:r>
          </w:p>
        </w:tc>
      </w:tr>
      <w:tr>
        <w:tblPrEx>
          <w:tblCellMar>
            <w:top w:w="0" w:type="dxa"/>
            <w:left w:w="0" w:type="dxa"/>
            <w:bottom w:w="0" w:type="dxa"/>
            <w:right w:w="0" w:type="dxa"/>
          </w:tblCellMar>
        </w:tblPrEx>
        <w:trPr>
          <w:trHeight w:val="809" w:hRule="atLeast"/>
          <w:jc w:val="center"/>
        </w:trPr>
        <w:tc>
          <w:tcPr>
            <w:tcW w:w="389" w:type="pct"/>
            <w:tcBorders>
              <w:top w:val="single" w:color="auto" w:sz="4" w:space="0"/>
              <w:left w:val="single" w:color="000000" w:sz="6" w:space="0"/>
              <w:bottom w:val="single" w:color="auto" w:sz="4" w:space="0"/>
              <w:right w:val="single" w:color="000000" w:sz="6" w:space="0"/>
            </w:tcBorders>
            <w:shd w:val="clear" w:color="auto" w:fill="FFFFFF"/>
            <w:vAlign w:val="center"/>
          </w:tcPr>
          <w:p>
            <w:pPr>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cstheme="minorEastAsia"/>
                <w:color w:val="auto"/>
                <w:sz w:val="21"/>
                <w:szCs w:val="21"/>
                <w:highlight w:val="none"/>
                <w:lang w:val="en-US" w:eastAsia="zh-CN"/>
              </w:rPr>
              <w:t>3</w:t>
            </w:r>
          </w:p>
        </w:tc>
        <w:tc>
          <w:tcPr>
            <w:tcW w:w="867" w:type="pct"/>
            <w:tcBorders>
              <w:top w:val="single" w:color="auto" w:sz="4" w:space="0"/>
              <w:left w:val="single" w:color="000000" w:sz="6" w:space="0"/>
              <w:bottom w:val="single" w:color="auto" w:sz="4" w:space="0"/>
              <w:right w:val="single" w:color="000000" w:sz="6" w:space="0"/>
            </w:tcBorders>
            <w:shd w:val="clear" w:color="auto" w:fill="FFFFFF"/>
            <w:vAlign w:val="center"/>
          </w:tcPr>
          <w:p>
            <w:pPr>
              <w:snapToGrid w:val="0"/>
              <w:jc w:val="center"/>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管理体系认证</w:t>
            </w:r>
          </w:p>
        </w:tc>
        <w:tc>
          <w:tcPr>
            <w:tcW w:w="3041" w:type="pct"/>
            <w:tcBorders>
              <w:top w:val="single" w:color="000000" w:sz="6" w:space="0"/>
              <w:left w:val="single" w:color="000000" w:sz="6" w:space="0"/>
              <w:bottom w:val="single" w:color="000000" w:sz="6" w:space="0"/>
              <w:right w:val="single" w:color="000000" w:sz="6" w:space="0"/>
            </w:tcBorders>
            <w:shd w:val="clear" w:color="auto" w:fill="FFFFFF"/>
            <w:vAlign w:val="center"/>
          </w:tcPr>
          <w:p>
            <w:pPr>
              <w:snapToGrid w:val="0"/>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具有</w:t>
            </w:r>
            <w:r>
              <w:rPr>
                <w:rFonts w:hint="eastAsia" w:asciiTheme="minorEastAsia" w:hAnsiTheme="minorEastAsia" w:eastAsiaTheme="minorEastAsia" w:cstheme="minorEastAsia"/>
                <w:color w:val="auto"/>
                <w:sz w:val="21"/>
                <w:szCs w:val="21"/>
                <w:highlight w:val="none"/>
              </w:rPr>
              <w:t>质量</w:t>
            </w:r>
            <w:r>
              <w:rPr>
                <w:rFonts w:hint="eastAsia" w:asciiTheme="minorEastAsia" w:hAnsiTheme="minorEastAsia" w:eastAsiaTheme="minorEastAsia" w:cstheme="minorEastAsia"/>
                <w:color w:val="auto"/>
                <w:sz w:val="21"/>
                <w:szCs w:val="21"/>
                <w:highlight w:val="none"/>
                <w:lang w:val="en-US" w:eastAsia="zh-CN"/>
              </w:rPr>
              <w:t>管理体系认证，</w:t>
            </w:r>
            <w:r>
              <w:rPr>
                <w:rFonts w:hint="eastAsia" w:asciiTheme="minorEastAsia" w:hAnsiTheme="minorEastAsia" w:eastAsiaTheme="minorEastAsia" w:cstheme="minorEastAsia"/>
                <w:color w:val="auto"/>
                <w:sz w:val="21"/>
                <w:szCs w:val="21"/>
                <w:highlight w:val="none"/>
              </w:rPr>
              <w:t>得</w:t>
            </w:r>
            <w:r>
              <w:rPr>
                <w:rFonts w:hint="eastAsia" w:asciiTheme="minorEastAsia" w:hAnsi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分。</w:t>
            </w:r>
          </w:p>
          <w:p>
            <w:pPr>
              <w:snapToGrid w:val="0"/>
              <w:ind w:firstLine="420" w:firstLineChars="200"/>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kern w:val="0"/>
                <w:sz w:val="21"/>
                <w:szCs w:val="21"/>
                <w:highlight w:val="none"/>
              </w:rPr>
              <w:t>注：证书</w:t>
            </w:r>
            <w:r>
              <w:rPr>
                <w:rFonts w:hint="eastAsia" w:asciiTheme="minorEastAsia" w:hAnsiTheme="minorEastAsia" w:eastAsiaTheme="minorEastAsia" w:cstheme="minorEastAsia"/>
                <w:color w:val="auto"/>
                <w:kern w:val="0"/>
                <w:sz w:val="21"/>
                <w:szCs w:val="21"/>
                <w:highlight w:val="none"/>
                <w:lang w:val="en-US" w:eastAsia="zh-CN"/>
              </w:rPr>
              <w:t>应</w:t>
            </w:r>
            <w:r>
              <w:rPr>
                <w:rFonts w:hint="eastAsia" w:asciiTheme="minorEastAsia" w:hAnsiTheme="minorEastAsia" w:eastAsiaTheme="minorEastAsia" w:cstheme="minorEastAsia"/>
                <w:color w:val="auto"/>
                <w:kern w:val="0"/>
                <w:sz w:val="21"/>
                <w:szCs w:val="21"/>
                <w:highlight w:val="none"/>
              </w:rPr>
              <w:t>在有效期内，提供证书(复印件/扫描件）。</w:t>
            </w:r>
          </w:p>
        </w:tc>
        <w:tc>
          <w:tcPr>
            <w:tcW w:w="701" w:type="pct"/>
            <w:tcBorders>
              <w:top w:val="single" w:color="000000" w:sz="6" w:space="0"/>
              <w:left w:val="single" w:color="000000" w:sz="6" w:space="0"/>
              <w:bottom w:val="single" w:color="000000" w:sz="6" w:space="0"/>
              <w:right w:val="single" w:color="000000" w:sz="6" w:space="0"/>
            </w:tcBorders>
            <w:shd w:val="clear" w:color="auto" w:fill="FFFFFF"/>
            <w:vAlign w:val="center"/>
          </w:tcPr>
          <w:p>
            <w:pPr>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0-</w:t>
            </w:r>
            <w:r>
              <w:rPr>
                <w:rFonts w:hint="eastAsia" w:asciiTheme="minorEastAsia" w:hAnsi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分</w:t>
            </w:r>
          </w:p>
        </w:tc>
      </w:tr>
      <w:tr>
        <w:tblPrEx>
          <w:tblCellMar>
            <w:top w:w="0" w:type="dxa"/>
            <w:left w:w="0" w:type="dxa"/>
            <w:bottom w:w="0" w:type="dxa"/>
            <w:right w:w="0" w:type="dxa"/>
          </w:tblCellMar>
        </w:tblPrEx>
        <w:trPr>
          <w:trHeight w:val="90" w:hRule="atLeast"/>
          <w:jc w:val="center"/>
        </w:trPr>
        <w:tc>
          <w:tcPr>
            <w:tcW w:w="389" w:type="pct"/>
            <w:tcBorders>
              <w:top w:val="single" w:color="auto" w:sz="4" w:space="0"/>
              <w:left w:val="single" w:color="000000" w:sz="6" w:space="0"/>
              <w:bottom w:val="single" w:color="auto" w:sz="4" w:space="0"/>
              <w:right w:val="single" w:color="000000" w:sz="6" w:space="0"/>
            </w:tcBorders>
            <w:shd w:val="clear" w:color="auto" w:fill="FFFFFF"/>
            <w:vAlign w:val="center"/>
          </w:tcPr>
          <w:p>
            <w:pPr>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cstheme="minorEastAsia"/>
                <w:color w:val="auto"/>
                <w:sz w:val="21"/>
                <w:szCs w:val="21"/>
                <w:highlight w:val="none"/>
                <w:lang w:val="en-US" w:eastAsia="zh-CN"/>
              </w:rPr>
              <w:t>4</w:t>
            </w:r>
          </w:p>
        </w:tc>
        <w:tc>
          <w:tcPr>
            <w:tcW w:w="867" w:type="pct"/>
            <w:tcBorders>
              <w:top w:val="single" w:color="auto" w:sz="4" w:space="0"/>
              <w:left w:val="single" w:color="000000" w:sz="6" w:space="0"/>
              <w:bottom w:val="single" w:color="auto" w:sz="4" w:space="0"/>
              <w:right w:val="single" w:color="000000" w:sz="6" w:space="0"/>
            </w:tcBorders>
            <w:shd w:val="clear" w:color="auto" w:fill="FFFFFF"/>
            <w:vAlign w:val="center"/>
          </w:tcPr>
          <w:p>
            <w:pPr>
              <w:snapToGrid w:val="0"/>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cstheme="minorEastAsia"/>
                <w:color w:val="auto"/>
                <w:sz w:val="21"/>
                <w:szCs w:val="21"/>
                <w:highlight w:val="none"/>
                <w:lang w:val="en-US" w:eastAsia="zh-CN"/>
              </w:rPr>
              <w:t>项目</w:t>
            </w:r>
            <w:r>
              <w:rPr>
                <w:rFonts w:hint="eastAsia" w:asciiTheme="minorEastAsia" w:hAnsiTheme="minorEastAsia" w:eastAsiaTheme="minorEastAsia" w:cstheme="minorEastAsia"/>
                <w:color w:val="auto"/>
                <w:sz w:val="21"/>
                <w:szCs w:val="21"/>
                <w:highlight w:val="none"/>
                <w:lang w:eastAsia="zh-CN"/>
              </w:rPr>
              <w:t>业绩</w:t>
            </w:r>
          </w:p>
        </w:tc>
        <w:tc>
          <w:tcPr>
            <w:tcW w:w="3041" w:type="pct"/>
            <w:tcBorders>
              <w:top w:val="single" w:color="000000" w:sz="6" w:space="0"/>
              <w:left w:val="single" w:color="000000" w:sz="6" w:space="0"/>
              <w:bottom w:val="single" w:color="000000" w:sz="6" w:space="0"/>
              <w:right w:val="single" w:color="000000" w:sz="6" w:space="0"/>
            </w:tcBorders>
            <w:shd w:val="clear" w:color="auto" w:fill="FFFFFF"/>
            <w:vAlign w:val="center"/>
          </w:tcPr>
          <w:p>
            <w:pPr>
              <w:numPr>
                <w:ilvl w:val="-1"/>
                <w:numId w:val="0"/>
              </w:numPr>
              <w:snapToGrid w:val="0"/>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20</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年</w:t>
            </w:r>
            <w:r>
              <w:rPr>
                <w:rFonts w:hint="eastAsia" w:asciiTheme="minorEastAsia" w:hAnsi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月1日至投标截止之日</w:t>
            </w:r>
            <w:r>
              <w:rPr>
                <w:rFonts w:hint="eastAsia" w:asciiTheme="minorEastAsia" w:hAnsiTheme="minorEastAsia" w:eastAsiaTheme="minorEastAsia" w:cstheme="minorEastAsia"/>
                <w:color w:val="auto"/>
                <w:sz w:val="21"/>
                <w:szCs w:val="21"/>
                <w:highlight w:val="none"/>
                <w:lang w:val="en-US" w:eastAsia="zh-CN"/>
              </w:rPr>
              <w:t>承接的</w:t>
            </w:r>
            <w:r>
              <w:rPr>
                <w:rFonts w:hint="eastAsia" w:asciiTheme="minorEastAsia" w:hAnsiTheme="minorEastAsia" w:cstheme="minorEastAsia"/>
                <w:color w:val="auto"/>
                <w:sz w:val="21"/>
                <w:szCs w:val="21"/>
                <w:highlight w:val="none"/>
                <w:lang w:val="en-US" w:eastAsia="zh-CN"/>
              </w:rPr>
              <w:t>电力定值计算服务</w:t>
            </w:r>
            <w:r>
              <w:rPr>
                <w:rFonts w:hint="eastAsia" w:asciiTheme="minorEastAsia" w:hAnsiTheme="minorEastAsia" w:eastAsiaTheme="minorEastAsia" w:cstheme="minorEastAsia"/>
                <w:color w:val="auto"/>
                <w:sz w:val="21"/>
                <w:szCs w:val="21"/>
                <w:highlight w:val="none"/>
                <w:lang w:val="en-US" w:eastAsia="zh-CN"/>
              </w:rPr>
              <w:t>项目业绩</w:t>
            </w:r>
            <w:r>
              <w:rPr>
                <w:rFonts w:hint="eastAsia" w:asciiTheme="minorEastAsia" w:hAnsiTheme="minorEastAsia" w:eastAsiaTheme="minorEastAsia" w:cstheme="minorEastAsia"/>
                <w:color w:val="auto"/>
                <w:sz w:val="21"/>
                <w:szCs w:val="21"/>
                <w:highlight w:val="none"/>
              </w:rPr>
              <w:t>，每个</w:t>
            </w:r>
            <w:r>
              <w:rPr>
                <w:rFonts w:hint="eastAsia" w:asciiTheme="minorEastAsia" w:hAnsiTheme="minorEastAsia" w:eastAsiaTheme="minorEastAsia" w:cstheme="minorEastAsia"/>
                <w:color w:val="auto"/>
                <w:sz w:val="21"/>
                <w:szCs w:val="21"/>
                <w:highlight w:val="none"/>
                <w:lang w:eastAsia="zh-CN"/>
              </w:rPr>
              <w:t>独立工程</w:t>
            </w:r>
            <w:r>
              <w:rPr>
                <w:rFonts w:hint="eastAsia" w:asciiTheme="minorEastAsia" w:hAnsiTheme="minorEastAsia" w:eastAsiaTheme="minorEastAsia" w:cstheme="minorEastAsia"/>
                <w:color w:val="auto"/>
                <w:sz w:val="21"/>
                <w:szCs w:val="21"/>
                <w:highlight w:val="none"/>
              </w:rPr>
              <w:t>得</w:t>
            </w:r>
            <w:r>
              <w:rPr>
                <w:rFonts w:hint="eastAsia" w:asciiTheme="minorEastAsia" w:hAnsi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分，本项最多得</w:t>
            </w:r>
            <w:r>
              <w:rPr>
                <w:rFonts w:hint="eastAsia" w:asciiTheme="minorEastAsia" w:hAnsiTheme="minorEastAsia" w:cstheme="minorEastAsia"/>
                <w:color w:val="auto"/>
                <w:sz w:val="21"/>
                <w:szCs w:val="21"/>
                <w:highlight w:val="none"/>
                <w:lang w:val="en-US" w:eastAsia="zh-CN"/>
              </w:rPr>
              <w:t>30</w:t>
            </w:r>
            <w:r>
              <w:rPr>
                <w:rFonts w:hint="eastAsia" w:asciiTheme="minorEastAsia" w:hAnsiTheme="minorEastAsia" w:eastAsiaTheme="minorEastAsia" w:cstheme="minorEastAsia"/>
                <w:color w:val="auto"/>
                <w:sz w:val="21"/>
                <w:szCs w:val="21"/>
                <w:highlight w:val="none"/>
              </w:rPr>
              <w:t>分。</w:t>
            </w:r>
          </w:p>
          <w:p>
            <w:pPr>
              <w:numPr>
                <w:ilvl w:val="-1"/>
                <w:numId w:val="0"/>
              </w:numPr>
              <w:snapToGrid w:val="0"/>
              <w:ind w:left="0" w:leftChars="0" w:firstLine="420" w:firstLineChars="200"/>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注：提供业绩的中标通知书或合同</w:t>
            </w:r>
            <w:r>
              <w:rPr>
                <w:rFonts w:hint="eastAsia" w:asciiTheme="minorEastAsia" w:hAnsiTheme="minorEastAsia" w:eastAsiaTheme="minorEastAsia" w:cstheme="minorEastAsia"/>
                <w:color w:val="auto"/>
                <w:kern w:val="0"/>
                <w:sz w:val="21"/>
                <w:szCs w:val="21"/>
                <w:highlight w:val="none"/>
              </w:rPr>
              <w:t>(复印件/扫描件）</w:t>
            </w:r>
            <w:r>
              <w:rPr>
                <w:rFonts w:hint="eastAsia" w:asciiTheme="minorEastAsia" w:hAnsiTheme="minorEastAsia" w:eastAsiaTheme="minorEastAsia" w:cstheme="minorEastAsia"/>
                <w:color w:val="auto"/>
                <w:sz w:val="21"/>
                <w:szCs w:val="21"/>
                <w:highlight w:val="none"/>
                <w:lang w:val="en-US" w:eastAsia="zh-CN"/>
              </w:rPr>
              <w:t>；对于框架合同，</w:t>
            </w:r>
            <w:r>
              <w:rPr>
                <w:rFonts w:hint="eastAsia" w:asciiTheme="minorEastAsia" w:hAnsiTheme="minorEastAsia" w:eastAsiaTheme="minorEastAsia" w:cstheme="minorEastAsia"/>
                <w:color w:val="auto"/>
                <w:sz w:val="21"/>
                <w:szCs w:val="21"/>
                <w:highlight w:val="none"/>
              </w:rPr>
              <w:t>其框架合同所相关的每一份项目委托书视作一个独立工程业绩，除中标通知书（或合同）外，还需同时提供项目委托书；无委托书的只计一个业绩</w:t>
            </w:r>
            <w:r>
              <w:rPr>
                <w:rFonts w:hint="eastAsia" w:asciiTheme="minorEastAsia" w:hAnsiTheme="minorEastAsia" w:eastAsiaTheme="minorEastAsia" w:cstheme="minorEastAsia"/>
                <w:color w:val="auto"/>
                <w:sz w:val="21"/>
                <w:szCs w:val="21"/>
                <w:highlight w:val="none"/>
                <w:lang w:val="en-US" w:eastAsia="zh-CN"/>
              </w:rPr>
              <w:t>；签署时间以投标人提供的业绩证明文件中最靠近投标截止日的签署时间为准。</w:t>
            </w:r>
            <w:bookmarkStart w:id="0" w:name="_GoBack"/>
            <w:bookmarkEnd w:id="0"/>
          </w:p>
        </w:tc>
        <w:tc>
          <w:tcPr>
            <w:tcW w:w="701" w:type="pct"/>
            <w:tcBorders>
              <w:top w:val="single" w:color="000000" w:sz="6" w:space="0"/>
              <w:left w:val="single" w:color="000000" w:sz="6" w:space="0"/>
              <w:bottom w:val="single" w:color="000000" w:sz="6" w:space="0"/>
              <w:right w:val="single" w:color="000000" w:sz="6" w:space="0"/>
            </w:tcBorders>
            <w:shd w:val="clear" w:color="auto" w:fill="FFFFFF"/>
            <w:vAlign w:val="center"/>
          </w:tcPr>
          <w:p>
            <w:pPr>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0-</w:t>
            </w:r>
            <w:r>
              <w:rPr>
                <w:rFonts w:hint="eastAsia" w:asciiTheme="minorEastAsia" w:hAnsiTheme="minorEastAsia" w:cstheme="minorEastAsia"/>
                <w:color w:val="auto"/>
                <w:sz w:val="21"/>
                <w:szCs w:val="21"/>
                <w:highlight w:val="none"/>
                <w:lang w:val="en-US" w:eastAsia="zh-CN"/>
              </w:rPr>
              <w:t>30</w:t>
            </w:r>
            <w:r>
              <w:rPr>
                <w:rFonts w:hint="eastAsia" w:asciiTheme="minorEastAsia" w:hAnsiTheme="minorEastAsia" w:eastAsiaTheme="minorEastAsia" w:cstheme="minorEastAsia"/>
                <w:color w:val="auto"/>
                <w:sz w:val="21"/>
                <w:szCs w:val="21"/>
                <w:highlight w:val="none"/>
              </w:rPr>
              <w:t>分</w:t>
            </w:r>
          </w:p>
        </w:tc>
      </w:tr>
      <w:tr>
        <w:tblPrEx>
          <w:tblCellMar>
            <w:top w:w="0" w:type="dxa"/>
            <w:left w:w="0" w:type="dxa"/>
            <w:bottom w:w="0" w:type="dxa"/>
            <w:right w:w="0" w:type="dxa"/>
          </w:tblCellMar>
        </w:tblPrEx>
        <w:trPr>
          <w:trHeight w:val="502" w:hRule="atLeast"/>
          <w:jc w:val="center"/>
        </w:trPr>
        <w:tc>
          <w:tcPr>
            <w:tcW w:w="5000" w:type="pct"/>
            <w:gridSpan w:val="4"/>
            <w:tcBorders>
              <w:top w:val="single" w:color="auto" w:sz="4" w:space="0"/>
              <w:left w:val="single" w:color="000000" w:sz="6" w:space="0"/>
              <w:bottom w:val="single" w:color="auto" w:sz="4" w:space="0"/>
              <w:right w:val="single" w:color="000000" w:sz="6" w:space="0"/>
            </w:tcBorders>
            <w:shd w:val="clear" w:color="auto" w:fill="FFFFFF"/>
            <w:vAlign w:val="center"/>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w:t>
            </w:r>
            <w:r>
              <w:rPr>
                <w:rFonts w:hint="eastAsia" w:asciiTheme="minorEastAsia" w:hAnsiTheme="minorEastAsia" w:cstheme="minorEastAsia"/>
                <w:b/>
                <w:bCs/>
                <w:color w:val="auto"/>
                <w:sz w:val="21"/>
                <w:szCs w:val="21"/>
                <w:highlight w:val="none"/>
                <w:lang w:val="en-US" w:eastAsia="zh-CN"/>
              </w:rPr>
              <w:t>二</w:t>
            </w:r>
            <w:r>
              <w:rPr>
                <w:rFonts w:hint="eastAsia" w:asciiTheme="minorEastAsia" w:hAnsiTheme="minorEastAsia" w:eastAsiaTheme="minorEastAsia" w:cstheme="minorEastAsia"/>
                <w:b/>
                <w:bCs/>
                <w:color w:val="auto"/>
                <w:sz w:val="21"/>
                <w:szCs w:val="21"/>
                <w:highlight w:val="none"/>
              </w:rPr>
              <w:t>）价格评审（</w:t>
            </w:r>
            <w:r>
              <w:rPr>
                <w:rFonts w:hint="eastAsia" w:asciiTheme="minorEastAsia" w:hAnsiTheme="minorEastAsia" w:eastAsiaTheme="minorEastAsia" w:cstheme="minorEastAsia"/>
                <w:b/>
                <w:bCs/>
                <w:color w:val="auto"/>
                <w:sz w:val="21"/>
                <w:szCs w:val="21"/>
                <w:highlight w:val="none"/>
                <w:lang w:val="en-US" w:eastAsia="zh-CN"/>
              </w:rPr>
              <w:t>3</w:t>
            </w:r>
            <w:r>
              <w:rPr>
                <w:rFonts w:hint="eastAsia" w:asciiTheme="minorEastAsia" w:hAnsiTheme="minorEastAsia" w:eastAsiaTheme="minorEastAsia" w:cstheme="minorEastAsia"/>
                <w:b/>
                <w:bCs/>
                <w:color w:val="auto"/>
                <w:sz w:val="21"/>
                <w:szCs w:val="21"/>
                <w:highlight w:val="none"/>
              </w:rPr>
              <w:t>0）分</w:t>
            </w:r>
          </w:p>
        </w:tc>
      </w:tr>
      <w:tr>
        <w:tblPrEx>
          <w:tblCellMar>
            <w:top w:w="0" w:type="dxa"/>
            <w:left w:w="0" w:type="dxa"/>
            <w:bottom w:w="0" w:type="dxa"/>
            <w:right w:w="0" w:type="dxa"/>
          </w:tblCellMar>
        </w:tblPrEx>
        <w:trPr>
          <w:trHeight w:val="90" w:hRule="atLeast"/>
          <w:jc w:val="center"/>
        </w:trPr>
        <w:tc>
          <w:tcPr>
            <w:tcW w:w="389" w:type="pct"/>
            <w:tcBorders>
              <w:top w:val="single" w:color="auto" w:sz="4" w:space="0"/>
              <w:left w:val="single" w:color="000000" w:sz="6" w:space="0"/>
              <w:bottom w:val="single" w:color="auto" w:sz="4" w:space="0"/>
              <w:right w:val="single" w:color="000000" w:sz="6" w:space="0"/>
            </w:tcBorders>
            <w:shd w:val="clear" w:color="auto" w:fill="FFFFFF"/>
            <w:vAlign w:val="center"/>
          </w:tcPr>
          <w:p>
            <w:pPr>
              <w:ind w:left="113" w:leftChars="0"/>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rPr>
              <w:t>评标基准价计算方法</w:t>
            </w:r>
          </w:p>
        </w:tc>
        <w:tc>
          <w:tcPr>
            <w:tcW w:w="4610" w:type="pct"/>
            <w:gridSpan w:val="3"/>
            <w:tcBorders>
              <w:top w:val="single" w:color="auto" w:sz="4" w:space="0"/>
              <w:left w:val="single" w:color="000000" w:sz="6" w:space="0"/>
              <w:bottom w:val="single" w:color="auto" w:sz="4" w:space="0"/>
              <w:right w:val="single" w:color="000000" w:sz="6" w:space="0"/>
            </w:tcBorders>
            <w:shd w:val="clear" w:color="auto" w:fill="FFFFFF"/>
            <w:vAlign w:val="center"/>
          </w:tcPr>
          <w:p>
            <w:pPr>
              <w:ind w:left="113"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评标价=</w:t>
            </w:r>
            <w:r>
              <w:rPr>
                <w:rFonts w:hint="eastAsia" w:asciiTheme="minorEastAsia" w:hAnsiTheme="minorEastAsia" w:cstheme="minorEastAsia"/>
                <w:color w:val="auto"/>
                <w:sz w:val="21"/>
                <w:szCs w:val="21"/>
                <w:highlight w:val="none"/>
                <w:lang w:val="en-US" w:eastAsia="zh-CN"/>
              </w:rPr>
              <w:t>总报价</w:t>
            </w:r>
            <w:r>
              <w:rPr>
                <w:rFonts w:hint="eastAsia" w:asciiTheme="minorEastAsia" w:hAnsiTheme="minorEastAsia" w:eastAsiaTheme="minorEastAsia" w:cstheme="minorEastAsia"/>
                <w:color w:val="auto"/>
                <w:sz w:val="21"/>
                <w:szCs w:val="21"/>
                <w:highlight w:val="none"/>
              </w:rPr>
              <w:t>；</w:t>
            </w:r>
          </w:p>
          <w:p>
            <w:pPr>
              <w:ind w:left="113" w:leftChars="0" w:firstLine="420" w:firstLineChars="200"/>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取进入价格评分的各投标</w:t>
            </w:r>
            <w:r>
              <w:rPr>
                <w:rFonts w:hint="eastAsia" w:asciiTheme="minorEastAsia" w:hAnsiTheme="minorEastAsia" w:eastAsiaTheme="minorEastAsia" w:cstheme="minorEastAsia"/>
                <w:color w:val="auto"/>
                <w:sz w:val="21"/>
                <w:szCs w:val="21"/>
                <w:highlight w:val="none"/>
                <w:lang w:eastAsia="zh-CN"/>
              </w:rPr>
              <w:t>人</w:t>
            </w:r>
            <w:r>
              <w:rPr>
                <w:rFonts w:hint="eastAsia" w:asciiTheme="minorEastAsia" w:hAnsiTheme="minorEastAsia" w:eastAsiaTheme="minorEastAsia" w:cstheme="minorEastAsia"/>
                <w:color w:val="auto"/>
                <w:sz w:val="21"/>
                <w:szCs w:val="21"/>
                <w:highlight w:val="none"/>
              </w:rPr>
              <w:t>评标价的平均值作为基准平均价（Q基）。</w:t>
            </w:r>
          </w:p>
        </w:tc>
      </w:tr>
      <w:tr>
        <w:tblPrEx>
          <w:tblCellMar>
            <w:top w:w="0" w:type="dxa"/>
            <w:left w:w="0" w:type="dxa"/>
            <w:bottom w:w="0" w:type="dxa"/>
            <w:right w:w="0" w:type="dxa"/>
          </w:tblCellMar>
        </w:tblPrEx>
        <w:trPr>
          <w:trHeight w:val="90" w:hRule="atLeast"/>
          <w:jc w:val="center"/>
        </w:trPr>
        <w:tc>
          <w:tcPr>
            <w:tcW w:w="389" w:type="pct"/>
            <w:tcBorders>
              <w:top w:val="single" w:color="auto" w:sz="4" w:space="0"/>
              <w:left w:val="single" w:color="000000" w:sz="6" w:space="0"/>
              <w:bottom w:val="single" w:color="auto" w:sz="4" w:space="0"/>
              <w:right w:val="single" w:color="000000" w:sz="6" w:space="0"/>
            </w:tcBorders>
            <w:shd w:val="clear" w:color="auto" w:fill="FFFFFF"/>
            <w:vAlign w:val="center"/>
          </w:tcPr>
          <w:p>
            <w:pPr>
              <w:ind w:left="113" w:leftChars="0"/>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rPr>
              <w:t>价格分计算方法名称</w:t>
            </w:r>
          </w:p>
        </w:tc>
        <w:tc>
          <w:tcPr>
            <w:tcW w:w="4610" w:type="pct"/>
            <w:gridSpan w:val="3"/>
            <w:tcBorders>
              <w:top w:val="single" w:color="auto" w:sz="4" w:space="0"/>
              <w:left w:val="single" w:color="000000" w:sz="6" w:space="0"/>
              <w:bottom w:val="single" w:color="auto" w:sz="4" w:space="0"/>
              <w:right w:val="single" w:color="000000" w:sz="6" w:space="0"/>
            </w:tcBorders>
            <w:shd w:val="clear" w:color="auto" w:fill="FFFFFF"/>
            <w:vAlign w:val="center"/>
          </w:tcPr>
          <w:p>
            <w:pPr>
              <w:ind w:left="113" w:leftChars="0" w:firstLine="420" w:firstLineChars="200"/>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合理均价基准差径靶心法</w:t>
            </w:r>
          </w:p>
        </w:tc>
      </w:tr>
      <w:tr>
        <w:tblPrEx>
          <w:tblCellMar>
            <w:top w:w="0" w:type="dxa"/>
            <w:left w:w="0" w:type="dxa"/>
            <w:bottom w:w="0" w:type="dxa"/>
            <w:right w:w="0" w:type="dxa"/>
          </w:tblCellMar>
        </w:tblPrEx>
        <w:trPr>
          <w:trHeight w:val="90" w:hRule="atLeast"/>
          <w:jc w:val="center"/>
        </w:trPr>
        <w:tc>
          <w:tcPr>
            <w:tcW w:w="389" w:type="pct"/>
            <w:tcBorders>
              <w:top w:val="single" w:color="auto" w:sz="4" w:space="0"/>
              <w:left w:val="single" w:color="000000" w:sz="6" w:space="0"/>
              <w:bottom w:val="single" w:color="auto" w:sz="4" w:space="0"/>
              <w:right w:val="single" w:color="000000" w:sz="6" w:space="0"/>
            </w:tcBorders>
            <w:shd w:val="clear" w:color="auto" w:fill="FFFFFF"/>
            <w:vAlign w:val="center"/>
          </w:tcPr>
          <w:p>
            <w:pPr>
              <w:ind w:left="113" w:leftChars="0"/>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rPr>
              <w:t>价格分计算公式</w:t>
            </w:r>
          </w:p>
        </w:tc>
        <w:tc>
          <w:tcPr>
            <w:tcW w:w="4610" w:type="pct"/>
            <w:gridSpan w:val="3"/>
            <w:tcBorders>
              <w:top w:val="single" w:color="auto" w:sz="4" w:space="0"/>
              <w:left w:val="single" w:color="000000" w:sz="6" w:space="0"/>
              <w:bottom w:val="single" w:color="auto" w:sz="4" w:space="0"/>
              <w:right w:val="single" w:color="000000" w:sz="6" w:space="0"/>
            </w:tcBorders>
            <w:shd w:val="clear" w:color="auto" w:fill="FFFFFF"/>
            <w:vAlign w:val="center"/>
          </w:tcPr>
          <w:p>
            <w:pPr>
              <w:snapToGrid w:val="0"/>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价格分（Q价）以基准平均价（Q基）为依据，当评标价（Q评）等于基准平均价（Q基）时计为</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0分。</w:t>
            </w:r>
          </w:p>
          <w:p>
            <w:pPr>
              <w:snapToGrid w:val="0"/>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投标人的价格得分Q价以下列公式计算：</w:t>
            </w:r>
          </w:p>
          <w:p>
            <w:pPr>
              <w:snapToGrid w:val="0"/>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Q价=（100- Q扣）*</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0%</w:t>
            </w:r>
          </w:p>
          <w:p>
            <w:pPr>
              <w:snapToGrid w:val="0"/>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Q扣= R低*|δ偏|（δ偏&lt;0）或Q扣= R高*|δ偏|（δ偏&gt;0）</w:t>
            </w:r>
          </w:p>
          <w:p>
            <w:pPr>
              <w:snapToGrid w:val="0"/>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|δ偏|=|（Q评- Q基）/ Q基*100|</w:t>
            </w:r>
          </w:p>
          <w:p>
            <w:pPr>
              <w:snapToGrid w:val="0"/>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其中：</w:t>
            </w:r>
          </w:p>
          <w:p>
            <w:pPr>
              <w:snapToGrid w:val="0"/>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Q扣为投标厂商评标价（Q评）偏离基准平均价（Q基）的扣分值</w:t>
            </w:r>
          </w:p>
          <w:p>
            <w:pPr>
              <w:snapToGrid w:val="0"/>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|δ偏|为评标价格（Q评）与基准平均价（Q基）偏差百分数的绝对值</w:t>
            </w:r>
          </w:p>
          <w:p>
            <w:pPr>
              <w:snapToGrid w:val="0"/>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R为|δ偏|与Q扣的关系系数</w:t>
            </w:r>
          </w:p>
          <w:p>
            <w:pPr>
              <w:snapToGrid w:val="0"/>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当Q扣大于等于满分100分时</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Q价一律为零分。</w:t>
            </w:r>
          </w:p>
          <w:p>
            <w:pPr>
              <w:snapToGrid w:val="0"/>
              <w:ind w:firstLine="420" w:firstLineChars="200"/>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δ偏&lt;0时，R低=0.</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rPr>
              <w:t>；δ偏&gt;0时，R高=</w:t>
            </w:r>
            <w:r>
              <w:rPr>
                <w:rFonts w:hint="eastAsia" w:asciiTheme="minorEastAsia" w:hAnsiTheme="minorEastAsia" w:eastAsiaTheme="minorEastAsia" w:cstheme="minorEastAsia"/>
                <w:color w:val="auto"/>
                <w:sz w:val="21"/>
                <w:szCs w:val="21"/>
                <w:highlight w:val="none"/>
                <w:lang w:val="en-US" w:eastAsia="zh-CN"/>
              </w:rPr>
              <w:t>2</w:t>
            </w:r>
          </w:p>
        </w:tc>
      </w:tr>
    </w:tbl>
    <w:p>
      <w:pPr>
        <w:keepNext w:val="0"/>
        <w:keepLines w:val="0"/>
        <w:pageBreakBefore w:val="0"/>
        <w:widowControl w:val="0"/>
        <w:kinsoku/>
        <w:wordWrap/>
        <w:overflowPunct/>
        <w:topLinePunct w:val="0"/>
        <w:autoSpaceDE/>
        <w:autoSpaceDN/>
        <w:bidi w:val="0"/>
        <w:adjustRightInd/>
        <w:snapToGrid/>
        <w:spacing w:before="157" w:beforeLines="50"/>
        <w:ind w:firstLine="562" w:firstLineChars="200"/>
        <w:textAlignment w:val="auto"/>
        <w:rPr>
          <w:rFonts w:hint="eastAsia"/>
          <w:b/>
          <w:bCs/>
          <w:sz w:val="28"/>
          <w:szCs w:val="28"/>
          <w:lang w:val="en-US" w:eastAsia="zh-CN"/>
        </w:rPr>
      </w:pPr>
      <w:r>
        <w:rPr>
          <w:rFonts w:hint="eastAsia"/>
          <w:b/>
          <w:bCs/>
          <w:sz w:val="28"/>
          <w:szCs w:val="28"/>
          <w:lang w:val="en-US" w:eastAsia="zh-CN"/>
        </w:rPr>
        <w:t>二、成交标准</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sz w:val="28"/>
          <w:szCs w:val="28"/>
          <w:lang w:val="en-US" w:eastAsia="zh-CN"/>
        </w:rPr>
        <w:t>推荐综合评分排名第一（综合得分相等时，以报价低的优先；报价也相等的，则由评审工作组投票，票数多的作为成交单位）的供应商为成交单位。</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Dialog">
    <w:altName w:val="Times New Roman"/>
    <w:panose1 w:val="00000000000000000000"/>
    <w:charset w:val="00"/>
    <w:family w:val="roman"/>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37EAD"/>
    <w:rsid w:val="00AA1183"/>
    <w:rsid w:val="01A806B0"/>
    <w:rsid w:val="02AD1BEF"/>
    <w:rsid w:val="031048F7"/>
    <w:rsid w:val="03271B39"/>
    <w:rsid w:val="040A59AF"/>
    <w:rsid w:val="04B03BBE"/>
    <w:rsid w:val="051F2EE4"/>
    <w:rsid w:val="066028E4"/>
    <w:rsid w:val="066D79A8"/>
    <w:rsid w:val="07577FFE"/>
    <w:rsid w:val="08D95FCB"/>
    <w:rsid w:val="09793B17"/>
    <w:rsid w:val="0A707257"/>
    <w:rsid w:val="0B963D79"/>
    <w:rsid w:val="0C0D167A"/>
    <w:rsid w:val="0C477C77"/>
    <w:rsid w:val="0D611558"/>
    <w:rsid w:val="0E6F10BC"/>
    <w:rsid w:val="0F5D0D44"/>
    <w:rsid w:val="0FB35FED"/>
    <w:rsid w:val="10EF3D0D"/>
    <w:rsid w:val="11194248"/>
    <w:rsid w:val="11DD425B"/>
    <w:rsid w:val="13962D5D"/>
    <w:rsid w:val="15C02C3D"/>
    <w:rsid w:val="171F3E7E"/>
    <w:rsid w:val="1751390E"/>
    <w:rsid w:val="17C00184"/>
    <w:rsid w:val="18F54B68"/>
    <w:rsid w:val="1A483F2C"/>
    <w:rsid w:val="1B1E3089"/>
    <w:rsid w:val="1B550FE4"/>
    <w:rsid w:val="1BD60EF4"/>
    <w:rsid w:val="1BDB7A54"/>
    <w:rsid w:val="2031215C"/>
    <w:rsid w:val="222F54A5"/>
    <w:rsid w:val="227535D2"/>
    <w:rsid w:val="22DC55BE"/>
    <w:rsid w:val="2359040B"/>
    <w:rsid w:val="239006C7"/>
    <w:rsid w:val="24276259"/>
    <w:rsid w:val="26EE34BF"/>
    <w:rsid w:val="27037B36"/>
    <w:rsid w:val="28DF46BE"/>
    <w:rsid w:val="296033AA"/>
    <w:rsid w:val="29A41709"/>
    <w:rsid w:val="29B277F5"/>
    <w:rsid w:val="2A514EB6"/>
    <w:rsid w:val="2A9B7114"/>
    <w:rsid w:val="2BCC3368"/>
    <w:rsid w:val="2C9E0542"/>
    <w:rsid w:val="2CAD1E3D"/>
    <w:rsid w:val="30CE6868"/>
    <w:rsid w:val="317566AD"/>
    <w:rsid w:val="31C05758"/>
    <w:rsid w:val="31D53C4D"/>
    <w:rsid w:val="32EE6E46"/>
    <w:rsid w:val="35286956"/>
    <w:rsid w:val="36463673"/>
    <w:rsid w:val="387C4D58"/>
    <w:rsid w:val="38F7541A"/>
    <w:rsid w:val="3AC57BC8"/>
    <w:rsid w:val="3BDC2322"/>
    <w:rsid w:val="3CB015E0"/>
    <w:rsid w:val="3D461E16"/>
    <w:rsid w:val="3DB33C53"/>
    <w:rsid w:val="3E2965D0"/>
    <w:rsid w:val="3E5F1276"/>
    <w:rsid w:val="40B2111D"/>
    <w:rsid w:val="422D0C76"/>
    <w:rsid w:val="4309548A"/>
    <w:rsid w:val="432B59F7"/>
    <w:rsid w:val="43E01C6A"/>
    <w:rsid w:val="43F4090A"/>
    <w:rsid w:val="44C50FE3"/>
    <w:rsid w:val="44F44E56"/>
    <w:rsid w:val="45B06662"/>
    <w:rsid w:val="49CC7DFC"/>
    <w:rsid w:val="4A343794"/>
    <w:rsid w:val="4A464D9A"/>
    <w:rsid w:val="4A4E5776"/>
    <w:rsid w:val="4B2E0197"/>
    <w:rsid w:val="4B400582"/>
    <w:rsid w:val="4DCE1C69"/>
    <w:rsid w:val="4FD4689A"/>
    <w:rsid w:val="5000031C"/>
    <w:rsid w:val="50F007D8"/>
    <w:rsid w:val="51177FF0"/>
    <w:rsid w:val="53E159C4"/>
    <w:rsid w:val="560E7E3B"/>
    <w:rsid w:val="576A02C4"/>
    <w:rsid w:val="5796443F"/>
    <w:rsid w:val="585247EF"/>
    <w:rsid w:val="5A563FC2"/>
    <w:rsid w:val="5B174E1E"/>
    <w:rsid w:val="5C112C8C"/>
    <w:rsid w:val="5CDB4FE6"/>
    <w:rsid w:val="5D7209DD"/>
    <w:rsid w:val="5FFE3589"/>
    <w:rsid w:val="601B26B4"/>
    <w:rsid w:val="61001EB2"/>
    <w:rsid w:val="61AA1046"/>
    <w:rsid w:val="62B6027F"/>
    <w:rsid w:val="63195DA5"/>
    <w:rsid w:val="66A562F6"/>
    <w:rsid w:val="693C3AD3"/>
    <w:rsid w:val="698B02B8"/>
    <w:rsid w:val="6B75365C"/>
    <w:rsid w:val="6D783D26"/>
    <w:rsid w:val="6E5432AC"/>
    <w:rsid w:val="6E725242"/>
    <w:rsid w:val="6ED177DA"/>
    <w:rsid w:val="6F255547"/>
    <w:rsid w:val="708366E0"/>
    <w:rsid w:val="71BA61D3"/>
    <w:rsid w:val="724F1D63"/>
    <w:rsid w:val="752601BF"/>
    <w:rsid w:val="75304351"/>
    <w:rsid w:val="7D8212F8"/>
    <w:rsid w:val="7E3977A2"/>
    <w:rsid w:val="7F075DA6"/>
    <w:rsid w:val="7F7E58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line="480" w:lineRule="atLeast"/>
      <w:jc w:val="center"/>
    </w:pPr>
    <w:rPr>
      <w:sz w:val="32"/>
    </w:rPr>
  </w:style>
  <w:style w:type="paragraph" w:styleId="4">
    <w:name w:val="Body Text First Indent"/>
    <w:basedOn w:val="1"/>
    <w:qFormat/>
    <w:uiPriority w:val="0"/>
    <w:pPr>
      <w:spacing w:line="360" w:lineRule="auto"/>
      <w:ind w:firstLine="200" w:firstLineChars="200"/>
    </w:pPr>
    <w:rPr>
      <w:sz w:val="24"/>
      <w:lang w:val="zh-CN" w:eastAsia="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2025-08-18T10:51:00Z</dcterms:created>
  <dc:creator>zhaohuanqing.GZPSN</dc:creator>
  <cp:lastModifiedBy>钟兆钦</cp:lastModifiedBy>
  <dcterms:modified xsi:type="dcterms:W3CDTF">2025-08-21T09:07:56Z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E591AF9A48344834BCDAAE93F7B9B89D</vt:lpwstr>
  </property>
</Properties>
</file>